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8660" w:type="dxa"/>
            <w:vAlign w:val="bottom"/>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w w:val="99"/>
              </w:rPr>
              <w:t>SCHEDULE 14A INFORMATION</w:t>
            </w:r>
          </w:p>
        </w:tc>
      </w:tr>
      <w:tr>
        <w:trPr>
          <w:trHeight w:val="248"/>
        </w:trPr>
        <w:tc>
          <w:tcPr>
            <w:tcW w:w="2580" w:type="dxa"/>
            <w:vAlign w:val="bottom"/>
          </w:tcPr>
          <w:p>
            <w:pPr>
              <w:spacing w:after="0"/>
              <w:rPr>
                <w:sz w:val="21"/>
                <w:szCs w:val="21"/>
                <w:color w:val="auto"/>
              </w:rPr>
            </w:pPr>
          </w:p>
        </w:tc>
        <w:tc>
          <w:tcPr>
            <w:tcW w:w="8660" w:type="dxa"/>
            <w:vAlign w:val="bottom"/>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2580" w:type="dxa"/>
            <w:vAlign w:val="bottom"/>
          </w:tcPr>
          <w:p>
            <w:pPr>
              <w:spacing w:after="0"/>
              <w:rPr>
                <w:sz w:val="18"/>
                <w:szCs w:val="18"/>
                <w:color w:val="auto"/>
              </w:rPr>
            </w:pPr>
          </w:p>
        </w:tc>
        <w:tc>
          <w:tcPr>
            <w:tcW w:w="866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2580" w:type="dxa"/>
            <w:vAlign w:val="bottom"/>
          </w:tcPr>
          <w:p>
            <w:pPr>
              <w:spacing w:after="0"/>
              <w:rPr>
                <w:sz w:val="20"/>
                <w:szCs w:val="20"/>
                <w:color w:val="auto"/>
              </w:rPr>
            </w:pPr>
          </w:p>
        </w:tc>
        <w:tc>
          <w:tcPr>
            <w:tcW w:w="8660" w:type="dxa"/>
            <w:vAlign w:val="bottom"/>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rPr>
              <w:t>(Amendment No.   )</w:t>
            </w:r>
          </w:p>
        </w:tc>
      </w:tr>
      <w:tr>
        <w:trPr>
          <w:trHeight w:val="122"/>
        </w:trPr>
        <w:tc>
          <w:tcPr>
            <w:tcW w:w="2580" w:type="dxa"/>
            <w:vAlign w:val="bottom"/>
            <w:tcBorders>
              <w:bottom w:val="single" w:sz="8" w:color="auto"/>
            </w:tcBorders>
          </w:tcPr>
          <w:p>
            <w:pPr>
              <w:spacing w:after="0"/>
              <w:rPr>
                <w:sz w:val="10"/>
                <w:szCs w:val="10"/>
                <w:color w:val="auto"/>
              </w:rPr>
            </w:pPr>
          </w:p>
        </w:tc>
        <w:tc>
          <w:tcPr>
            <w:tcW w:w="8660" w:type="dxa"/>
            <w:vAlign w:val="bottom"/>
            <w:tcBorders>
              <w:bottom w:val="single" w:sz="8" w:color="auto"/>
            </w:tcBorders>
          </w:tcPr>
          <w:p>
            <w:pPr>
              <w:spacing w:after="0"/>
              <w:rPr>
                <w:sz w:val="10"/>
                <w:szCs w:val="10"/>
                <w:color w:val="auto"/>
              </w:rPr>
            </w:pPr>
          </w:p>
        </w:tc>
      </w:tr>
      <w:tr>
        <w:trPr>
          <w:trHeight w:val="345"/>
        </w:trPr>
        <w:tc>
          <w:tcPr>
            <w:tcW w:w="25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8660" w:type="dxa"/>
            <w:vAlign w:val="bottom"/>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4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8660" w:type="dxa"/>
            <w:vAlign w:val="bottom"/>
          </w:tcPr>
          <w:p>
            <w:pPr>
              <w:spacing w:after="0"/>
              <w:rPr>
                <w:sz w:val="21"/>
                <w:szCs w:val="21"/>
                <w:color w:val="auto"/>
              </w:rPr>
            </w:pPr>
          </w:p>
        </w:tc>
      </w:tr>
    </w:tbl>
    <w:p>
      <w:pPr>
        <w:spacing w:after="0" w:line="19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7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LENSAR,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80" w:hanging="272"/>
        <w:spacing w:after="0"/>
        <w:tabs>
          <w:tab w:leader="none" w:pos="2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500380</wp:posOffset>
            </wp:positionV>
            <wp:extent cx="113982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39825" cy="514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2800 Discovery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I cordially invite you to attend the 2026 annual meeting of stockholders (the “Annual Meeting”) of LENSAR, Inc., which will be held on Tuesday, August 4, 2026, beginning at 11:00 a.m., Eastern Time. The Annual Meeting will be a completely virtual meeting, which will be conducted via live webcast.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Securities and Exchange Commission rules allowing companies to furnish proxy materials to their stockholders over the Internet, we have sent stockholders of record at the close of business on June 10, 2026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to this letter are a Notice of Annual Meeting of Stockholders and Proxy Statement, which describe the business to be conducted at the meeting.</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vote is important to us. Please act as soon as possible to vote your shares. It is important that your shares be represented at the meeting whether or not you plan to attend the Annual Meeting via the Internet. Please vote electronically over the Internet, by telephone or, if you receive a paper copy of the proxy card by mail, by returning your signed proxy card in the envelope provided. You may also vote your shares online during the Annual Meeting. Instructions on how to vote while participating at the meeting live via the Internet are posted at www.virtualshareholdermeeting.com/LNSR2026.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Board of Directors and management, it is my pleasure to express our appreciation for your continued support.</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William J. Link,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1433195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500380</wp:posOffset>
            </wp:positionV>
            <wp:extent cx="113982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514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2800 Discovery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32826</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AUGUST 4, 2026</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Stockholders of LENSAR, Inc., a Delaware corporation, will be held on Tuesday, August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at 11:00 a.m., Eastern Time. The Annual Meeting will be a completely virtual meeting, which will be conducted via live webcast. You will be able to attend the Annual Meeting online and submit your questions during the meeting by visiting www.virtualshareholdermeeting.com/LNSR2026. For instructions on how to attend and vote your shares at the Annual Meeting, see the information in the accompanying Proxy Statement in the section titled “General Information about the Annual Meeting and Voting—How can I attend and vote at the Annual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is being held:</w:t>
      </w:r>
    </w:p>
    <w:p>
      <w:pPr>
        <w:spacing w:after="0" w:line="198" w:lineRule="exact"/>
        <w:rPr>
          <w:sz w:val="20"/>
          <w:szCs w:val="20"/>
          <w:color w:val="auto"/>
        </w:rPr>
      </w:pPr>
    </w:p>
    <w:p>
      <w:pPr>
        <w:ind w:left="760" w:hanging="752"/>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Thomas B. Ellis, Richard L. Lindstrom, MD, and William J. Link, PhD as Class III directors to hold office until the Company’s annual meeting of stockholders to be held in 2029 and until their respective successors have been duly elected and qualified;</w:t>
      </w:r>
    </w:p>
    <w:p>
      <w:pPr>
        <w:spacing w:after="0" w:line="12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2026;</w:t>
      </w:r>
    </w:p>
    <w:p>
      <w:pPr>
        <w:spacing w:after="0" w:line="18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our named executive officers;</w:t>
      </w:r>
    </w:p>
    <w:p>
      <w:pPr>
        <w:spacing w:after="0" w:line="198"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frequency of future advisory (non-binding) votes on the compensation of our named executive officers; and</w:t>
      </w:r>
    </w:p>
    <w:p>
      <w:pPr>
        <w:spacing w:after="0" w:line="12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thereof.</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items of business are described in the Proxy Statement that follows this notice. Holders of record of our common stock as of the close of business on June 10, 2026 are entitled to notice of and to vote at the Annual Meeting, or any continuation, postponement or adjournment thereof.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Voting your shares will ensure the presence of a quorum at the Annual Meeting and will save us the expense of further solicitation.</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Please promptly vote your shares by following the instructions for voting on the Notice Regarding the Availability of Proxy Materials or, if you received a paper or electronic copy of our proxy materials, by completing, signing, dating and returning your proxy card or by Internet or telephone voting as described on your proxy card.</w:t>
      </w:r>
    </w:p>
    <w:p>
      <w:pPr>
        <w:spacing w:after="0" w:line="18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Nicholas T. Curtis</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Notice of Annual Meeting and Proxy Statement are first being distributed or made available, as the case may be, on or about June 23, 2026.</w:t>
      </w:r>
    </w:p>
    <w:p>
      <w:pPr>
        <w:spacing w:after="0" w:line="18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i w:val="1"/>
          <w:iCs w:val="1"/>
          <w:color w:val="auto"/>
        </w:rPr>
        <w:t>Important Notice Regarding the Availability of Proxy Materials for the Stockholder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Proxy Statement and our Annual Report are available free of charge at www.proxyvote.com.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63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b w:val="1"/>
                <w:bCs w:val="1"/>
                <w:color w:val="0000FF"/>
                <w:w w:val="99"/>
              </w:rPr>
              <w:t>GENERAL INFORMATION ABOUT THE ANNUAL MEETING AND VOTING</w:t>
            </w:r>
          </w:p>
        </w:tc>
        <w:tc>
          <w:tcPr>
            <w:tcW w:w="3280" w:type="dxa"/>
            <w:vAlign w:val="bottom"/>
            <w:gridSpan w:val="8"/>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When and where will the Annual Meeting be held?</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What are the purposes of the Annual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Are there any matters to be voted on at the Annual Meeting that are not included in this Proxy Statement?</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9"/>
              </w:rPr>
              <w:t>Why did I receive a notice in the mail regarding the Internet availability of proxy materials instead of a paper copy of proxy</w:t>
            </w:r>
          </w:p>
        </w:tc>
        <w:tc>
          <w:tcPr>
            <w:tcW w:w="16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materials?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What does it mean if I receive more than one Notice and Access Card or more than one set of proxy materials?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Can I vote my shares by filling out and returning the Notice and Access Card?</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Who is entitled to vote at the Annual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What is the difference between being a “record holder” and holding shares in “street name”?</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What do I do if my shares are held in “street name”?</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How many shares must be present to hold the Annual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What are “broker non-votes”?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What if a quorum is not present at the Annual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How do I vote my shares without attending the Annual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How can I attend and vote at the Annual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Will there be a question and answer session during the Annual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What if during the check-in time or during the Annual Meeting I have technical difficulties or trouble accessing the virtual</w:t>
            </w:r>
          </w:p>
        </w:tc>
        <w:tc>
          <w:tcPr>
            <w:tcW w:w="16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meeting website?</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How does the Board recommend that I vote?</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How many votes are required to approve each proposal?</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What if I do not specify how my shares are to be voted?</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Who will count the votes?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Can I revoke or change my vote after I submit my proxy?</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Who will pay for the cost of this proxy solicitation?</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Why hold a virtual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PROPOSAL NO. 1: ELECTION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4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6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Board Size and Structure</w:t>
            </w:r>
          </w:p>
        </w:tc>
        <w:tc>
          <w:tcPr>
            <w:tcW w:w="5680" w:type="dxa"/>
            <w:vAlign w:val="bottom"/>
            <w:gridSpan w:val="18"/>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Current Directors and Terms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Nominees for Director</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Information About Board Nominees and Continuing Directors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Nominees for Election to Three-Year Terms Expiring No Later than the 2029 Annual Meeting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68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Class I Directors Whose Terms Expire at the 2027 Annual Meeting of Stockholders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680" w:type="dxa"/>
            <w:vAlign w:val="bottom"/>
            <w:tcBorders>
              <w:left w:val="single" w:sz="8" w:color="0000FF"/>
              <w:right w:val="single" w:sz="8" w:color="0000EE"/>
            </w:tcBorders>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Class II Directors Whose Terms Expire at the 2028 Annual Meeting of Stockholders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720" w:type="dxa"/>
            <w:vAlign w:val="bottom"/>
            <w:tcBorders>
              <w:left w:val="single" w:sz="8" w:color="0000FF"/>
            </w:tcBorders>
            <w:gridSpan w:val="11"/>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Board Recommendation</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96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b w:val="1"/>
                <w:bCs w:val="1"/>
                <w:color w:val="0000FF"/>
              </w:rPr>
              <w:t>PROPOSAL NO. 2: RATIFICATION OF APPOINTMENT OF INDEPENDENT REGISTERED PUBLIC ACCOUNTING</w:t>
            </w:r>
          </w:p>
        </w:tc>
        <w:tc>
          <w:tcPr>
            <w:tcW w:w="1620" w:type="dxa"/>
            <w:vAlign w:val="bottom"/>
          </w:tcPr>
          <w:p>
            <w:pPr>
              <w:spacing w:after="0"/>
              <w:rPr>
                <w:sz w:val="24"/>
                <w:szCs w:val="24"/>
                <w:color w:val="auto"/>
              </w:rPr>
            </w:pPr>
          </w:p>
        </w:tc>
      </w:tr>
      <w:tr>
        <w:trPr>
          <w:trHeight w:val="196"/>
        </w:trPr>
        <w:tc>
          <w:tcPr>
            <w:tcW w:w="96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FIRM</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48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Appointment of Independent Registered Public Accounting Firm</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tcBorders>
              <w:left w:val="single" w:sz="8" w:color="0000FF"/>
            </w:tcBorders>
            <w:gridSpan w:val="6"/>
            <w:shd w:val="clear" w:color="auto" w:fill="0000FF"/>
          </w:tcPr>
          <w:p>
            <w:pPr>
              <w:spacing w:after="0" w:line="20" w:lineRule="exact"/>
              <w:rPr>
                <w:sz w:val="1"/>
                <w:szCs w:val="1"/>
                <w:color w:val="auto"/>
              </w:rPr>
            </w:pPr>
          </w:p>
        </w:tc>
        <w:tc>
          <w:tcPr>
            <w:tcW w:w="428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Audit, Audit-Related, Tax and All Other Fees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Audit Fees</w:t>
            </w:r>
          </w:p>
        </w:tc>
        <w:tc>
          <w:tcPr>
            <w:tcW w:w="5580" w:type="dxa"/>
            <w:vAlign w:val="bottom"/>
            <w:gridSpan w:val="17"/>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200" w:type="dxa"/>
            <w:vAlign w:val="bottom"/>
            <w:gridSpan w:val="2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All Other Fees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gridSpan w:val="4"/>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200" w:type="dxa"/>
            <w:vAlign w:val="bottom"/>
            <w:gridSpan w:val="2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Pre-Approval Policies and Procedures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200" w:type="dxa"/>
            <w:vAlign w:val="bottom"/>
            <w:gridSpan w:val="2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Board Recommendation</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5"/>
            <w:shd w:val="clear" w:color="auto" w:fill="0000FF"/>
          </w:tcPr>
          <w:p>
            <w:pPr>
              <w:spacing w:after="0" w:line="20" w:lineRule="exact"/>
              <w:rPr>
                <w:sz w:val="1"/>
                <w:szCs w:val="1"/>
                <w:color w:val="auto"/>
              </w:rPr>
            </w:pPr>
          </w:p>
        </w:tc>
        <w:tc>
          <w:tcPr>
            <w:tcW w:w="7220" w:type="dxa"/>
            <w:vAlign w:val="bottom"/>
            <w:gridSpan w:val="2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Report</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b w:val="1"/>
                <w:bCs w:val="1"/>
                <w:color w:val="0000FF"/>
              </w:rPr>
              <w:t>PROPOSAL NO. 3: APPROVAL, ON AN ADVISORY (NON-BINDING) BASIS, OF THE COMPENSATION OF OUR</w:t>
            </w:r>
          </w:p>
        </w:tc>
        <w:tc>
          <w:tcPr>
            <w:tcW w:w="1920" w:type="dxa"/>
            <w:vAlign w:val="bottom"/>
          </w:tcPr>
          <w:p>
            <w:pPr>
              <w:spacing w:after="0"/>
              <w:rPr>
                <w:sz w:val="17"/>
                <w:szCs w:val="17"/>
                <w:color w:val="auto"/>
              </w:rPr>
            </w:pPr>
          </w:p>
        </w:tc>
      </w:tr>
      <w:tr>
        <w:trPr>
          <w:trHeight w:val="196"/>
        </w:trPr>
        <w:tc>
          <w:tcPr>
            <w:tcW w:w="27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8"/>
              </w:rPr>
              <w:t>NAMED EXECUTIVE OFFICERS</w:t>
            </w:r>
          </w:p>
        </w:tc>
        <w:tc>
          <w:tcPr>
            <w:tcW w:w="6560" w:type="dxa"/>
            <w:vAlign w:val="bottom"/>
            <w:gridSpan w:val="2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304"/>
        </w:trPr>
        <w:tc>
          <w:tcPr>
            <w:tcW w:w="902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b w:val="1"/>
                <w:bCs w:val="1"/>
                <w:color w:val="0000FF"/>
              </w:rPr>
              <w:t>PROPOSAL NO. 4: APPROVAL, ON AN ADVISORY (NON-BINDING) BASIS, THE FREQUENCY OF FUTURE</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6"/>
        </w:trPr>
        <w:tc>
          <w:tcPr>
            <w:tcW w:w="93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ADVISORY (NON-BINDING) VOTES ON THE COMPENSATION OF OUR NAMED EXECUTIVE OFFICERS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304"/>
        </w:trPr>
        <w:tc>
          <w:tcPr>
            <w:tcW w:w="20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EXECUTIVE OFFICERS</w:t>
            </w:r>
          </w:p>
        </w:tc>
        <w:tc>
          <w:tcPr>
            <w:tcW w:w="40" w:type="dxa"/>
            <w:vAlign w:val="bottom"/>
            <w:tcBorders>
              <w:top w:val="single" w:sz="8" w:color="0000FF"/>
              <w:bottom w:val="single" w:sz="8" w:color="0000EE"/>
            </w:tcBorders>
          </w:tcPr>
          <w:p>
            <w:pPr>
              <w:spacing w:after="0"/>
              <w:rPr>
                <w:sz w:val="24"/>
                <w:szCs w:val="24"/>
                <w:color w:val="auto"/>
              </w:rPr>
            </w:pPr>
          </w:p>
        </w:tc>
        <w:tc>
          <w:tcPr>
            <w:tcW w:w="6760" w:type="dxa"/>
            <w:vAlign w:val="bottom"/>
            <w:tcBorders>
              <w:top w:val="single" w:sz="8" w:color="0000FF"/>
            </w:tcBorders>
            <w:gridSpan w:val="30"/>
          </w:tcPr>
          <w:p>
            <w:pPr>
              <w:spacing w:after="0"/>
              <w:rPr>
                <w:sz w:val="24"/>
                <w:szCs w:val="24"/>
                <w:color w:val="auto"/>
              </w:rPr>
            </w:pPr>
          </w:p>
        </w:tc>
        <w:tc>
          <w:tcPr>
            <w:tcW w:w="48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9320" w:type="dxa"/>
            <w:vAlign w:val="bottom"/>
            <w:gridSpan w:val="39"/>
          </w:tcPr>
          <w:p>
            <w:pPr>
              <w:spacing w:after="0"/>
              <w:rPr>
                <w:sz w:val="20"/>
                <w:szCs w:val="20"/>
                <w:color w:val="auto"/>
              </w:rPr>
            </w:pPr>
            <w:r>
              <w:rPr>
                <w:rFonts w:ascii="Times New Roman" w:cs="Times New Roman" w:eastAsia="Times New Roman" w:hAnsi="Times New Roman"/>
                <w:sz w:val="18"/>
                <w:szCs w:val="18"/>
                <w:b w:val="1"/>
                <w:bCs w:val="1"/>
                <w:color w:val="0000FF"/>
              </w:rPr>
              <w:t>CORPORATE GOVERNANCE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 Guidelines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Board Leadership Structure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Director Independence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Board Committees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Audit Committee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Compensation Committee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Compensation Consultants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Nominating and Corporate Governance Committee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Board and Board Committee Meetings and Attendance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Executive Sessions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Director Attendance at Annual Meeting of Stockholders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Director Nominations Process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Board Role in Risk Oversight</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Committee Charters and Corporate Governance Guidelines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Code of Business Conduct and Ethics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Compliance Policy and Anti-Hedging Policy</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Communications with the Board</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40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b w:val="1"/>
                <w:bCs w:val="1"/>
                <w:color w:val="0000FF"/>
                <w:w w:val="99"/>
              </w:rPr>
              <w:t>EXECUTIVE AND DIRECTOR COMPENSATION</w:t>
            </w:r>
          </w:p>
        </w:tc>
        <w:tc>
          <w:tcPr>
            <w:tcW w:w="5260" w:type="dxa"/>
            <w:vAlign w:val="bottom"/>
            <w:gridSpan w:val="16"/>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Summary Compensation Table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Narrative Disclosure to Compensation Tables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680" w:type="dxa"/>
            <w:vAlign w:val="bottom"/>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Annual Base Salary</w:t>
            </w:r>
          </w:p>
        </w:tc>
        <w:tc>
          <w:tcPr>
            <w:tcW w:w="536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Bonus Compensation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Equity-Based Incentive Awards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Employment Letters with our Named Executive Officers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680" w:type="dxa"/>
            <w:vAlign w:val="bottom"/>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420" w:type="dxa"/>
            <w:vAlign w:val="bottom"/>
            <w:tcBorders>
              <w:top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Nicholas T. Curtis Employment Letter</w:t>
            </w:r>
          </w:p>
        </w:tc>
        <w:tc>
          <w:tcPr>
            <w:tcW w:w="456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Alan B. Connaughton Employment Letter</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Thomas R. Staab, II Employment Letter</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Defined Terms Under Employment Letters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Outstanding Equity Awards at Fiscal Year-End</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Pay Versus Performance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Other Elements of Compensation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Perquisites, Health, Welfare and Retirement Benefits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401(k) Plan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Nonqualified Deferred Compensation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Termination or Change in Control Benefits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Policy Relating to Recovery of Erroneously Awarded Compensation (Clawback Policy)</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Equity Award Timing Policies and Practices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7"/>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Director Compensation</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EE"/>
            </w:tcBorders>
            <w:gridSpan w:val="7"/>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Director Compensation Table</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gridSpan w:val="11"/>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42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b w:val="1"/>
                <w:bCs w:val="1"/>
                <w:color w:val="0000FF"/>
              </w:rPr>
              <w:t>EQUITY COMPENSATION PLAN INFORMATION</w:t>
            </w:r>
          </w:p>
        </w:tc>
        <w:tc>
          <w:tcPr>
            <w:tcW w:w="5080" w:type="dxa"/>
            <w:vAlign w:val="bottom"/>
            <w:gridSpan w:val="15"/>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9320" w:type="dxa"/>
            <w:vAlign w:val="bottom"/>
            <w:gridSpan w:val="39"/>
          </w:tcPr>
          <w:p>
            <w:pPr>
              <w:spacing w:after="0"/>
              <w:rPr>
                <w:sz w:val="20"/>
                <w:szCs w:val="20"/>
                <w:color w:val="auto"/>
              </w:rPr>
            </w:pPr>
            <w:r>
              <w:rPr>
                <w:rFonts w:ascii="Times New Roman" w:cs="Times New Roman" w:eastAsia="Times New Roman" w:hAnsi="Times New Roman"/>
                <w:sz w:val="18"/>
                <w:szCs w:val="18"/>
                <w:b w:val="1"/>
                <w:bCs w:val="1"/>
                <w:color w:val="0000FF"/>
              </w:rPr>
              <w:t>STOCK OWNERSHIP</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6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gridSpan w:val="14"/>
          </w:tcPr>
          <w:p>
            <w:pPr>
              <w:spacing w:after="0" w:line="20" w:lineRule="exact"/>
              <w:rPr>
                <w:sz w:val="1"/>
                <w:szCs w:val="1"/>
                <w:color w:val="auto"/>
              </w:rPr>
            </w:pPr>
          </w:p>
        </w:tc>
        <w:tc>
          <w:tcPr>
            <w:tcW w:w="2500" w:type="dxa"/>
            <w:vAlign w:val="bottom"/>
            <w:gridSpan w:val="18"/>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16"/>
            <w:shd w:val="clear" w:color="auto" w:fill="0000FF"/>
          </w:tcPr>
          <w:p>
            <w:pPr>
              <w:spacing w:after="0" w:line="20" w:lineRule="exact"/>
              <w:rPr>
                <w:sz w:val="1"/>
                <w:szCs w:val="1"/>
                <w:color w:val="auto"/>
              </w:rPr>
            </w:pPr>
          </w:p>
        </w:tc>
        <w:tc>
          <w:tcPr>
            <w:tcW w:w="2500" w:type="dxa"/>
            <w:vAlign w:val="bottom"/>
            <w:tcBorders>
              <w:left w:val="single" w:sz="8" w:color="0000FF"/>
            </w:tcBorders>
            <w:gridSpan w:val="18"/>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Delinquent Section 16(a) Reports</w:t>
            </w: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CERTAIN TRANSACTIONS WITH RELATED PERSONS</w:t>
            </w:r>
          </w:p>
        </w:tc>
        <w:tc>
          <w:tcPr>
            <w:tcW w:w="20" w:type="dxa"/>
            <w:vAlign w:val="bottom"/>
            <w:tcBorders>
              <w:bottom w:val="single" w:sz="8" w:color="0000EE"/>
            </w:tcBorders>
          </w:tcPr>
          <w:p>
            <w:pPr>
              <w:spacing w:after="0"/>
              <w:rPr>
                <w:sz w:val="17"/>
                <w:szCs w:val="17"/>
                <w:color w:val="auto"/>
              </w:rPr>
            </w:pPr>
          </w:p>
        </w:tc>
        <w:tc>
          <w:tcPr>
            <w:tcW w:w="3540" w:type="dxa"/>
            <w:vAlign w:val="bottom"/>
            <w:gridSpan w:val="3"/>
          </w:tcPr>
          <w:p>
            <w:pPr>
              <w:spacing w:after="0"/>
              <w:rPr>
                <w:sz w:val="17"/>
                <w:szCs w:val="17"/>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660" w:type="dxa"/>
            <w:vAlign w:val="bottom"/>
          </w:tcPr>
          <w:p>
            <w:pPr>
              <w:spacing w:after="0"/>
              <w:rPr>
                <w:sz w:val="17"/>
                <w:szCs w:val="17"/>
                <w:color w:val="auto"/>
              </w:rPr>
            </w:pPr>
          </w:p>
        </w:tc>
        <w:tc>
          <w:tcPr>
            <w:tcW w:w="44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Policies and Procedures on Transactions with Related Persons</w:t>
            </w:r>
          </w:p>
        </w:tc>
        <w:tc>
          <w:tcPr>
            <w:tcW w:w="3080" w:type="dxa"/>
            <w:vAlign w:val="bottom"/>
            <w:gridSpan w:val="2"/>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North Run Investment</w:t>
            </w:r>
          </w:p>
        </w:tc>
        <w:tc>
          <w:tcPr>
            <w:tcW w:w="3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66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Indemnification Agreements</w:t>
            </w:r>
          </w:p>
        </w:tc>
        <w:tc>
          <w:tcPr>
            <w:tcW w:w="3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340" w:type="dxa"/>
            <w:vAlign w:val="bottom"/>
            <w:tcBorders>
              <w:right w:val="single" w:sz="8" w:color="0000EE"/>
            </w:tcBorders>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04"/>
        </w:trPr>
        <w:tc>
          <w:tcPr>
            <w:tcW w:w="8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STOCKHOLDER PROPOSALS AND DIRECTOR NOMINATIONS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53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HOUSEHOLDING</w:t>
            </w:r>
          </w:p>
        </w:tc>
        <w:tc>
          <w:tcPr>
            <w:tcW w:w="286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52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04"/>
        </w:trPr>
        <w:tc>
          <w:tcPr>
            <w:tcW w:w="1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2025 ANNUAL REPORT</w:t>
            </w:r>
          </w:p>
        </w:tc>
        <w:tc>
          <w:tcPr>
            <w:tcW w:w="20" w:type="dxa"/>
            <w:vAlign w:val="bottom"/>
            <w:tcBorders>
              <w:bottom w:val="single" w:sz="8" w:color="0000EE"/>
            </w:tcBorders>
          </w:tcPr>
          <w:p>
            <w:pPr>
              <w:spacing w:after="0"/>
              <w:rPr>
                <w:sz w:val="24"/>
                <w:szCs w:val="24"/>
                <w:color w:val="auto"/>
              </w:rPr>
            </w:pPr>
          </w:p>
        </w:tc>
        <w:tc>
          <w:tcPr>
            <w:tcW w:w="6220" w:type="dxa"/>
            <w:vAlign w:val="bottom"/>
            <w:gridSpan w:val="7"/>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911860</wp:posOffset>
            </wp:positionV>
            <wp:extent cx="113982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2800 Discovery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32826</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AUGUST 4,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(the “Proxy Statement”) and our annual report for the fiscal year ended December 31, 2025 (the “Annual Report” and, together with this Proxy Statement, the “proxy materials”) are being furnished by and on behalf of the board of directors (the “Board” or “Board of Directors”) of LENSAR, Inc. (the “Company,” “LENSAR,” “we,” “us,” or “our”), in connection with our 2026 annual meeting of stockholders (the “Annual Meeting”). The Notice of Annual Meeting and this Proxy Statement are first being distributed or made available, as the case may be, on or about June 23, 2026.</w:t>
      </w:r>
    </w:p>
    <w:p>
      <w:pPr>
        <w:spacing w:after="0" w:line="135" w:lineRule="exact"/>
        <w:rPr>
          <w:sz w:val="20"/>
          <w:szCs w:val="20"/>
          <w:color w:val="auto"/>
        </w:rPr>
      </w:pPr>
    </w:p>
    <w:p>
      <w:pPr>
        <w:ind w:right="2200" w:firstLine="2709"/>
        <w:spacing w:after="0" w:line="464" w:lineRule="auto"/>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 When and where will the Annual Meeting be held?</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Meeting will be held on Tuesday, August 4, 2026 at 11:00 a.m., Eastern Time. The Annual Meeting will be a completely virtual meeting, which will be conducted via live webcast. You will be able to attend the Annual Meeting online and submit your questions during the meeting by visiting www.virtualshareholdermeeting.com/LNSR2026 and entering your 16-digit control number included in your Notice of Internet Availability of Proxy Materials, on your proxy card or on the instructions that accompanied your proxy materials. If you lose your 16-digit control number, you may join the Annual Meeting as a “Guest” but you will not be able to vote, ask questions or access the list of stockholders as of the close of business on June 10, 2026 (the “Record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purposes of the Annual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to vote on the following items described in this Proxy Statement:</w:t>
      </w:r>
    </w:p>
    <w:p>
      <w:pPr>
        <w:spacing w:after="0" w:line="171" w:lineRule="exact"/>
        <w:rPr>
          <w:sz w:val="20"/>
          <w:szCs w:val="20"/>
          <w:color w:val="auto"/>
        </w:rPr>
      </w:pPr>
    </w:p>
    <w:p>
      <w:pPr>
        <w:ind w:left="1500" w:hanging="743"/>
        <w:spacing w:after="0"/>
        <w:tabs>
          <w:tab w:leader="none" w:pos="15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Proposal No. 1: Election of the director nominees listed in this Proxy Statement.</w:t>
      </w:r>
    </w:p>
    <w:p>
      <w:pPr>
        <w:spacing w:after="0" w:line="171" w:lineRule="exact"/>
        <w:rPr>
          <w:rFonts w:ascii="Times New Roman" w:cs="Times New Roman" w:eastAsia="Times New Roman" w:hAnsi="Times New Roman"/>
          <w:sz w:val="18"/>
          <w:szCs w:val="18"/>
          <w:color w:val="231F20"/>
        </w:rPr>
      </w:pPr>
    </w:p>
    <w:p>
      <w:pPr>
        <w:ind w:left="1500" w:hanging="743"/>
        <w:spacing w:after="0" w:line="282" w:lineRule="auto"/>
        <w:tabs>
          <w:tab w:leader="none" w:pos="15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Proposal No. 2: Ratification of the appointment of PricewaterhouseCoopers LLP as our independent registered public accounting firm for 2026.</w:t>
      </w:r>
    </w:p>
    <w:p>
      <w:pPr>
        <w:spacing w:after="0" w:line="107" w:lineRule="exact"/>
        <w:rPr>
          <w:rFonts w:ascii="Times New Roman" w:cs="Times New Roman" w:eastAsia="Times New Roman" w:hAnsi="Times New Roman"/>
          <w:sz w:val="18"/>
          <w:szCs w:val="18"/>
          <w:color w:val="231F20"/>
        </w:rPr>
      </w:pPr>
    </w:p>
    <w:p>
      <w:pPr>
        <w:ind w:left="1500" w:hanging="743"/>
        <w:spacing w:after="0"/>
        <w:tabs>
          <w:tab w:leader="none" w:pos="15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Proposal No. 3: </w:t>
      </w:r>
      <w:r>
        <w:rPr>
          <w:rFonts w:ascii="Times New Roman" w:cs="Times New Roman" w:eastAsia="Times New Roman" w:hAnsi="Times New Roman"/>
          <w:sz w:val="18"/>
          <w:szCs w:val="18"/>
          <w:color w:val="000000"/>
        </w:rPr>
        <w:t>Approval, on an advisory (non-binding) basis, of the compensation of our named executive officers.</w:t>
      </w:r>
    </w:p>
    <w:p>
      <w:pPr>
        <w:spacing w:after="0" w:line="171" w:lineRule="exact"/>
        <w:rPr>
          <w:rFonts w:ascii="Times New Roman" w:cs="Times New Roman" w:eastAsia="Times New Roman" w:hAnsi="Times New Roman"/>
          <w:sz w:val="18"/>
          <w:szCs w:val="18"/>
          <w:color w:val="231F20"/>
        </w:rPr>
      </w:pPr>
    </w:p>
    <w:p>
      <w:pPr>
        <w:ind w:left="1500" w:hanging="743"/>
        <w:spacing w:after="0" w:line="282" w:lineRule="auto"/>
        <w:tabs>
          <w:tab w:leader="none" w:pos="15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Proposal No. 4: </w:t>
      </w:r>
      <w:r>
        <w:rPr>
          <w:rFonts w:ascii="Times New Roman" w:cs="Times New Roman" w:eastAsia="Times New Roman" w:hAnsi="Times New Roman"/>
          <w:sz w:val="18"/>
          <w:szCs w:val="18"/>
          <w:color w:val="000000"/>
        </w:rPr>
        <w:t>Approval, on an advisory (non-binding) basis, of the frequency of future advisory (non-binding) votes on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compensation of our named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matters to be voted on at the Annual Meeting that are not included in this Proxy Statement?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date this Proxy Statement went to press, we did not know of any matters to be properly presented at the Annual Meeting other than those referred to in this Proxy Statement. If other matters are properly presented at the meeting or any adjournment or postponement thereof for consideration, and you are a stockholder of record and have submitted a proxy card, the persons named in your proxy card will have the discretion to vote on those matters for you.</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paper copy of proxy materials?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rules of the Securities and Exchange Commission (the “SEC”) permit us to furnish proxy materials, including this Proxy Statement and the Annual Report, to our stockholders by providing access to such documents on the Internet instead of mailing printed copies. Stockholders will not receive paper copies of the proxy materials unless they request them. Instead, the Notice of Internet Availability of Proxy Materials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and Access Card or more than one set of proxy materials?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Notice and Access Card or set of proxy materials, please submit your proxy by phone, via the Internet, or, if you received printed copies of the proxy materials, by signing, dating and returning the enclosed proxy card in the enclosed envelope.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 and Access Card?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The Notice and Access Card identifies the items to be voted on at the Annual Meeting, but you cannot vote by marking the Notice and Access Card and returning it. If you would like a paper proxy card, you should follow the instructions in the Notice and Access Card. The paper proxy card you receive will also provide instructions as to how to authorize via the Internet or telephone your proxy to vote your shares according to your voting instructions. Alternatively, you can mark the paper proxy card with how you would like your shares voted, sign and date the proxy card, and return it in the envelope provided.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record of shares of our common stock and our Series A Convertible Preferred Stock as of the close of business on the Record Date will be entitled to notice of and to vote at the Annual Meeting and any continuation, postponement or adjournment thereof. At the close of business on the Record Date, there were 12,281,581 shares of our common stock and 20,000 shares of Series A Convertible Preferred Stock issued and outstanding and entitled to vote. Each share of our common stock entitles its holder to one vote on any matter presented to stockholders at the Annual Meeting, and each share of Series A Convertible Preferred Stock entitles its holder to a number of votes equal to the whole number of shares of our common stock into which a share of Series A Convertible Preferred Stock can be converted. Our common stock and our Series A Convertible Preferred Stock will vote together as a class on the proposals brought at this Annual Meeting or any adjournment or postponement thereof. You will need to obtain your own Internet access if you choose to attend the Annual Meeting online and/or vote over the Internet.</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attend and participate in the Annual Meeting, you will need the 16-digit control number included in your Notice and Access Card,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11:00 a.m., Eastern Time. We encourage you to access the meeting prior to the start time. Online check-in will begin at 10:45 a.m., Eastern Time, and you should allow ample time for the check-in procedures.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record holder (also called a “registered holder”) holds shares in his or her name. Shares held in “street name” means that shares are held in the name of a bank, broker or other nominee on the holder’s behalf.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do if my shares are held in “street name”?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your shares are held in a brokerage account or by a bank or other holder of record, you are considered the “beneficial owner” of shares held in “street name.” The Notice and Access Card or the proxy materials, if you elected to receive a hard copy, has been forwarded to you by your broker, bank or other nominee who is considered, with respect to those shares, the stockholder of record. As the beneficial owner, you have the right to direct your broker, bank or other holder of record on how to vote your shares by following their instructions for voting. Please refer to information from your bank, broker or other nominee on how to submit your voting instructions.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holders of a majority in voting power of the Company’s capital stock issued and outstanding and entitled to vote, present electronically or represented by proxy constitutes a quorum. If you sign and return your paper proxy card or authorize a proxy to vote electronically or telephonically, your shares will be counted to determine whether we have a quorum even if you abstain or fail to vote as indicated in the proxy materials.</w:t>
      </w:r>
    </w:p>
    <w:p>
      <w:pPr>
        <w:spacing w:after="0" w:line="153" w:lineRule="exact"/>
        <w:rPr>
          <w:sz w:val="20"/>
          <w:szCs w:val="20"/>
          <w:color w:val="auto"/>
        </w:rPr>
      </w:pPr>
    </w:p>
    <w:p>
      <w:pPr>
        <w:ind w:right="1760"/>
        <w:spacing w:after="0" w:line="453" w:lineRule="auto"/>
        <w:rPr>
          <w:sz w:val="20"/>
          <w:szCs w:val="20"/>
          <w:color w:val="auto"/>
        </w:rPr>
      </w:pPr>
      <w:r>
        <w:rPr>
          <w:rFonts w:ascii="Times New Roman" w:cs="Times New Roman" w:eastAsia="Times New Roman" w:hAnsi="Times New Roman"/>
          <w:sz w:val="18"/>
          <w:szCs w:val="18"/>
          <w:color w:val="auto"/>
        </w:rPr>
        <w:t xml:space="preserve">Broker non-votes will also be considered present for the purpose of determining whether there is a quorum for the Annual Meeting. </w:t>
      </w:r>
      <w:r>
        <w:rPr>
          <w:rFonts w:ascii="Times New Roman" w:cs="Times New Roman" w:eastAsia="Times New Roman" w:hAnsi="Times New Roman"/>
          <w:sz w:val="18"/>
          <w:szCs w:val="18"/>
          <w:b w:val="1"/>
          <w:bCs w:val="1"/>
          <w:color w:val="auto"/>
        </w:rPr>
        <w:t>What are “broker non-votes”?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“broker non-vote” occurs when shares held by a broker in “street name” for a beneficial owner are not voted with respect to a proposal because (1) the broker has not received voting instructions from the stockholder who beneficially owns the shares and (2) the broker lacks the authority to vote the shares at their discretion. Proposals No. 1, 3 and 4 are considered non-discretionary matters, and a broker will lack the authority to vote uninstructed shares at their discretion on such proposal. Proposal No. 2 is considered a discretionary matter, and a broker will be permitted to exercise its discretion to vote uninstructed shares on this proposal.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quorum is not present or represented at the scheduled time of the Annual Meeting, (i) the chairperson of the Annual Meeting or (ii) a majority in voting power of the stockholders entitled to vote at the Annual Meeting, present in person or electronically, if applicable, or represented by proxy, may adjourn the Annual Meeting until a quorum is present or represented.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without attending the Annual Meeting?</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recommend that stockholders vote by proxy even if they plan to attend the Annual Meeting and vote electronically. If you are a stockholder of record, there are three ways to vote by proxy:</w:t>
      </w:r>
    </w:p>
    <w:p>
      <w:pPr>
        <w:spacing w:after="0" w:line="106" w:lineRule="exact"/>
        <w:rPr>
          <w:sz w:val="20"/>
          <w:szCs w:val="20"/>
          <w:color w:val="auto"/>
        </w:rPr>
      </w:pPr>
    </w:p>
    <w:p>
      <w:pPr>
        <w:ind w:left="1500" w:hanging="743"/>
        <w:spacing w:after="0" w:line="284" w:lineRule="auto"/>
        <w:tabs>
          <w:tab w:leader="none" w:pos="1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by Internet—You can vote over the Internet at </w:t>
      </w:r>
      <w:r>
        <w:rPr>
          <w:rFonts w:ascii="Times New Roman" w:cs="Times New Roman" w:eastAsia="Times New Roman" w:hAnsi="Times New Roman"/>
          <w:sz w:val="18"/>
          <w:szCs w:val="18"/>
          <w:i w:val="1"/>
          <w:iCs w:val="1"/>
          <w:color w:val="000000"/>
        </w:rPr>
        <w:t>www.proxyvote.com</w:t>
      </w:r>
      <w:r>
        <w:rPr>
          <w:rFonts w:ascii="Times New Roman" w:cs="Times New Roman" w:eastAsia="Times New Roman" w:hAnsi="Times New Roman"/>
          <w:sz w:val="18"/>
          <w:szCs w:val="18"/>
          <w:color w:val="231F20"/>
        </w:rPr>
        <w:t xml:space="preserve"> by following the instructions on the Notice and Access Card or proxy card;</w:t>
      </w:r>
    </w:p>
    <w:p>
      <w:pPr>
        <w:spacing w:after="0" w:line="106" w:lineRule="exact"/>
        <w:rPr>
          <w:rFonts w:ascii="Times New Roman" w:cs="Times New Roman" w:eastAsia="Times New Roman" w:hAnsi="Times New Roman"/>
          <w:sz w:val="18"/>
          <w:szCs w:val="18"/>
          <w:color w:val="231F20"/>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Telephone—You can vote by telephone by calling 1-800-690-6903 and following the instructions on the proxy card; or</w:t>
      </w:r>
    </w:p>
    <w:p>
      <w:pPr>
        <w:spacing w:after="0" w:line="171" w:lineRule="exact"/>
        <w:rPr>
          <w:rFonts w:ascii="Times New Roman" w:cs="Times New Roman" w:eastAsia="Times New Roman" w:hAnsi="Times New Roman"/>
          <w:sz w:val="18"/>
          <w:szCs w:val="18"/>
          <w:color w:val="231F20"/>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Mail—You can vote by mail by signing, dating and mailing the proxy card, which you may have received by mail.</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11:59 p.m., Eastern Time, on August 3, 2026.</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holder of record, you will receive instructions on how to vote from the bank, broker or holder of record. You must follow the instructions of such bank, broker or holder of record in order for your shares to be voted.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and vote at the Annual Meeting?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 hosting the Annual Meeting live via audio webcast. Any stockholder can attend the Annual Meeting live online at www.virtualshareholdermeeting.com/LNSR2026. If you were a stockholder as of the Record Date, or you hold a valid proxy for the Annual Meeting, you can vote at the Annual Meeting. A summary of the information you need to attend the Annual Meeting online is provided below:</w:t>
      </w:r>
    </w:p>
    <w:p>
      <w:pPr>
        <w:spacing w:after="0" w:line="122" w:lineRule="exact"/>
        <w:rPr>
          <w:sz w:val="20"/>
          <w:szCs w:val="20"/>
          <w:color w:val="auto"/>
        </w:rPr>
      </w:pPr>
    </w:p>
    <w:p>
      <w:pPr>
        <w:ind w:left="1500" w:hanging="743"/>
        <w:spacing w:after="0" w:line="282"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on how to attend and participate via the Internet, including how to demonstrate proof of stock ownership, are posted at www.virtualshareholdermeeting.com/LNSR2026.</w:t>
      </w:r>
    </w:p>
    <w:p>
      <w:pPr>
        <w:spacing w:after="0" w:line="107"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questions regarding how to attend and participate via the Internet will be provided at www.virtualshareholdermeeting.com/LNSR2026 on the day of the Annual Meeting.</w:t>
      </w:r>
    </w:p>
    <w:p>
      <w:pPr>
        <w:spacing w:after="0" w:line="10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starts at 11:00 a.m., Eastern Time.</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your 16-Digit Control Number to enter the Annual Meeting.</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submit questions while attending the Annual Meeting via the Internet.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attend and participate in the Annual Meeting, you will need the 16-digit control number included in your Notice and Access Card,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 question and answer session during the Annual Meeting?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Annual Meeting, we will hold a live Question and Answer (“Q&amp;A”) session, during which we intend to answer questions submitted online during or prior to the meeting that are pertinent to the Company and the meeting matters, as time permits. Only stockholders that have accessed the Annual Meeting as a stockholder (rather than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129" w:lineRule="exact"/>
        <w:rPr>
          <w:sz w:val="20"/>
          <w:szCs w:val="20"/>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7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not included in our public disclosure;</w:t>
      </w:r>
    </w:p>
    <w:p>
      <w:pPr>
        <w:spacing w:after="0" w:line="10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7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 or Secretary in their reasonable judgment.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contact technical support as directed on the virtual meeting website.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you vote:</w:t>
      </w:r>
    </w:p>
    <w:p>
      <w:pPr>
        <w:spacing w:after="0" w:line="167" w:lineRule="exact"/>
        <w:rPr>
          <w:sz w:val="20"/>
          <w:szCs w:val="20"/>
          <w:color w:val="auto"/>
        </w:rPr>
      </w:pPr>
    </w:p>
    <w:p>
      <w:pPr>
        <w:ind w:left="1500" w:hanging="743"/>
        <w:spacing w:after="0"/>
        <w:tabs>
          <w:tab w:leader="none" w:pos="1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FOR </w:t>
      </w:r>
      <w:r>
        <w:rPr>
          <w:rFonts w:ascii="Times New Roman" w:cs="Times New Roman" w:eastAsia="Times New Roman" w:hAnsi="Times New Roman"/>
          <w:sz w:val="18"/>
          <w:szCs w:val="18"/>
          <w:color w:val="231F20"/>
        </w:rPr>
        <w:t>the nominees to the Board set forth in this Proxy Statement.</w:t>
      </w:r>
    </w:p>
    <w:p>
      <w:pPr>
        <w:spacing w:after="0" w:line="171" w:lineRule="exact"/>
        <w:rPr>
          <w:rFonts w:ascii="Times New Roman" w:cs="Times New Roman" w:eastAsia="Times New Roman" w:hAnsi="Times New Roman"/>
          <w:sz w:val="18"/>
          <w:szCs w:val="18"/>
          <w:color w:val="231F20"/>
        </w:rPr>
      </w:pPr>
    </w:p>
    <w:p>
      <w:pPr>
        <w:ind w:left="1500" w:hanging="743"/>
        <w:spacing w:after="0" w:line="286" w:lineRule="auto"/>
        <w:tabs>
          <w:tab w:leader="none" w:pos="1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FOR </w:t>
      </w:r>
      <w:r>
        <w:rPr>
          <w:rFonts w:ascii="Times New Roman" w:cs="Times New Roman" w:eastAsia="Times New Roman" w:hAnsi="Times New Roman"/>
          <w:sz w:val="18"/>
          <w:szCs w:val="18"/>
          <w:color w:val="231F20"/>
        </w:rPr>
        <w:t>the ratification of the appointment of PricewaterhouseCoopers LLP as our independent registered public accounting firm for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2026.</w:t>
      </w:r>
    </w:p>
    <w:p>
      <w:pPr>
        <w:spacing w:after="0" w:line="100" w:lineRule="exact"/>
        <w:rPr>
          <w:rFonts w:ascii="Times New Roman" w:cs="Times New Roman" w:eastAsia="Times New Roman" w:hAnsi="Times New Roman"/>
          <w:sz w:val="18"/>
          <w:szCs w:val="18"/>
          <w:color w:val="231F20"/>
        </w:rPr>
      </w:pPr>
    </w:p>
    <w:p>
      <w:pPr>
        <w:ind w:left="1500" w:hanging="743"/>
        <w:spacing w:after="0"/>
        <w:tabs>
          <w:tab w:leader="none" w:pos="1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FOR </w:t>
      </w:r>
      <w:r>
        <w:rPr>
          <w:rFonts w:ascii="Times New Roman" w:cs="Times New Roman" w:eastAsia="Times New Roman" w:hAnsi="Times New Roman"/>
          <w:sz w:val="18"/>
          <w:szCs w:val="18"/>
          <w:color w:val="231F20"/>
        </w:rPr>
        <w:t>the approval, on an advisory (non-binding) basis, of the compensation of our named executive officers.</w:t>
      </w:r>
    </w:p>
    <w:p>
      <w:pPr>
        <w:spacing w:after="0" w:line="171" w:lineRule="exact"/>
        <w:rPr>
          <w:rFonts w:ascii="Times New Roman" w:cs="Times New Roman" w:eastAsia="Times New Roman" w:hAnsi="Times New Roman"/>
          <w:sz w:val="18"/>
          <w:szCs w:val="18"/>
          <w:color w:val="231F20"/>
        </w:rPr>
      </w:pPr>
    </w:p>
    <w:p>
      <w:pPr>
        <w:ind w:left="1500" w:hanging="743"/>
        <w:spacing w:after="0"/>
        <w:tabs>
          <w:tab w:leader="none" w:pos="1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ONE YEAR </w:t>
      </w:r>
      <w:r>
        <w:rPr>
          <w:rFonts w:ascii="Times New Roman" w:cs="Times New Roman" w:eastAsia="Times New Roman" w:hAnsi="Times New Roman"/>
          <w:sz w:val="18"/>
          <w:szCs w:val="18"/>
          <w:color w:val="231F20"/>
        </w:rPr>
        <w:t>as the frequency of future advisory (non-binding) votes on the compensation of our named executive officers.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to approve each proposal?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proposals that will be voted on, the vote required to approve each item and how votes are counted: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62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Proposal No. 1:</w:t>
      </w:r>
    </w:p>
    <w:p>
      <w:pPr>
        <w:spacing w:after="0"/>
        <w:rPr>
          <w:sz w:val="20"/>
          <w:szCs w:val="20"/>
          <w:color w:val="auto"/>
        </w:rPr>
      </w:pPr>
      <w:r>
        <w:rPr>
          <w:rFonts w:ascii="Times New Roman" w:cs="Times New Roman" w:eastAsia="Times New Roman" w:hAnsi="Times New Roman"/>
          <w:sz w:val="14"/>
          <w:szCs w:val="14"/>
          <w:color w:val="auto"/>
        </w:rPr>
        <w:t>Election of Directors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Proposal No. 2:</w:t>
      </w:r>
    </w:p>
    <w:p>
      <w:pPr>
        <w:spacing w:after="0" w:line="226" w:lineRule="auto"/>
        <w:rPr>
          <w:sz w:val="20"/>
          <w:szCs w:val="20"/>
          <w:color w:val="auto"/>
        </w:rPr>
      </w:pPr>
      <w:r>
        <w:rPr>
          <w:rFonts w:ascii="Times New Roman" w:cs="Times New Roman" w:eastAsia="Times New Roman" w:hAnsi="Times New Roman"/>
          <w:sz w:val="14"/>
          <w:szCs w:val="14"/>
          <w:color w:val="auto"/>
        </w:rPr>
        <w:t>Ratification of Appointment of</w:t>
      </w:r>
    </w:p>
    <w:p>
      <w:pPr>
        <w:spacing w:after="0" w:line="222" w:lineRule="auto"/>
        <w:rPr>
          <w:sz w:val="20"/>
          <w:szCs w:val="20"/>
          <w:color w:val="auto"/>
        </w:rPr>
      </w:pPr>
      <w:r>
        <w:rPr>
          <w:rFonts w:ascii="Times New Roman" w:cs="Times New Roman" w:eastAsia="Times New Roman" w:hAnsi="Times New Roman"/>
          <w:sz w:val="14"/>
          <w:szCs w:val="14"/>
          <w:color w:val="auto"/>
        </w:rPr>
        <w:t>Independent Registered Public</w:t>
      </w:r>
    </w:p>
    <w:p>
      <w:pPr>
        <w:spacing w:after="0"/>
        <w:rPr>
          <w:sz w:val="20"/>
          <w:szCs w:val="20"/>
          <w:color w:val="auto"/>
        </w:rPr>
      </w:pPr>
      <w:r>
        <w:rPr>
          <w:rFonts w:ascii="Times New Roman" w:cs="Times New Roman" w:eastAsia="Times New Roman" w:hAnsi="Times New Roman"/>
          <w:sz w:val="14"/>
          <w:szCs w:val="14"/>
          <w:color w:val="auto"/>
        </w:rPr>
        <w:t>Accounting Firm</w:t>
      </w:r>
    </w:p>
    <w:p>
      <w:pPr>
        <w:spacing w:after="0" w:line="12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Proposal No. 3: Approval, on an advisory (non-binding) basis, of the compensation of our named executive officers.</w:t>
      </w:r>
    </w:p>
    <w:p>
      <w:pPr>
        <w:spacing w:after="0" w:line="10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Proposal No. 4: Approval, on an advisory (non-binding) basis, of the frequency of future advisory (non-binding) votes on the compensation of our named executive officers.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0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of Broker Non-</w:t>
            </w:r>
          </w:p>
        </w:tc>
        <w:tc>
          <w:tcPr>
            <w:tcW w:w="0" w:type="dxa"/>
            <w:vAlign w:val="bottom"/>
          </w:tcPr>
          <w:p>
            <w:pPr>
              <w:spacing w:after="0"/>
              <w:rPr>
                <w:sz w:val="1"/>
                <w:szCs w:val="1"/>
                <w:color w:val="auto"/>
              </w:rPr>
            </w:pPr>
          </w:p>
        </w:tc>
      </w:tr>
      <w:tr>
        <w:trPr>
          <w:trHeight w:val="149"/>
        </w:trPr>
        <w:tc>
          <w:tcPr>
            <w:tcW w:w="32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Votes Required</w:t>
            </w:r>
          </w:p>
        </w:tc>
        <w:tc>
          <w:tcPr>
            <w:tcW w:w="12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“Withhold” or</w:t>
            </w: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 Votes</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119"/>
        </w:trPr>
        <w:tc>
          <w:tcPr>
            <w:tcW w:w="32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The plurality of the votes cast. This means that the three</w:t>
            </w:r>
          </w:p>
        </w:tc>
        <w:tc>
          <w:tcPr>
            <w:tcW w:w="120" w:type="dxa"/>
            <w:vAlign w:val="bottom"/>
          </w:tcPr>
          <w:p>
            <w:pPr>
              <w:spacing w:after="0"/>
              <w:rPr>
                <w:sz w:val="10"/>
                <w:szCs w:val="10"/>
                <w:color w:val="auto"/>
              </w:rPr>
            </w:pPr>
          </w:p>
        </w:tc>
        <w:tc>
          <w:tcPr>
            <w:tcW w:w="21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“FOR ALL”</w:t>
            </w:r>
          </w:p>
        </w:tc>
        <w:tc>
          <w:tcPr>
            <w:tcW w:w="120" w:type="dxa"/>
            <w:vAlign w:val="bottom"/>
          </w:tcPr>
          <w:p>
            <w:pPr>
              <w:spacing w:after="0"/>
              <w:rPr>
                <w:sz w:val="10"/>
                <w:szCs w:val="10"/>
                <w:color w:val="auto"/>
              </w:rPr>
            </w:pPr>
          </w:p>
        </w:tc>
        <w:tc>
          <w:tcPr>
            <w:tcW w:w="15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None</w:t>
            </w:r>
          </w:p>
        </w:tc>
        <w:tc>
          <w:tcPr>
            <w:tcW w:w="100" w:type="dxa"/>
            <w:vAlign w:val="bottom"/>
          </w:tcPr>
          <w:p>
            <w:pPr>
              <w:spacing w:after="0"/>
              <w:rPr>
                <w:sz w:val="10"/>
                <w:szCs w:val="10"/>
                <w:color w:val="auto"/>
              </w:rPr>
            </w:pPr>
          </w:p>
        </w:tc>
        <w:tc>
          <w:tcPr>
            <w:tcW w:w="16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None</w:t>
            </w: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nominees receiving the highest number of affirmative</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“WITHHOLD ALL”</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 ALL EXCEPT”</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votes will be elected as Class III</w:t>
            </w: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The affirmative vote of the holders of a majority in</w:t>
            </w:r>
          </w:p>
        </w:tc>
        <w:tc>
          <w:tcPr>
            <w:tcW w:w="12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None</w:t>
            </w:r>
            <w:r>
              <w:rPr>
                <w:rFonts w:ascii="Times New Roman" w:cs="Times New Roman" w:eastAsia="Times New Roman" w:hAnsi="Times New Roman"/>
                <w:sz w:val="19"/>
                <w:szCs w:val="19"/>
                <w:color w:val="auto"/>
                <w:w w:val="93"/>
                <w:vertAlign w:val="superscript"/>
              </w:rPr>
              <w:t>(1)</w:t>
            </w: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voting power of the votes cast affirmatively or</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“AGAINST”</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negatively (excluding abstentions) at the Annual</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“ABSTAIN”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Meeting</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The affirmative vote of the holders of a majority in</w:t>
            </w:r>
          </w:p>
        </w:tc>
        <w:tc>
          <w:tcPr>
            <w:tcW w:w="12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voting power of the votes cast affirmatively or</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“AGAINST”</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negatively (excluding abstentions) at the Annual</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“ABSTAIN”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Meeting.</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The affirmative vote of the holders of a majority in</w:t>
            </w:r>
          </w:p>
        </w:tc>
        <w:tc>
          <w:tcPr>
            <w:tcW w:w="12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YEAR”</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voting power of the votes cast affirmatively or</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 YEARS”</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negatively (excluding abstentions) at the Annual</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 YEARS”</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Meeting. If no frequency receives the foregoing vote,</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“ABSTAIN”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 will consider the frequency (one year, two years or</w:t>
            </w: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three years) that receives the highest number of votes</w:t>
            </w: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cast to be the frequency recommended by stockholders.</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2">
            <w:col w:w="2060" w:space="220"/>
            <w:col w:w="8960"/>
          </w:cols>
          <w:pgMar w:left="320" w:top="1440" w:right="339" w:bottom="1440" w:gutter="0" w:footer="0" w:header="0"/>
          <w:type w:val="continuous"/>
        </w:sectPr>
      </w:pPr>
    </w:p>
    <w:p>
      <w:pPr>
        <w:ind w:left="380" w:right="2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this proposal is considered a “routine” matter, brokers are permitted to exercise their discretion to vote uninstructed shares on this proposal. As a result, we do not expect any broker non-votes on this proposal.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set forth above, as well as with the description of each proposal in this Proxy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Representatives of Broadridge Investor Communications Services (“Broadridge”) will tabulate the votes, and a representative of Broadridge will act as inspector of election.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revoke or change my vote after I submit my proxy?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Whether you have voted by Internet, telephone or mail, if you are a stockholder of record, you may change your vote and revoke your proxy by:</w:t>
      </w:r>
    </w:p>
    <w:p>
      <w:pPr>
        <w:spacing w:after="0" w:line="171" w:lineRule="exact"/>
        <w:rPr>
          <w:sz w:val="20"/>
          <w:szCs w:val="20"/>
          <w:color w:val="auto"/>
        </w:rPr>
      </w:pPr>
    </w:p>
    <w:p>
      <w:pPr>
        <w:ind w:left="1500" w:hanging="743"/>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sending a written statement to that effect to the attention of our Chief Financial Officer and Secretary at our corporate offices, provided such statement is received no later than August 3, 2026;</w:t>
      </w:r>
    </w:p>
    <w:p>
      <w:pPr>
        <w:spacing w:after="0" w:line="107"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voting again by Internet or telephone at a later time before the closing of those voting facilities at 11:59 p.m., Eastern Time, on August 3, 2026;</w:t>
      </w:r>
    </w:p>
    <w:p>
      <w:pPr>
        <w:spacing w:after="0" w:line="10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submitting a properly signed proxy card with a later date that is received no later than August 3, 2026; or</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attending the Annual Meeting, revoking your proxy and voting again.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hold shares in street name, you may submit new voting instructions by contacting your bank, broker or other nominee. You may also change your vote or revoke your proxy online at the Annual Meeting if you obtain a signed proxy from the record holder (broker, bank or other nominee) giving you the right to vote the shares.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attendance at the Annual Meeting by itself will not revoke your proxy unless you give written notice of revocation to the Company before your proxy is voted or you vote online at the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hold a virtual meeting?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want to provide expanded access, improved communication and cost savings for our stockholders and the Company while providing stockholders the same rights and opportunities to participate as they would have at an in-person meeting. We believe that hosting a virtual meeting is in the best interest of the Company and its stockholders and a virtual meeting enables increased stockholder attendance and participation because stockholders can participate from any location around the world.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Size and Structure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as currently in effect (“Certificate of Incorporation”), provides that the number of directors shall be established from time to time by our Board of Directors. Our Board of Directors has fixed the number of directors at eight, and we currently have eight directors serving on the Board.</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the Board be divided into three classes, designated as Class I, Class II and Class III. Each class of directors must stand for re-election no later than the third annual meeting of stockholders subsequent to their initial appointment or election to the Board, provided that the term of each director will continue until the election and qualification of his or her successor and is subject to his or her earlier death, resignation or removal. Generally, vacancies or newly created directorships on the Board will be filled only by vote of a majority of the directors then in office although less than a quorum, or by a sole remaining director. A director appointed by the Board to fill a vacancy will hold office until the next election of the class for which such director was chosen, subject to the election and qualification of his or her successor and his or her earlier death, resignation, retirement, disqualification or removal.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Directors and Terms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directors and their respective classes and terms are set forth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I Directors –</w:t>
            </w:r>
          </w:p>
        </w:tc>
        <w:tc>
          <w:tcPr>
            <w:tcW w:w="1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II Directors -</w:t>
            </w:r>
          </w:p>
        </w:tc>
        <w:tc>
          <w:tcPr>
            <w:tcW w:w="100" w:type="dxa"/>
            <w:vAlign w:val="bottom"/>
          </w:tcPr>
          <w:p>
            <w:pPr>
              <w:spacing w:after="0"/>
              <w:rPr>
                <w:sz w:val="17"/>
                <w:szCs w:val="17"/>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III Directors –</w:t>
            </w:r>
          </w:p>
        </w:tc>
      </w:tr>
      <w:tr>
        <w:trPr>
          <w:trHeight w:val="20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Current Term Ending at</w:t>
            </w:r>
          </w:p>
        </w:tc>
        <w:tc>
          <w:tcPr>
            <w:tcW w:w="1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Current Term Ending at</w:t>
            </w:r>
          </w:p>
        </w:tc>
        <w:tc>
          <w:tcPr>
            <w:tcW w:w="100" w:type="dxa"/>
            <w:vAlign w:val="bottom"/>
          </w:tcPr>
          <w:p>
            <w:pPr>
              <w:spacing w:after="0"/>
              <w:rPr>
                <w:sz w:val="17"/>
                <w:szCs w:val="17"/>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Current Term Ending at</w:t>
            </w:r>
          </w:p>
        </w:tc>
      </w:tr>
      <w:tr>
        <w:trPr>
          <w:trHeight w:val="215"/>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2027 Annual Meeting</w:t>
            </w:r>
          </w:p>
        </w:tc>
        <w:tc>
          <w:tcPr>
            <w:tcW w:w="10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2028 Annual Meeting</w:t>
            </w:r>
          </w:p>
        </w:tc>
        <w:tc>
          <w:tcPr>
            <w:tcW w:w="100" w:type="dxa"/>
            <w:vAlign w:val="bottom"/>
          </w:tcPr>
          <w:p>
            <w:pPr>
              <w:spacing w:after="0"/>
              <w:rPr>
                <w:sz w:val="18"/>
                <w:szCs w:val="18"/>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2026 Annual Meeting</w:t>
            </w:r>
          </w:p>
        </w:tc>
      </w:tr>
      <w:tr>
        <w:trPr>
          <w:trHeight w:val="3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Elizabeth G. O’Farrell</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Nicholas T. Curtis</w:t>
            </w:r>
          </w:p>
        </w:tc>
        <w:tc>
          <w:tcPr>
            <w:tcW w:w="10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B. Ellis</w:t>
            </w:r>
          </w:p>
        </w:tc>
      </w:tr>
      <w:tr>
        <w:trPr>
          <w:trHeight w:val="229"/>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Gary M. Winer</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Todd B. Hammer</w:t>
            </w:r>
          </w:p>
        </w:tc>
        <w:tc>
          <w:tcPr>
            <w:tcW w:w="10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L. Lindstrom, MD</w:t>
            </w:r>
          </w:p>
        </w:tc>
      </w:tr>
      <w:tr>
        <w:trPr>
          <w:trHeight w:val="234"/>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Aimee S. Weisner</w:t>
            </w:r>
          </w:p>
        </w:tc>
        <w:tc>
          <w:tcPr>
            <w:tcW w:w="10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Link, PhD</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Ellis, Dr. Lindstrom, and Dr. Link have been nominated by the Board to stand for election. As the directors assigned to Class III, Mr. Ellis, Dr. Lindstrom, and Dr. Link’s current terms of service will expire at the Annual Meeting. If elected by the stockholders at the Annual Meeting, Mr. Ellis, Dr. Lindstrom, and Dr. Link will each serve for a term expiring at our annual meeting of stockholders to be held in 2029 (the “2029 Annual Meeting”) and the election and qualification of his successor or until his earlier death, resignation or removal.</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person nominated for election has agreed to serve if elected, and management has no reason to believe that any nominee will be unable to serve. If, however, prior to the Annual Meeting, the Board of Directors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has no reason to believe that any of the nominees will be unable to serve.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Board Nominees and Continuing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pages contain certain biographical information as of June 23, 2026 for each nominee for director and each director whose term as a director will continue after the Annual Meeting, including all positions he or she holds, his or her principal occupation and business experience for the past five years, and the names of other publicly-held companies of which the director or nominee currently serves as a director or has served as a director during the past five years.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all of our directors and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our Board of Directors and its committees, as applicable; skills and personality that complement those of our other directors that helps build a board that is effective, collegial and responsive to the needs of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strategic thinking and a willingness to share ideas; a diversity of experiences, expertise and background; and the ability to represent the interests of all of our stockholders. The information presented below regarding each nominee and continuing director also sets forth specific experience, qualifications, attributes and skills that led our Board of Directors to the conclusion that such individual should serve as a director in light of our business and structure.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to Three-Year Terms Expiring No Later than the 2029 Annual Meeting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Class III Directors</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Age</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2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Position at LENSAR</w:t>
            </w: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Thomas B. Ellis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L. Lindstrom, MD</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18"/>
                <w:szCs w:val="18"/>
                <w:color w:val="auto"/>
              </w:rPr>
            </w:pPr>
          </w:p>
        </w:tc>
        <w:tc>
          <w:tcPr>
            <w:tcW w:w="2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William J. Link, PhD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r>
    </w:tbl>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B. Ellis </w:t>
      </w:r>
      <w:r>
        <w:rPr>
          <w:rFonts w:ascii="Times New Roman" w:cs="Times New Roman" w:eastAsia="Times New Roman" w:hAnsi="Times New Roman"/>
          <w:sz w:val="18"/>
          <w:szCs w:val="18"/>
          <w:color w:val="auto"/>
        </w:rPr>
        <w:t>has served as a member of our Board of Directors since May 2023. Mr. Ellis has served as a Co-Managing Member at North Run, a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investment firm, since December 2002. Prior to co-founding North Run in 2002, Mr. Ellis was a Principal at Berkshire Partners, LLC, a private equity firm, an Analyst at MHR Fund Management, a hedge fund and distressed debt fund, and an Associate in the Investment Banking Division of Goldman, Sachs &amp; Co. Mr. Ellis has served on the board of directors of Guerilla RF, Inc. (OTCQX:GUER) (“Guerilla RF”) since August 2024, on the board of directors of LightPath Technologies, Inc. (Nasdaq: LPTH) since February 2025 and on the board of directors of Creative Realities, Inc. (Nasdaq: CREX) since November 2025. Mr. Ellis received an A.B. degree from Princeton University and a J.D. degree from Harvard Law School. We believe Mr. Ellis is qualified to serve as a member of our Board of Directors due to his background in finance and his extensive experience investing in and working with companies.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Richard L. Lindstrom, MD</w:t>
      </w:r>
      <w:r>
        <w:rPr>
          <w:rFonts w:ascii="Times New Roman" w:cs="Times New Roman" w:eastAsia="Times New Roman" w:hAnsi="Times New Roman"/>
          <w:sz w:val="18"/>
          <w:szCs w:val="18"/>
          <w:color w:val="auto"/>
        </w:rPr>
        <w:t>, has served as a member of our Board of Directors since February 2018. Dr. Lindstrom founded Minnesota Eye Consultants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 a private medical practice specializing in ophthalmology in 1989 and currently serves as an attending surgeon emeritus. Since 1995, Dr. Lindstrom has served as chief executive officer and the chairman of the board of directors of Lindstrom Restoration, a privately held company specializing in restoration and contaminant mitigation. Since 2018, Dr. Lindstrom has served as Chairman of the board and a member of the Medical Advisory Board at Surface Ophthalmics, Inc., an ophthalmology pharmaceutical development company. Dr. Lindstrom has served as a member of the board of directors of Ocular Therapeutix, Inc. (Nasdaq: OCUL) since 2012 and served as a member of the board of directors of Harrow Health, Inc.(Nasdaq: HROW) from 2015 to 2023. Dr. Lindstrom served as associate director of the Minnesota Lions Eye Bank from 1987 to 2017 and as a trustee of the University of Minnesota Foundation for four terms. He is a medical advisor for several medical device and pharmaceutical manufacturers and serves on the boards of directors of several other privately-held life science companies. Dr. Lindstrom previously served as President of the International Society of Refractive Surgery, the International Intraocular Implant Society, the International Refractive Surgery Club and the American Society of Cataract and Refractive Surgery. From 1980 to 1989, he served as a professor of ophthalmology at the University of Minnesota, where he is currently Senior Lecturer and University of Minnesota Foundation Trustee. Dr. Lindstrom holds a B.A. in Pre-Medical Studies, a B.S. in Medicine and an M.D. from the University of Minnesota. We believe that Dr. Lindstrom is qualified to serve as a member of our Board of Directors because of his practical experience and background in ophthalmology and extensive experience serving on the board of directors of other life science companies.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William J. Link, PhD</w:t>
      </w:r>
      <w:r>
        <w:rPr>
          <w:rFonts w:ascii="Times New Roman" w:cs="Times New Roman" w:eastAsia="Times New Roman" w:hAnsi="Times New Roman"/>
          <w:sz w:val="18"/>
          <w:szCs w:val="18"/>
          <w:color w:val="auto"/>
        </w:rPr>
        <w:t>, has served as a member and chairperson of our Board of Directors since November 2017. Dr. Link is the co-founder of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investment firms: in 2016 Dr. Link co-founded and is Managing Partner of Flying L Partners, and Dr. Link is a co-founder and a Managing Director of Versant Ventures Management LLC, or Versant Ventures, which was founded in 1999. Dr. Link has also been a general partner at Brentwood Venture Capital, a venture capital firm and private equity company, since March 1998. Previously, Dr. Link served as founder, chairman, and chief executive officer of Chiron Vision Corporation, an ophthalmic medical device company which was sold to Bausch &amp; Lomb, Inc. in 1997. Before his time with Chiron Vision Corporation, Dr. Link founded and served as president of American Medical Optics, or AMO, a division of American Hospital Supply Corporation, which was sold to Allergan in 1986. Later, he served on the board of directors of AMO’s successor company, Advanced Medical Optics, which was acquired by Abbott in 2009. Before entering the healthcare industry, Dr. Link was an assistant professor in the Department of Surgery at the Indiana University School of Medicine. Dr. Link also serves on the board of directors of several private companies and two public companies, RxSight, Inc. (Nasdaq: RXST) since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2016 and Tarsus Pharmaceuticals, Inc. (Nasdaq: TARS) since 2017. Dr. Link previously served on the board of directors of Second Sight Medical Products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EYES) from 2003 until May 2020, Edwards Lifesciences Corp. (NYSE: EW) from May 2009 until May 2021, Glaukos Corporation (NYSE: GKOS) from June 2001 to December 2021, and Oyster Point Pharma, Inc. (Nasdaq: OYST) from July 2015 until March 2022. Dr. Link received a B.S., an M.S. and a Ph.D. in mechanical engineering from Purdue University. We believe Dr. Link is qualified to serve as chairperson of our Board of Directors due to his extensive experience as a founder of multiple healthcare-related companies, his medical background, and his experience serving on the board of directors of other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Whose Terms Expire at the 2027 Annual Meeting of Stockholders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Class I Directors</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Age</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2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Position with LENSAR</w:t>
            </w: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Elizabeth G. O'Farrell</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2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Gary M. Winer</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G. O’Farrell </w:t>
      </w:r>
      <w:r>
        <w:rPr>
          <w:rFonts w:ascii="Times New Roman" w:cs="Times New Roman" w:eastAsia="Times New Roman" w:hAnsi="Times New Roman"/>
          <w:sz w:val="18"/>
          <w:szCs w:val="18"/>
          <w:color w:val="auto"/>
        </w:rPr>
        <w:t>has served as a member of our Board of Directors since February 2021. Ms. O’Farrell previously served 24 years with Eli Lilly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Eli Lilly, a pharmaceutical company, most recently as chief procurement officer and head of global shared services from January 2012 to December 2017, until her retirement. At Eli Lilly, she advanced through various executive management positions, including senior vice president, policy and finance; senior vice president, finance; chief financial officer, Lilly USA; chief financial officer, Lilly Canada; and general auditor. Before joining Eli Lilly, Ms. O’Farrell was an accountant with Boise Cascade Office Products and auditor at Whipple &amp; Company and Price Waterhouse, LLP. Currently, she serves on the board of directors of SpyGlass Pharma, Inc. (Nasdaq: SPG), since August 2025; Genmab A/S (Nasdaq: GMAB), since March 2022; Geron Corporation (Nasdaq: GERN), since March 2019; and PDL BioPharma, Inc., since June 2018 and also serves as the chairperson of the PDL BioPharma, Inc. Board. Additionally, Ms. O’Farrell previously served on the board of directors for Inhibikase Therapeutics, Inc. (Nasdaq: IKT) from April 2019 to September 2022. Ms. O’Farrell also served as a board member of the YMCA of Greater Indianapolis from 2006 until 2017, including as its chairperson from 2014 to 2016. Ms. O’Farrell holds a B.S. in accounting with honors and an M.B.A. in management information systems, both from Indiana University. We believe Ms. O’Farrell is qualified to serve as a member of our Board of Directors because of her extensive experience as a senior executive of a major pharmaceutical company with global operations and significant financial experience.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M. Winer </w:t>
      </w:r>
      <w:r>
        <w:rPr>
          <w:rFonts w:ascii="Times New Roman" w:cs="Times New Roman" w:eastAsia="Times New Roman" w:hAnsi="Times New Roman"/>
          <w:sz w:val="18"/>
          <w:szCs w:val="18"/>
          <w:color w:val="auto"/>
        </w:rPr>
        <w:t>has served as a member of our Board of Directors since April 2018. Since January 2015, Mr. Winer has served as a consultant for DRC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Care Advisors, an organization that serves companies in the biopharma, medical device and diagnostic health sectors. From April 2019 until the acquisition of the company in September 2021, Mr. Winer served as the president and chief executive officer of ORGENTEC Diagnostika GmbH, a specialty manufacturer of autoimmune and infectious disease diagnostic tests. After AbbVie, Inc., or AbbVie, separated from Abbott Laboratories, or Abbott, in January 2013, Mr. Winer served as AbbVie Japan’s chief executive officer until March 2014. Prior to the AbbVie spin off, Mr. Winer served as corporate vice president and president of Abbott Japan, and prior to that held positions as divisional vice president for Abbott’s U.S. Commercial Operations, and as divisional vice president for Abbott’s Latin America and Canada business unit. For over 25 years, Mr. Winer has been proving his leadership abilities in the healthcare and biopharmaceutical industry on an international platform that includes such notable markets in the United States, Europe, Latin America, Asia, and Japan. Mr. Winer previously served on the board of directors for HCW Biologics (Nasdaq: HCWB) until June 2025 and on the Board of Directors for Bionode LLC from June 2020 until its acquisition in 2025. Mr. Winer holds a B.S. in Finance from California State University and an M.B.A. from Northwestern University’s Kellogg Graduate School. We believe Mr. Winer is qualified to serve as a member of our Board of Directors due to his experience leading and managing biotechnology, medical device and diagnostic companies, as well as his healthcare industry knowledge and his experience serving on the board of directors of other companies.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Whose Terms Expire at the 2028 Annual Meeting of Stockholders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Class II Directors</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Age</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2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Position at LENSAR</w:t>
            </w:r>
          </w:p>
        </w:tc>
      </w:tr>
      <w:tr>
        <w:trPr>
          <w:trHeight w:val="191"/>
        </w:trPr>
        <w:tc>
          <w:tcPr>
            <w:tcW w:w="55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Nicholas T. Curtis</w:t>
            </w:r>
          </w:p>
        </w:tc>
        <w:tc>
          <w:tcPr>
            <w:tcW w:w="13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70</w:t>
            </w:r>
          </w:p>
        </w:tc>
        <w:tc>
          <w:tcPr>
            <w:tcW w:w="1460" w:type="dxa"/>
            <w:vAlign w:val="bottom"/>
            <w:gridSpan w:val="2"/>
            <w:shd w:val="clear" w:color="auto" w:fill="CFF0FC"/>
          </w:tcPr>
          <w:p>
            <w:pPr>
              <w:jc w:val="center"/>
              <w:ind w:left="130"/>
              <w:spacing w:after="0" w:line="191" w:lineRule="exact"/>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shd w:val="clear" w:color="auto" w:fill="CFF0FC"/>
          </w:tcPr>
          <w:p>
            <w:pPr>
              <w:spacing w:after="0"/>
              <w:rPr>
                <w:sz w:val="16"/>
                <w:szCs w:val="16"/>
                <w:color w:val="auto"/>
              </w:rPr>
            </w:pPr>
          </w:p>
        </w:tc>
        <w:tc>
          <w:tcPr>
            <w:tcW w:w="28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5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and Director</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Todd B. Hammer</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Aimee S. Weisner</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2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864"/>
        </w:trPr>
        <w:tc>
          <w:tcPr>
            <w:tcW w:w="5540" w:type="dxa"/>
            <w:vAlign w:val="bottom"/>
          </w:tcPr>
          <w:p>
            <w:pPr>
              <w:spacing w:after="0"/>
              <w:rPr>
                <w:sz w:val="24"/>
                <w:szCs w:val="24"/>
                <w:color w:val="auto"/>
              </w:rPr>
            </w:pPr>
          </w:p>
        </w:tc>
        <w:tc>
          <w:tcPr>
            <w:tcW w:w="132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763"/>
        </w:trPr>
        <w:tc>
          <w:tcPr>
            <w:tcW w:w="5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Nicholas T. Curtis </w:t>
      </w:r>
      <w:r>
        <w:rPr>
          <w:rFonts w:ascii="Times New Roman" w:cs="Times New Roman" w:eastAsia="Times New Roman" w:hAnsi="Times New Roman"/>
          <w:sz w:val="18"/>
          <w:szCs w:val="18"/>
          <w:color w:val="auto"/>
        </w:rPr>
        <w:t>has served as our Chief Executive Officer and as a member of our Board of Directors since February 2012. Prior to becoming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Mr. Curtis served as our chief commercial officer from August 2010 until February 2012. Before joining us, Mr. Curtis was the vice president of sales and chief commercial officer of WaveTec Vision Systems, Inc., a privately held ophthalmic medical device company. Mr. Curtis served as a senior vice president of sales and marketing at STAAR Surgical Company, a publicly held company specializing in the manufacturing and marketing of ophthalmic surgery devices, from August 2002 until August 2008. Mr. Curtis has a B.S. from Northwestern University. We believe Mr. Curtis is qualified to serve as a member of our Board of Directors due to his extensive experience in the ophthalmology industry and long history with our company.</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B. Hammer </w:t>
      </w:r>
      <w:r>
        <w:rPr>
          <w:rFonts w:ascii="Times New Roman" w:cs="Times New Roman" w:eastAsia="Times New Roman" w:hAnsi="Times New Roman"/>
          <w:sz w:val="18"/>
          <w:szCs w:val="18"/>
          <w:color w:val="auto"/>
        </w:rPr>
        <w:t>has served on our Board of Directors since May 2023. Mr. Hammer has served as Co-Managing Member at North Run Capital, 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 Run”), a public security investment firm, since December 2002. Prior to co-founding North Run in 2002, Mr. Hammer was a Principal at Greenbriar Equity Group, LLC, a private equity firm, a Vice President at EnTrust Capital, LLC, a hedge fund and asset management firm, an Analyst at Baker Nye Greenblatt, LLC, an event-driven hedge fund, and an Associate in the Investment Banking Division at Goldman, Sachs &amp; Co. Mr. Hammer has served on the board of directors of Guerilla RF since August 2024. Mr. Hammer graduated from the University of Pennsylvania with dual degrees – a B.S. from the Wharton School and a B.A. from the College of Arts and Sciences. He also earned a J.D. from Harvard Law School. We believe Mr. Hammer is qualified to serve as a member of our Board of Directors due to his background in finance and his extensive experience investing in and working with companies.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Aimee S. Weisner </w:t>
      </w:r>
      <w:r>
        <w:rPr>
          <w:rFonts w:ascii="Times New Roman" w:cs="Times New Roman" w:eastAsia="Times New Roman" w:hAnsi="Times New Roman"/>
          <w:sz w:val="18"/>
          <w:szCs w:val="18"/>
          <w:color w:val="auto"/>
        </w:rPr>
        <w:t>has served on our Board of Directors since February 2021. Ms. Weisner is also a current member of the Board of Directors for Glaukos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(NYSE: GKOS), an ophthalmic medical technology and pharmaceutical company, where she has served as a Director since July 2014. Ms. Weisner previously served on the Board of Directors of STAAR Surgical Company (Nasdaq: STAA), a leading developer, manufacturer and marketer of implantable lenses for the eye, from June 2022 to June 2025 and on the Board of Directors for Oyster Point Pharma, Inc. (Nasdaq: OYST), a biopharmaceutical company focused on therapies to treat ocular surface diseases, from October 2019 until its acquisition in January 2023. Ms. Weisner was corporate vice president, general counsel of Edwards Lifesciences Corporation from January 2011 until her retirement in July 2019. From May 2009 to December 2010, she was engaged in private practice and served as legal advisor to public pharmaceutical and medical device companies located in Southern California. Prior to this, from June 2002 to May 2009, Ms. Weisner served in a number of positions at Advanced Medical Optics, Inc. (acquired by Abbott Laboratories), including executive vice president, administration and secretary. From January 1998 to June 2002, Ms. Weisner served in a number of positions at Allergan, Inc., including vice president, assistant general counsel and assistant secretary. Ms. Weisner holds a B.A. from California State University, Fullerton, and a J.D. from Loyola Law School, Los Angeles, and began her legal career as an associate at the law firm of O’Melveny &amp; Myers LLP. We believe Ms. Weisner is qualified to serve on our Board of Directors because of her extensive in-house legal and compliance experience with different medical device companies, including an in-depth understanding of regulatory and reimbursement issues, intellectual property, corporate governance, risk management, corporate transactions, human resources, and internal audit.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Thomas B. Ellis, Richard L. Lindstrom, MD, and William J. Link, PhD as a Class III director to hold office until the 2029 Annual Meeting and until his respective successor has been duly elected and qualified.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left="2460"/>
        <w:spacing w:after="0"/>
        <w:rPr>
          <w:sz w:val="20"/>
          <w:szCs w:val="20"/>
          <w:color w:val="auto"/>
        </w:rPr>
      </w:pPr>
      <w:r>
        <w:rPr>
          <w:rFonts w:ascii="Times New Roman" w:cs="Times New Roman" w:eastAsia="Times New Roman" w:hAnsi="Times New Roman"/>
          <w:sz w:val="18"/>
          <w:szCs w:val="18"/>
          <w:b w:val="1"/>
          <w:bCs w:val="1"/>
          <w:color w:val="auto"/>
        </w:rPr>
        <w:t>PROPOSAL NO. 2: RATIFICATION OF APPOINTMENT OF INDEPENDENT</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global capabilities relative to our business; and the firm’s knowledge of our operations. PricewaterhouseCoopers LLP has served as our independent registered public accounting firm since we were spun-off from PDL BioPharma, Inc. (“PDL”) in 2020. We engaged PricewaterhouseCoopers LLP as our independent registered accounting firm in November 2020.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PricewaterhouseCoopers LLP to serve as our independent registered public accounting firm for the fiscal year ending December 31, 2026.</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ratification is not required by our amended and restated bylaws (“Bylaws”) or otherwise, the Board is submitting the selection of PricewaterhouseCoopers LLP to our stockholders for ratification because we value our stockholders’ views on the Company’s independent registered public accounting firm and it is a good corporate governance practice. If our stockholders do not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PricewaterhouseCoopers LLP are expected to attend the Annual Meeting and to have an opportunity to make a statement and be available to respond to appropriate questions from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Audit-Related, Tax and All Other Fees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of PricewaterhouseCoopers LLP, our independent registered public accounting firm, billed to LENSAR in each of the last two fiscal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1,053,000</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1,082,881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1,053,000</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1,086,881</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fees consisted of aggregate fees billed for assurance and related professional services rendered by our independent public accounting firm for the audit of our annual financial statements, review of financial statements included in our quarterly reports on Form 10-Q and services that are normally provided in connection with statutory and regulatory filings or engagements, including the issuance of consents in connection with registration statement filings.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fees in 2024 consisted of licenses for accounting research and other tools.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formal written charter for our audit committee requires that the audit committee pre-approve all audit and non-audit services to be provided to us by our independent registered public accounting firm, other than services approved in accordance with appropriate pre-approval policies established by the audit committee and applicable SEC rules.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committee’s policy generally provides that the audit committee will not engage an independent registered public accounting firm to render any audit, audit-related, tax or permissible non-audit service unless the service is either (i) explicitly approved by the audit committee or (ii) entered into pursuant to the pre-approval policies and procedures. Unless a type of service to be provided by our independent registered public accounting firm has received this latter general pre-approval under the pre-approval policy, it requires specific pre-approval by the audit committee. Without limiting the foregoing, the audit committee may delegate authority to one or more independent members of the committee to grant pre-approvals of audit and permitted non-audit services, and any such pre-approvals must be presented to the audit committee at its next scheduled meeting.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services listed in the table above were preapproved by our audit committee.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PricewaterhouseCoopers LLP as our independent registered public accounting firm for the fiscal year ending December 31,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has furnished the following report, in accordance with rules established by the Securities and Exchange Commission (“SEC”), for inclusion in this Proxy Statement.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with management the audited financial statements in the Annual Report on Form 10-K for the year ended December 31, 2025, including a discussion of the quality, not just the acceptability, of the accounting principles, the reasonableness of significant judgments, and the clarity of disclosures in the financial statements. In addition, the Audit Committee reviewed and discussed with management the internal audit plan for the year ended December 31, 2025. Furthermore, the Audit Committee reviewed and discussed with the Company’s management the Company’s design and functioning of its internal controls over financial reporting. The Audit Committee reviewed with PricewaterhouseCoopers LLP,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Committee under generally accepted auditing standards. In addition, the Committee has discussed with PricewaterhouseCoopers LLP the matters required to be discussed by applicable requirements of the Public Company Accounting Oversight Board and the SEC. The Audit Committee has received the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their independence. The Audit Committee also considered the compatibility of non-audit services with PricewaterhouseCoopers LLP’s independence.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discussed with PricewaterhouseCoopers LLP the overall scope and plans for their audit. The Audit Committee regularly meets with PricewaterhouseCoopers LLP, with and without management present, to discuss the results of their examination, the Company’s internal controls, and the overall quality of the Company’s financial reporting.</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that the audited financial statements be included in the Annual Report on Form 10-K for the year ended December 31, 2025 for filing with the SEC. The Audit Committee recommends that the appointment of PricewaterhouseCoopers LLP 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for the fiscal year ending December 31, 2026 be ratified by the Company’s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Submitted by the Audit Committee of the Company’s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G. O’Farrell, Chair of the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Link,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L. Lindstrom,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M. Winer</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9" w:name="page20"/>
    <w:bookmarkEnd w:id="19"/>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 APPROVAL, ON AN ADVISORY (NON-BINDING) BASIS, OF THE COMPENSATION OF OUR NAMED EXECUTIVE OFFICERS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“Dodd-Frank Act”) and Section 14A of the Securities Exchange Act of 1934, as amended (the “Exchange Act”), we are asking our stockholders to approve, on an advisory (non-binding) basis, the compensation of our named executive officers as disclosed in this Proxy Statement pursuant to Item 402 of Regulation S-K. This proposal, commonly known as a “Say-on-Pay Vote,” gives our stockholders the opportunity to express their views on our named executive officers’ compensation. The Say-on-Pay Vote is not intended to address any specific item of compensation, but rather the overall compensation of our named executive officers and the philosophy, policies and practices described in this Proxy Statement.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encourage stockholders to carefully review the “Executive and Director Compensation” section of this Proxy Statement for additional details on the Company’s named executive officers’ compensation for 2025.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advisory approval, this proposal is not binding upon us or our Board of Directors. However, the Compensation Committee, which is responsible for the design and administration of our executive compensation program, values the opinions of our stockholders expressed through stockholders’ vote on this proposal. The Board and Compensation Committee will consider the outcome of this vote in making future compensation decisions for our named executive officers. Accordingly, we ask our stockholders to vote “FOR” the following resolution at the Annual Meeting:</w:t>
      </w:r>
    </w:p>
    <w:p>
      <w:pPr>
        <w:spacing w:after="0" w:line="176"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stockholders of LENSAR, Inc. approve, on an advisory (non-binding) basis, the fiscal year 2025 compensation of LENSAR, Inc.’s named executive officers as described in the “Executive and Director Compensation” section and disclosed in the Summary Compensation Table and related compensation tables and narrative disclosure set forth in LENSAR, Inc.’s Proxy Statement for the 2026 Annual Meeting of Stockholders.”</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that the next Say-on-Pay Vote will occur at our annual meeting of stockholders to be held in 2027 (the “2027 Annual Meeting”), although the Board will consider the outcome of the advisory vote in Proposal 4 when making a final determination.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resolution to approve, on an advisory (non-binding) basis, the compensation of our named executive officers.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231F20"/>
        </w:rPr>
        <w:t xml:space="preserve">PROPOSAL NO. 4: </w:t>
      </w:r>
      <w:r>
        <w:rPr>
          <w:rFonts w:ascii="Times New Roman" w:cs="Times New Roman" w:eastAsia="Times New Roman" w:hAnsi="Times New Roman"/>
          <w:sz w:val="18"/>
          <w:szCs w:val="18"/>
          <w:b w:val="1"/>
          <w:bCs w:val="1"/>
          <w:color w:val="000000"/>
        </w:rPr>
        <w:t>APPROVAL, ON AN ADVISORY (NON-BINDING) BASIS, THE FREQUENCY OF FUTURE ADVISORY (NON-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BINDING) VOTES ON THE COMPENSATION OF OUR NAMED EXECUTIVE OFFICERS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Dodd-Frank Act and Section 14A of the Exchange Act, we are asking our stockholders to vote, on an advisory (non-binding) basis, how frequently we should hold an advisory vote on the compensation of our named executive officers. By voting on this proposal, commonly known as a “Say-on-Frequency Vote,” stockholders may indicate whether they would prefer an advisory vote on named executive officer compensation once every one, two, or three years.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careful consideration of this proposal, the Board recommends that future advisory (non-binding) stockholder votes on the compensation of our named executive officers occur every year.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formulating its recommendation, the Board considered that an annual advisory vote on executive compensation allows our stockholders to provide us with their direct input on our compensation philosophy, policies and practices as disclosed in the proxy statement every year. The Board has further determined that an annual vote is consistent with best corporate governance practices and the frequency with which our Compensation Committee evaluates, adjusts and approves executive compensation.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understand that our stockholders may have different views as to what the best approach is for the Company, and we look forward to hearing from our stockholders on this proposal.</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cast your vote for your preferred voting frequency by choosing the option of one year, two years, three years or you may abstain from voting on this proposal.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advisory approval, this proposal is not binding upon us, our Board of Directors or the Compensation Committee. However, the Board and the Compensation Committee value the opinions of our stockholders and intend to consider our stockholders’ views regarding how often they should be offered an advisory vote on our executive compensation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a vote, on an advisory (non-binding) basis, for future advisory (non-binding) votes on the compensation of our named executive officers to occur every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identifies and sets forth certain biographical and other information regarding our executive officers as of June 23, 2026. There are no family relationships among any of our executive officers or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Current</w:t>
            </w:r>
          </w:p>
        </w:tc>
        <w:tc>
          <w:tcPr>
            <w:tcW w:w="0" w:type="dxa"/>
            <w:vAlign w:val="bottom"/>
          </w:tcPr>
          <w:p>
            <w:pPr>
              <w:spacing w:after="0"/>
              <w:rPr>
                <w:sz w:val="1"/>
                <w:szCs w:val="1"/>
                <w:color w:val="auto"/>
              </w:rPr>
            </w:pPr>
          </w:p>
        </w:tc>
      </w:tr>
      <w:tr>
        <w:trPr>
          <w:trHeight w:val="148"/>
        </w:trPr>
        <w:tc>
          <w:tcPr>
            <w:tcW w:w="29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40" w:type="dxa"/>
            <w:vAlign w:val="bottom"/>
          </w:tcPr>
          <w:p>
            <w:pPr>
              <w:spacing w:after="0"/>
              <w:rPr>
                <w:sz w:val="12"/>
                <w:szCs w:val="12"/>
                <w:color w:val="auto"/>
              </w:rPr>
            </w:pPr>
          </w:p>
        </w:tc>
        <w:tc>
          <w:tcPr>
            <w:tcW w:w="10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Age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6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Nicholas T. Curtis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2012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Alan B. Connaughton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Operating Officer</w:t>
            </w:r>
          </w:p>
        </w:tc>
        <w:tc>
          <w:tcPr>
            <w:tcW w:w="1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A. Rossi</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Interim Chief Financial Officer and Secretary</w:t>
            </w:r>
          </w:p>
        </w:tc>
        <w:tc>
          <w:tcPr>
            <w:tcW w:w="16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See page 10 of this Proxy Statement for the biography of Nicholas T. Curtis.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Alan B. Connaughton </w:t>
      </w:r>
      <w:r>
        <w:rPr>
          <w:rFonts w:ascii="Times New Roman" w:cs="Times New Roman" w:eastAsia="Times New Roman" w:hAnsi="Times New Roman"/>
          <w:sz w:val="18"/>
          <w:szCs w:val="18"/>
          <w:color w:val="auto"/>
        </w:rPr>
        <w:t>has served as our chief operating officer since April 2015. Prior to becoming Chief Operating Officer, Mr. Connaughton was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of operations from January 2008 until April 2015. Mr. Connaughton has over 20 years of experience working with medical device companies. Mr. Connaughton received a B.S. from University College Galway, an M.S. from Queens University College and an M.B.A. from Rollins College.</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 Rossi </w:t>
      </w:r>
      <w:r>
        <w:rPr>
          <w:rFonts w:ascii="Times New Roman" w:cs="Times New Roman" w:eastAsia="Times New Roman" w:hAnsi="Times New Roman"/>
          <w:sz w:val="18"/>
          <w:szCs w:val="18"/>
          <w:color w:val="auto"/>
        </w:rPr>
        <w:t>has served as our Interim Chief Financial Officer since May 2026. Mr. Rossi previously served as Chief Financial Officer of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Vascular, Inc., an early commercial stage medical device company, from March 2025 to July 2025 after having served as a consulting CFO for Access Vascular from April 2024 to February 2025. He served as Chief Financial Officer of ConcertAI LLC, a data, software and AI company serving life sciences and healthcare, from February 2023 to September 2023. Prior to these roles, Mr. Rossi served as Chief Financial Officer of Harvard Bioscience, Inc. (Nasdaq: HBIO), a life science tools company, from July 2019 to December 2022, and as Chief Financial Officer of various other companies within the healthcare industry. Mr. Rossi brings significant experience with turnarounds and driving financial and operational improvements within complex middle market healthcare businesses. He also has over twenty years of public company and private equity finance and accounting experience as well as experience driving strategic acquisitions and managing debt and liquidity during both periods of growth and business downturns. Earlier in his career, Mr. Rossi held finance roles of increasing responsibility at various public companies, and he began his professional career as an accountant at PricewaterhouseCoopers. Mr. Rossi received a B.S. in accounting from Babson College and an MBA from Babson College’s Olin School of Management.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adopted Corporate Governance Guidelines. A copy of these Corporate Governance Guidelines can be found in the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Governance” section of the “Investor Relations” page of our website located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or by writing to our Secretary at our offices at 2800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Drive, Orlando, Florida, 32826. Among the topics addressed in our Corporate Governance Guidelines are:</w:t>
      </w:r>
    </w:p>
    <w:tbl>
      <w:tblPr>
        <w:tblLayout w:type="fixed"/>
        <w:tblInd w:w="8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Board independence and qualifications</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Stock ownership</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Board leadership and structure</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Board access to senior management</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Executive sessions of independent directors</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Board access to third-party advisors</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Selection of new directors</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Board and committee self-evaluations</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Director orientation and continuing education</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Board meetings</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Limits on board service</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Meeting attendance by directors and non-directors</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Change of principal occupation</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Meeting materials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Term limits</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w w:val="99"/>
              </w:rPr>
              <w:t>Board committees, responsibilities and independence</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Director responsibilities</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Succession planning</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Director compensation</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Communication with the board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does not have a policy on whether the role of the Chairperson and Chief Executive Officer should be separate and, if it is to be separate, whether the Chairperson should be selected from the non-employee directors or be an employee. If the chairperson of the Board is a member of management or does not otherwise qualify as independent, our Corporate Governance Guidelines provide that the independent directors may elect a lead independent director (the “Lead Director”). The Lead Director’s responsibilities include, but are not limited to: presiding over all meetings of the Board at which the Chairperson of the Board is not present, including any executive sessions of the independent directors; approving Board meeting schedules and agendas; and acting as the liaison between the independent directors, on the one hand, and the Chief Executive Officer and Chairperson of the Board, on the other. Our Corporate Governance Guidelines provide that, at such times as the Chairperson of the Board qualifies as independent, the Chairperson of the Board may serve as Lead Director.</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positions of our Chair of the Board and our Chief Executive Officer are currently separate. Dr. Link, an independent director, serves as Chairman of the Board, and Mr. Curtis serves as our Chief Executive Officer.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believes that our current leadership structure of Chief Executive Officer and Chair of the Board being held by two individuals, with the Chair qualified as independent, is in the best interests of the Company and its stockholders and strikes the appropriate balance between the Chief Executive Officer’s responsibility for the strategic direction, day-to day-leadership and performance of our Company and the Chair of the Board’s responsibility to guide overall strategic direction of our Company and provide oversight of our corporate governance and guidance to our Chief Executive Officer and to set the agenda for and preside over Board meetings. We recognize that different leadership structures may be appropriate for companies in different situations and believe that no one structure is suitable for all companies. Accordingly, the Board will continue to periodically review our leadership structure and make such changes in the future as it deems appropriate and in the best interests of the Company and its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Corporate Governance Guidelines and the applicable Nasdaq Stock Market LLC (“Nasdaq”) rules (the “Nasdaq rules”), a director is not independent unless the Board affirmatively determines that he or she does not have a direct or indirect material relationship with us or any of our subsidiaries. In addition, the director must not be precluded from qualifying as independent under the per se bars set forth by the Nasdaq rules.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Mr. Ellis, Mr. Hammer, Dr. Lindstrom, Dr. Link, Ms. O’Farrell, Ms. Weisner and Mr. Winer, representing seven of our eight directors, has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us and all other facts and circumstances our Board deemed relevant in determining their independence, including the director’s beneficial ownership of our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compensation committee and a nominating and corporate governance committee, each of which has the composition and the responsibilities described below. In addition, from time to time, special committees may be established under the direction of our Board when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necessary to address specific issues. Each of the audit committee, the compensation committee and the nominating and corporate governance committee operates under a written charter.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2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0" w:type="dxa"/>
            <w:vAlign w:val="bottom"/>
          </w:tcPr>
          <w:p>
            <w:pPr>
              <w:spacing w:after="0"/>
              <w:rPr>
                <w:sz w:val="1"/>
                <w:szCs w:val="1"/>
                <w:color w:val="auto"/>
              </w:rPr>
            </w:pPr>
          </w:p>
        </w:tc>
      </w:tr>
      <w:tr>
        <w:trPr>
          <w:trHeight w:val="148"/>
        </w:trPr>
        <w:tc>
          <w:tcPr>
            <w:tcW w:w="55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B. Ellis</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Todd B. Hammer</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J. Link, PhD</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Richard L. Lindstrom, MD</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Elizabeth G. O'Farrell</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Aimee S. Weisner</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Gary M. Winer</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98" w:lineRule="exact"/>
        <w:rPr>
          <w:sz w:val="20"/>
          <w:szCs w:val="20"/>
          <w:color w:val="auto"/>
        </w:rPr>
      </w:pPr>
    </w:p>
    <w:p>
      <w:pPr>
        <w:ind w:left="1500" w:hanging="743"/>
        <w:spacing w:after="0"/>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overseeing our accounting and financial reporting process;</w:t>
      </w:r>
    </w:p>
    <w:p>
      <w:pPr>
        <w:spacing w:after="0" w:line="171" w:lineRule="exact"/>
        <w:rPr>
          <w:rFonts w:ascii="Times New Roman" w:cs="Times New Roman" w:eastAsia="Times New Roman" w:hAnsi="Times New Roman"/>
          <w:sz w:val="18"/>
          <w:szCs w:val="18"/>
          <w:b w:val="1"/>
          <w:bCs w:val="1"/>
          <w:color w:val="auto"/>
        </w:rPr>
      </w:pPr>
    </w:p>
    <w:p>
      <w:pPr>
        <w:jc w:val="both"/>
        <w:ind w:left="1500" w:hanging="743"/>
        <w:spacing w:after="0" w:line="266" w:lineRule="auto"/>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appointing, compensating, retaining and overseeing the work of our independent auditor and any other registered public accounting firm engaged for the purpose of preparing or issuing an audit report or related work or performing other audit, review or attest services for us;</w:t>
      </w:r>
    </w:p>
    <w:p>
      <w:pPr>
        <w:spacing w:after="0" w:line="12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discussing with our independent auditor any audit problems or difficulties and management’s response;</w:t>
      </w:r>
    </w:p>
    <w:p>
      <w:pPr>
        <w:spacing w:after="0" w:line="171" w:lineRule="exact"/>
        <w:rPr>
          <w:rFonts w:ascii="Times New Roman" w:cs="Times New Roman" w:eastAsia="Times New Roman" w:hAnsi="Times New Roman"/>
          <w:sz w:val="18"/>
          <w:szCs w:val="18"/>
          <w:b w:val="1"/>
          <w:bCs w:val="1"/>
          <w:color w:val="auto"/>
        </w:rPr>
      </w:pPr>
    </w:p>
    <w:p>
      <w:pPr>
        <w:jc w:val="both"/>
        <w:ind w:left="1500" w:hanging="743"/>
        <w:spacing w:after="0" w:line="266" w:lineRule="auto"/>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pre-approving all audit and non-audit services provided to us by our independent auditor (other than those provided pursuant to appropriate preapproval policies established by the audit committee or exempt from such requirement under the rules of the Securities and Exchange Commission);</w:t>
      </w:r>
    </w:p>
    <w:p>
      <w:pPr>
        <w:spacing w:after="0" w:line="12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reviewing and discussing our annual and quarterly financial statements with management and our independent auditor;</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discussing our risk management policies;</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line="282" w:lineRule="auto"/>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overseeing management of our financial risks, cybersecurity, information and data protection risks, and, as necessary or advisable, other material risks;</w:t>
      </w:r>
    </w:p>
    <w:p>
      <w:pPr>
        <w:spacing w:after="0" w:line="107"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reviewing and approving or ratifying any related person transactions;</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reviewing our code of business conduct and ethics (the “Code of Conduct”) and procedures in place to enforce the Code of Conduct;</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overseeing our compliance program with respect to legal and regulatory requirements;</w:t>
      </w:r>
    </w:p>
    <w:p>
      <w:pPr>
        <w:spacing w:after="0" w:line="171" w:lineRule="exact"/>
        <w:rPr>
          <w:rFonts w:ascii="Times New Roman" w:cs="Times New Roman" w:eastAsia="Times New Roman" w:hAnsi="Times New Roman"/>
          <w:sz w:val="18"/>
          <w:szCs w:val="18"/>
          <w:b w:val="1"/>
          <w:bCs w:val="1"/>
          <w:color w:val="auto"/>
        </w:rPr>
      </w:pPr>
    </w:p>
    <w:p>
      <w:pPr>
        <w:jc w:val="both"/>
        <w:ind w:left="1500" w:hanging="743"/>
        <w:spacing w:after="0" w:line="266" w:lineRule="auto"/>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12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preparing the audit committee report required by SEC rules.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currently consists of William J. Link, PhD, Richard L. Lindstrom, MD, Elizabeth G. O’Farrell, and Gary M. Winer, with Ms. O’Farrell serving as chair. Our Board of Directors has determined that all members of our audit committee are financially literate and that each member of our audit committee qualifies as “independent” under Nasdaq’s additional standards applicable to audit committee members and Rule 10A-3 of the Exchange Act of 1934, as amended (the “Exchange Act”). In addition, our Board of Directors has determined that Ms. O’Farrell, Dr.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ind w:right="340"/>
        <w:spacing w:after="0" w:line="461" w:lineRule="auto"/>
        <w:rPr>
          <w:sz w:val="20"/>
          <w:szCs w:val="20"/>
          <w:color w:val="auto"/>
        </w:rPr>
      </w:pPr>
      <w:r>
        <w:rPr>
          <w:rFonts w:ascii="Times New Roman" w:cs="Times New Roman" w:eastAsia="Times New Roman" w:hAnsi="Times New Roman"/>
          <w:sz w:val="18"/>
          <w:szCs w:val="18"/>
          <w:color w:val="auto"/>
        </w:rPr>
        <w:t xml:space="preserve">Link, Dr. Lindstrom and Mr. Winer each qualify as an “audit committee financial expert,” as such term is defined in Item 407(d)(5) of Regulation S-K. </w:t>
      </w:r>
      <w:r>
        <w:rPr>
          <w:rFonts w:ascii="Times New Roman" w:cs="Times New Roman" w:eastAsia="Times New Roman" w:hAnsi="Times New Roman"/>
          <w:sz w:val="18"/>
          <w:szCs w:val="18"/>
          <w:b w:val="1"/>
          <w:bCs w:val="1"/>
          <w:color w:val="auto"/>
        </w:rPr>
        <w:t>Compensation Committee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185" w:lineRule="exact"/>
        <w:rPr>
          <w:sz w:val="20"/>
          <w:szCs w:val="20"/>
          <w:color w:val="auto"/>
        </w:rPr>
      </w:pPr>
    </w:p>
    <w:p>
      <w:pPr>
        <w:jc w:val="both"/>
        <w:ind w:left="1500" w:hanging="743"/>
        <w:spacing w:after="0" w:line="266" w:lineRule="auto"/>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reviewing and approving corporate goals and objectives with respect to the compensation of our Chief Executive Officer, evaluating our Chief Executive Officer’s performance in light of these goals and objectives and recommending our Chief Executive Officer’s compensation to our Board of Directors;</w:t>
      </w:r>
    </w:p>
    <w:p>
      <w:pPr>
        <w:spacing w:after="0" w:line="121" w:lineRule="exact"/>
        <w:rPr>
          <w:rFonts w:ascii="Times New Roman" w:cs="Times New Roman" w:eastAsia="Times New Roman" w:hAnsi="Times New Roman"/>
          <w:sz w:val="18"/>
          <w:szCs w:val="18"/>
          <w:b w:val="1"/>
          <w:bCs w:val="1"/>
          <w:color w:val="auto"/>
        </w:rPr>
      </w:pPr>
    </w:p>
    <w:p>
      <w:pPr>
        <w:ind w:left="1500" w:hanging="743"/>
        <w:spacing w:after="0" w:line="282" w:lineRule="auto"/>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 xml:space="preserve">reviewing and setting or making recommendations to 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regarding the compensation of our other executive officers;</w:t>
      </w:r>
    </w:p>
    <w:p>
      <w:pPr>
        <w:spacing w:after="0" w:line="107"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 xml:space="preserve">reviewing and making recommendations to 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regarding director compensation;</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line="282" w:lineRule="auto"/>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 xml:space="preserve">reviewing and approving or making recommendations to 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regarding our incentive compensation and equity-based plans, policies and arrangements;</w:t>
      </w:r>
    </w:p>
    <w:p>
      <w:pPr>
        <w:spacing w:after="0" w:line="107"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appointing and overseeing any compensation consultants;</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reviewing and discussing annually with management our “Compensation Discussion and Analysis,” to the extent required;</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administering our compensation recovery policy;</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overseeing the Company’s strategies, policies and practices regarding human capital management and talent development; and</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preparing the annual compensation committee report required by SEC rules, to the extent required.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currently consists of William J. Link, PhD, Todd B. Hammer, Richard L. Lindstrom, MD, Aimee S. Weisner, and Gary M. Winer, with Dr. Lindstrom serving as chair. Our Board of Directors has determined that each member of our compensation committee qualifies as “independent” under Nasdaq’s additional standards applicable to compensation committee members. Our Board of Directors has determined that each of Messrs. Link, Lindstrom, and Winer and Ms. Weisner qualifies as a “non-employee director” as defined under Section 16b-3 of the Exchange Act.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compensation committee’s charter, the compensation committee has the authority to retain or obtain the advice of compensation consultants, legal counsel and other advisors to assist in carrying out its responsibilities. Before selecting any such consultant, counsel or advisor, the compensation committee reviews and considers the independence of such consultant, counsel or advisor in accordance with applicable Nasdaq rules. We must provide appropriate funding for payment of reasonable compensation to any advisor retained by the compensation committee.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Consultants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under its charter to retain outside consultants or advisors, as it deems necessary or advisable. In accordance with this authority, the compensation committee has engaged the services of Pay Governance LLC as its independent outside compensation consultant.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requested by the compensation committee, in 2025, Pay Governance LLC’s services to the compensation committee included, assisting us in developing our peer group composition, analyzing benchmarking data with respect to our executives’ overall individual compensation and providing information regarding current trends and developments in executive compensation, equity-based awards, severance agreements and best practices in the use of long term incentives to encourage employee retention based on our peer group.</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All executive compensation services provided by Pay Governance LLC during 2025 were conducted under the direction or authority of the compensation committee, and all work performed by Pay Governance LLC was approved by the compensation committee. Neither Pay Governance LLC nor any of its affiliates maintains any other direct or indirect business relationships with us or any of our subsidiaries. The compensation committee evaluated whether any work provided by Pay Governance LLC raised any conflict of interest for services performed during 2025 and determined that it did not.</w:t>
      </w:r>
    </w:p>
    <w:p>
      <w:pPr>
        <w:spacing w:after="0" w:line="1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Additionally, during 2025, Pay Governance LLC did not provide any services to us other than regarding executive, employee and director compensation and broad-based plans that do not discriminate in scope, terms, or operation, in favor of our executive officers or directors, and that are available generally to all salaried employees.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85" w:lineRule="exact"/>
        <w:rPr>
          <w:sz w:val="20"/>
          <w:szCs w:val="20"/>
          <w:color w:val="auto"/>
        </w:rPr>
      </w:pPr>
    </w:p>
    <w:p>
      <w:pPr>
        <w:ind w:left="1500" w:hanging="743"/>
        <w:spacing w:after="0" w:line="282" w:lineRule="auto"/>
        <w:tabs>
          <w:tab w:leader="none" w:pos="1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identifying individuals qualified to become members of our Board, consistent with criteria approved by the Board, so that the Board has the requisite expertise and consists of persons with sufficiently diverse and independent backgrounds;</w:t>
      </w:r>
    </w:p>
    <w:p>
      <w:pPr>
        <w:spacing w:after="0" w:line="107"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recommending to our Board the persons to be nominated for election as directors and to each committee of the Board;</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reviewing and making recommendations to our Board regarding director independence and qualification determinations;</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reviewing the Board’s leadership structure and recommending any proposed changes to the Board;</w:t>
      </w:r>
    </w:p>
    <w:p>
      <w:pPr>
        <w:spacing w:after="0" w:line="171" w:lineRule="exact"/>
        <w:rPr>
          <w:rFonts w:ascii="Times New Roman" w:cs="Times New Roman" w:eastAsia="Times New Roman" w:hAnsi="Times New Roman"/>
          <w:sz w:val="18"/>
          <w:szCs w:val="18"/>
          <w:b w:val="1"/>
          <w:bCs w:val="1"/>
          <w:color w:val="auto"/>
        </w:rPr>
      </w:pPr>
    </w:p>
    <w:p>
      <w:pPr>
        <w:ind w:left="1500" w:hanging="743"/>
        <w:spacing w:after="0" w:line="282" w:lineRule="auto"/>
        <w:tabs>
          <w:tab w:leader="none" w:pos="1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developing and recommending to our Board corporate governance guidelines, and reviewing and recommending to our Board proposed changes to our corporate governance guidelines from time to time;</w:t>
      </w:r>
    </w:p>
    <w:p>
      <w:pPr>
        <w:spacing w:after="0" w:line="107" w:lineRule="exact"/>
        <w:rPr>
          <w:rFonts w:ascii="Times New Roman" w:cs="Times New Roman" w:eastAsia="Times New Roman" w:hAnsi="Times New Roman"/>
          <w:sz w:val="18"/>
          <w:szCs w:val="18"/>
          <w:b w:val="1"/>
          <w:bCs w:val="1"/>
          <w:color w:val="auto"/>
        </w:rPr>
      </w:pPr>
    </w:p>
    <w:p>
      <w:pPr>
        <w:ind w:left="1500" w:hanging="743"/>
        <w:spacing w:after="0" w:line="282" w:lineRule="auto"/>
        <w:tabs>
          <w:tab w:leader="none" w:pos="1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overseeing the Company’s strategy, initiatives and policies and risks concerning corporate social responsibility, including environmental and social matters; and</w:t>
      </w:r>
    </w:p>
    <w:p>
      <w:pPr>
        <w:spacing w:after="0" w:line="107"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overseeing the periodic evaluations of our Board and its committees.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Thomas B. Ellis, William J. Link, PhD, Richard L. Lindstrom, MD, and Gary M. Winer, with Mr. Winer serving as chair. Our Board has determined that each member of our nominating and corporate governance committee qualifies as “independent” under applicable Nasdaq rules applicable to nominating and corporate governance committee members.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Board Committee Meetings and Attendance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2025, our Board of Directors met 11 times, the audit committee met four times, and the compensation committee met one time. The nominating and corporate governance committee took action via unanimous written consent in lieu of holding a meeting. In 2025, each of our incumbent directors then serving attended at least 75% of the meetings of the Board and committees on which he or she served as a member.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Executive sessions, which are meetings of the non-management members of the Board, are regularly scheduled throughout the year. In addition, on a regularly scheduled basis, but no less than twice a year, the independent directors meet in a private session that excludes management and any non-independent directors. The Chair of the Board presides at these meetings, and if absent, the non-management and independent directors in attendance, as applicable, determine which member will preside at such session.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the attendance of our Board members at our annual meetings of stockholders, but we expect all directors to make every effort to attend any meeting of stockholders. All of our directors attended the 2025 Annual Meeting of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Process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of stockholders, the nominating and corporate governance committee considers the criteria set forth in our Corporate Governance Guidelines. Specifically, the nominating and corporate governance committee may take into account many factors, including, without limitation: personal and professional integrity, ethics and values; experience in corporate management, such as serving as an officer or former officer of a publicly held company; strong finance experience; relevant social policy concerns; experience relevant to our industry; experience as a board member of another publicly held company; relevant academic expertise or other proficiency in an area of our operations; diversity of expertise and experience in substantive matters pertaining to our business relative to other board members; diversity of background and perspective, practical and mature business judgment, including, but not limited to, the ability to make independent analytical inquiries; and any other relevant qualifications, attributes or skills. In addition, the Board will consider whether there are potential conflicts of interest with the candidate’s other personal and professional pursuits. In determining whether to recommend a director for re-election, the nominating and corporate governance committee and the Board may also consider the director’s past attendance at meetings and participation in and contributions to the activities of the Board.</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aim to review a variety of qualified candidates from different backgrounds, and do not have a formal diversity policy. The Board evaluates each individual in the context of the Board as a whole, with the objective of assembling a group that can best perpetuate the success of the business and represent stockholder interests through the exercise of sound judgment using its diversity of experience and background in these various areas. In addition, the Nominating and Corporate Governance Committee and the Board will consider whether there are potential conflicts of interest with the candidate’s other personal and professional pursuits.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uses the same criteria for evaluating candidates regardless of the source of the referral or recommendation. When considering director candidates, the nominating and corporate governance committee seeks individuals with backgrounds and qualities that, when combined with those of our incumbent directors, provide a blend of skills and experience to further enhance the Board’s effectiveness. In connection with its annual recommendation of a slate of nominees, the nominating and corporate governance committee also may assess the contributions of those directors recommended for re-election in the context of the Board evaluation process and other perceived needs of the Board.</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Ellis, a Class III director nominee, was initially appointed as North Run’s director designee. In determining to nominate each of the director nominees to be elected at the Annual Meeting, each were evaluated in accordance with our standard review process for director candidates described herein.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connection with North Run’s investment in the Company, North Run has continuing director designation rights based on its beneficial ownership of our common stock on an as-converted basis. Messrs. Ellis and Hammer are North Run’s director designees under this covenant. See “Certain Transactions with Related Persons — North Run Investment.”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considering whether the directors and nominees have the experience, qualifications, attributes and skills, taken as a whole, to enable the Board to satisfy its oversight responsibilities effectively in light of our business and structure, the Board focused primarily on the information discussed in each of the board member’s biographical information set forth above. We believe that our directors provide an appropriate mix of experience and skills relevant to the size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nature of our business. This process resulted in the Board’s nomination of the incumbent directors named in this Proxy Statement and proposed for election by you at the Annual Meeting.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will review and evaluate information available to it regarding candidates proposed by stockholders and will apply the same criteria and follow substantially the same process in considering them as it does in considering other director candidates. Stockholders wishing to propose a candidate for consideration may do so by submitting the above information to the attention of the Secretary, LENSAR, Inc., 2800 Discovery Drive, Orlando, Florida 32826.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has overall responsibility for risk oversight, including, as part of regular Board and committee meetings, general oversight of executives’ management of risks relevant to the Company. A fundamental part of risk oversight is not only understanding the material risks a company faces and the steps management is taking to manage those risks, but also understanding what level of risk is appropriate for the Company. The involvement of the Board of Directors in reviewing our business strategy is an integral aspect of the Board’s assessment of management’s tolerance for risk and its determination of what constitutes an appropriate level of risk for the Company. While the full Board has overall responsibility for risk oversight, it is supported in this function by its audit committee, compensation committee and nominating and corporate governance committee. Each of the committees regularly reports to the Board.</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is responsible for discussing the Company’s policies with respect to risk assessment and risk management, including guidelines and policies to govern the process by which the Company’s exposure to risk is handled, and oversees management of financial and data privacy and cybersecurity risks. As part of this risk oversight, the audit committee oversees management of the Company’s financial risks, information security, cybersecurity and data protection risks, and, as necessary or advisable, such other material risks facing the Company, except to the extent oversight of such risks has been assigned to other committees of the Board or retained by the Board, and the steps taken by management to identify, monitor and control these exposures. Such oversight includes an annual update from management on the Company’s risk assessment, information security, cybersecurity and data protection risks. The compensation committee is responsible for overseeing the management of risks relating to the Company’s executive compensation plans and arrangements, and human capital management. The compensation committee also periodically reviews the Company’s compensation policies and practices and assess whether such policies and practices are reasonably likely to have a material adverse effect on the Company by encouraging excessive risk-taking. The nominating and corporate governance committee manages risks associated with the Company’s corporate governance framework and environmental and social matters. While each committee is responsible for evaluating certain risks and overseeing the management of such risks, the entire Board is regularly informed through committee reports about such risks. In addition, our Board receives periodic detailed operating performance reviews from management.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Charters and Corporate Governance Guidelines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charters of the audit committee, compensation committee and nominating and corporate governance committee and other corporate governance information are available under the Governance section of the Investor Relations page of our website located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or by writing to our Secretary at our offices at 2800 Discovery Drive, Orlando, Florida 32826.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Conduct that applies to all of our directors, officers and employees, including our principal executive officer, principal financial officer or controller, or persons performing similar functions. Our Code of Conduct is available under the Governance section of the Investor Relations page of our website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In addition, we intend to post on our website all disclosures that are required by law or the Nasdaq rules concerning any amendments to, or waivers of, any provisions of our Code of Conduct.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Compliance Policy and Anti-Hedging Policy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an Insider Trading Compliance Policy (the “Insider Trading Policy”), which governs the purchase, sale and/or other dispositions of the Company’s securities by officers, directors and employees of the Company. We believe our Insider Trading Policy is reasonably designed to promote compliance with insider trading laws, rules, and regulations and exchange standards applicable to the Company. It is also our policy to comply with applicable insider trading laws and regulations with respect to transactions in our own securities. In addition, our Insider Trading Policy prohibits persons and entities subject to the policy from engaging in hedging transactions involving our equity securities, such as prepaid variable forward contracts, equity swaps, collars and exchange funds, or other transactions that hedge or offset, or are designed to hedge or offset, any decrease in the market value of our equity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our Insider Trading Policy is filed as Exhibit 19.1 to our Annual Report on Form 10-K for the fiscal year ended December 31, 2025 (as amended, our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securityholder or any other interested party who desires to communicate with our Board of Directors, our non-management directors or any specified individual director, may do so by directing such correspondence to the attention of the Secretary, LENSAR, Inc., 2800 Discovery Drive, Orlando, Florida, 32826. The Secretary will forward the communication to the appropriate director or directors as appropriate.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 Compensation Table” below. In 2025, our “named executive officers” were Nicholas T. Curtis, our Chief Executive Officer; Alan B. Connaughton, our Chief Operating Officer; and Thomas R. Staab, II, our former Chief Financial Officer.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named executive officers for services rendered during the years ended December 31, 2025 and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Non-equity</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35"/>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1"/>
                <w:szCs w:val="11"/>
                <w:color w:val="auto"/>
              </w:rPr>
            </w:pPr>
          </w:p>
        </w:tc>
        <w:tc>
          <w:tcPr>
            <w:tcW w:w="13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100" w:type="dxa"/>
            <w:vAlign w:val="bottom"/>
          </w:tcPr>
          <w:p>
            <w:pPr>
              <w:spacing w:after="0"/>
              <w:rPr>
                <w:sz w:val="11"/>
                <w:szCs w:val="11"/>
                <w:color w:val="auto"/>
              </w:rPr>
            </w:pPr>
          </w:p>
        </w:tc>
        <w:tc>
          <w:tcPr>
            <w:tcW w:w="13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 other</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8"/>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ind w:right="437"/>
              <w:spacing w:after="0" w:line="128" w:lineRule="exact"/>
              <w:rPr>
                <w:sz w:val="20"/>
                <w:szCs w:val="20"/>
                <w:color w:val="auto"/>
              </w:rPr>
            </w:pPr>
            <w:r>
              <w:rPr>
                <w:rFonts w:ascii="Times New Roman" w:cs="Times New Roman" w:eastAsia="Times New Roman" w:hAnsi="Times New Roman"/>
                <w:sz w:val="13"/>
                <w:szCs w:val="13"/>
                <w:b w:val="1"/>
                <w:bCs w:val="1"/>
                <w:color w:val="auto"/>
              </w:rPr>
              <w:t>Salary</w:t>
            </w:r>
          </w:p>
        </w:tc>
        <w:tc>
          <w:tcPr>
            <w:tcW w:w="120" w:type="dxa"/>
            <w:vAlign w:val="bottom"/>
          </w:tcPr>
          <w:p>
            <w:pPr>
              <w:spacing w:after="0"/>
              <w:rPr>
                <w:sz w:val="11"/>
                <w:szCs w:val="11"/>
                <w:color w:val="auto"/>
              </w:rPr>
            </w:pPr>
          </w:p>
        </w:tc>
        <w:tc>
          <w:tcPr>
            <w:tcW w:w="120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8"/>
              </w:rPr>
              <w:t>awards</w:t>
            </w:r>
          </w:p>
        </w:tc>
        <w:tc>
          <w:tcPr>
            <w:tcW w:w="100" w:type="dxa"/>
            <w:vAlign w:val="bottom"/>
          </w:tcPr>
          <w:p>
            <w:pPr>
              <w:spacing w:after="0"/>
              <w:rPr>
                <w:sz w:val="11"/>
                <w:szCs w:val="11"/>
                <w:color w:val="auto"/>
              </w:rPr>
            </w:pPr>
          </w:p>
        </w:tc>
        <w:tc>
          <w:tcPr>
            <w:tcW w:w="13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13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compensation</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62"/>
        </w:trPr>
        <w:tc>
          <w:tcPr>
            <w:tcW w:w="34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4"/>
                <w:szCs w:val="14"/>
                <w:color w:val="auto"/>
              </w:rPr>
            </w:pP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ind w:right="57"/>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(1)</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center"/>
              <w:ind w:right="57"/>
              <w:spacing w:after="0" w:line="162"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(2)</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center"/>
              <w:ind w:right="37"/>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(3)</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Total ($)</w:t>
            </w:r>
          </w:p>
        </w:tc>
      </w:tr>
      <w:tr>
        <w:trPr>
          <w:trHeight w:val="117"/>
        </w:trPr>
        <w:tc>
          <w:tcPr>
            <w:tcW w:w="346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color w:val="auto"/>
              </w:rPr>
              <w:t>Nicholas T. Curtis</w:t>
            </w:r>
          </w:p>
        </w:tc>
        <w:tc>
          <w:tcPr>
            <w:tcW w:w="900" w:type="dxa"/>
            <w:vAlign w:val="bottom"/>
            <w:gridSpan w:val="2"/>
            <w:shd w:val="clear" w:color="auto" w:fill="CFF0FC"/>
          </w:tcPr>
          <w:p>
            <w:pPr>
              <w:ind w:left="360"/>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1340" w:type="dxa"/>
            <w:vAlign w:val="bottom"/>
            <w:gridSpan w:val="2"/>
            <w:shd w:val="clear" w:color="auto" w:fill="CFF0FC"/>
          </w:tcPr>
          <w:p>
            <w:pPr>
              <w:jc w:val="right"/>
              <w:ind w:right="57"/>
              <w:spacing w:after="0" w:line="118" w:lineRule="exact"/>
              <w:rPr>
                <w:sz w:val="20"/>
                <w:szCs w:val="20"/>
                <w:color w:val="auto"/>
              </w:rPr>
            </w:pPr>
            <w:r>
              <w:rPr>
                <w:rFonts w:ascii="Times New Roman" w:cs="Times New Roman" w:eastAsia="Times New Roman" w:hAnsi="Times New Roman"/>
                <w:sz w:val="13"/>
                <w:szCs w:val="13"/>
                <w:color w:val="auto"/>
              </w:rPr>
              <w:t>582,758</w:t>
            </w:r>
          </w:p>
        </w:tc>
        <w:tc>
          <w:tcPr>
            <w:tcW w:w="1320" w:type="dxa"/>
            <w:vAlign w:val="bottom"/>
            <w:gridSpan w:val="2"/>
            <w:shd w:val="clear" w:color="auto" w:fill="CFF0FC"/>
          </w:tcPr>
          <w:p>
            <w:pPr>
              <w:jc w:val="right"/>
              <w:ind w:right="57"/>
              <w:spacing w:after="0" w:line="118" w:lineRule="exact"/>
              <w:rPr>
                <w:sz w:val="20"/>
                <w:szCs w:val="20"/>
                <w:color w:val="auto"/>
              </w:rPr>
            </w:pPr>
            <w:r>
              <w:rPr>
                <w:rFonts w:ascii="Times New Roman" w:cs="Times New Roman" w:eastAsia="Times New Roman" w:hAnsi="Times New Roman"/>
                <w:sz w:val="13"/>
                <w:szCs w:val="13"/>
                <w:color w:val="auto"/>
              </w:rPr>
              <w:t>1,307,238</w:t>
            </w:r>
          </w:p>
        </w:tc>
        <w:tc>
          <w:tcPr>
            <w:tcW w:w="1440" w:type="dxa"/>
            <w:vAlign w:val="bottom"/>
            <w:gridSpan w:val="2"/>
            <w:shd w:val="clear" w:color="auto" w:fill="CFF0FC"/>
          </w:tcPr>
          <w:p>
            <w:pPr>
              <w:jc w:val="right"/>
              <w:ind w:right="57"/>
              <w:spacing w:after="0" w:line="118" w:lineRule="exact"/>
              <w:rPr>
                <w:sz w:val="20"/>
                <w:szCs w:val="20"/>
                <w:color w:val="auto"/>
              </w:rPr>
            </w:pPr>
            <w:r>
              <w:rPr>
                <w:rFonts w:ascii="Times New Roman" w:cs="Times New Roman" w:eastAsia="Times New Roman" w:hAnsi="Times New Roman"/>
                <w:sz w:val="13"/>
                <w:szCs w:val="13"/>
                <w:color w:val="auto"/>
              </w:rPr>
              <w:t>439,670</w:t>
            </w:r>
          </w:p>
        </w:tc>
        <w:tc>
          <w:tcPr>
            <w:tcW w:w="1440" w:type="dxa"/>
            <w:vAlign w:val="bottom"/>
            <w:gridSpan w:val="2"/>
            <w:shd w:val="clear" w:color="auto" w:fill="CFF0FC"/>
          </w:tcPr>
          <w:p>
            <w:pPr>
              <w:jc w:val="right"/>
              <w:ind w:right="57"/>
              <w:spacing w:after="0" w:line="118" w:lineRule="exact"/>
              <w:rPr>
                <w:sz w:val="20"/>
                <w:szCs w:val="20"/>
                <w:color w:val="auto"/>
              </w:rPr>
            </w:pPr>
            <w:r>
              <w:rPr>
                <w:rFonts w:ascii="Times New Roman" w:cs="Times New Roman" w:eastAsia="Times New Roman" w:hAnsi="Times New Roman"/>
                <w:sz w:val="13"/>
                <w:szCs w:val="13"/>
                <w:color w:val="auto"/>
              </w:rPr>
              <w:t>15,300</w:t>
            </w:r>
          </w:p>
        </w:tc>
        <w:tc>
          <w:tcPr>
            <w:tcW w:w="1340" w:type="dxa"/>
            <w:vAlign w:val="bottom"/>
            <w:gridSpan w:val="2"/>
            <w:shd w:val="clear" w:color="auto" w:fill="CFF0FC"/>
          </w:tcPr>
          <w:p>
            <w:pPr>
              <w:jc w:val="right"/>
              <w:ind w:right="57"/>
              <w:spacing w:after="0" w:line="118" w:lineRule="exact"/>
              <w:rPr>
                <w:sz w:val="20"/>
                <w:szCs w:val="20"/>
                <w:color w:val="auto"/>
              </w:rPr>
            </w:pPr>
            <w:r>
              <w:rPr>
                <w:rFonts w:ascii="Times New Roman" w:cs="Times New Roman" w:eastAsia="Times New Roman" w:hAnsi="Times New Roman"/>
                <w:sz w:val="13"/>
                <w:szCs w:val="13"/>
                <w:color w:val="auto"/>
              </w:rPr>
              <w:t>2,344,966</w:t>
            </w:r>
          </w:p>
        </w:tc>
      </w:tr>
      <w:tr>
        <w:trPr>
          <w:trHeight w:val="17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9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3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562,013</w:t>
            </w:r>
          </w:p>
        </w:tc>
        <w:tc>
          <w:tcPr>
            <w:tcW w:w="13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458,388</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541,133</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15,100</w:t>
            </w:r>
          </w:p>
        </w:tc>
        <w:tc>
          <w:tcPr>
            <w:tcW w:w="13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1,576,634</w:t>
            </w:r>
          </w:p>
        </w:tc>
      </w:tr>
      <w:tr>
        <w:trPr>
          <w:trHeight w:val="124"/>
        </w:trPr>
        <w:tc>
          <w:tcPr>
            <w:tcW w:w="346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Alan B. Connaughton</w:t>
            </w:r>
          </w:p>
        </w:tc>
        <w:tc>
          <w:tcPr>
            <w:tcW w:w="900" w:type="dxa"/>
            <w:vAlign w:val="bottom"/>
            <w:gridSpan w:val="2"/>
          </w:tcPr>
          <w:p>
            <w:pPr>
              <w:ind w:left="36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1340" w:type="dxa"/>
            <w:vAlign w:val="bottom"/>
            <w:gridSpan w:val="2"/>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437,074</w:t>
            </w:r>
          </w:p>
        </w:tc>
        <w:tc>
          <w:tcPr>
            <w:tcW w:w="1320" w:type="dxa"/>
            <w:vAlign w:val="bottom"/>
            <w:gridSpan w:val="2"/>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381,276</w:t>
            </w:r>
          </w:p>
        </w:tc>
        <w:tc>
          <w:tcPr>
            <w:tcW w:w="1440" w:type="dxa"/>
            <w:vAlign w:val="bottom"/>
            <w:gridSpan w:val="2"/>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241,822</w:t>
            </w:r>
          </w:p>
        </w:tc>
        <w:tc>
          <w:tcPr>
            <w:tcW w:w="1440" w:type="dxa"/>
            <w:vAlign w:val="bottom"/>
            <w:gridSpan w:val="2"/>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15,300</w:t>
            </w:r>
          </w:p>
        </w:tc>
        <w:tc>
          <w:tcPr>
            <w:tcW w:w="1340" w:type="dxa"/>
            <w:vAlign w:val="bottom"/>
            <w:gridSpan w:val="2"/>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1,075,472</w:t>
            </w:r>
          </w:p>
        </w:tc>
      </w:tr>
      <w:tr>
        <w:trPr>
          <w:trHeight w:val="173"/>
        </w:trPr>
        <w:tc>
          <w:tcPr>
            <w:tcW w:w="3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34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421,514</w:t>
            </w:r>
          </w:p>
        </w:tc>
        <w:tc>
          <w:tcPr>
            <w:tcW w:w="132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288,900</w:t>
            </w:r>
          </w:p>
        </w:tc>
        <w:tc>
          <w:tcPr>
            <w:tcW w:w="144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297,627</w:t>
            </w:r>
          </w:p>
        </w:tc>
        <w:tc>
          <w:tcPr>
            <w:tcW w:w="144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15,100</w:t>
            </w:r>
          </w:p>
        </w:tc>
        <w:tc>
          <w:tcPr>
            <w:tcW w:w="134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1,023,141</w:t>
            </w:r>
          </w:p>
        </w:tc>
      </w:tr>
      <w:tr>
        <w:trPr>
          <w:trHeight w:val="124"/>
        </w:trPr>
        <w:tc>
          <w:tcPr>
            <w:tcW w:w="34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Thomas R. Staab, II</w:t>
            </w:r>
          </w:p>
        </w:tc>
        <w:tc>
          <w:tcPr>
            <w:tcW w:w="900" w:type="dxa"/>
            <w:vAlign w:val="bottom"/>
            <w:gridSpan w:val="2"/>
            <w:shd w:val="clear" w:color="auto" w:fill="CFF0FC"/>
          </w:tcPr>
          <w:p>
            <w:pPr>
              <w:ind w:left="36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1340" w:type="dxa"/>
            <w:vAlign w:val="bottom"/>
            <w:gridSpan w:val="2"/>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412,877</w:t>
            </w:r>
          </w:p>
        </w:tc>
        <w:tc>
          <w:tcPr>
            <w:tcW w:w="1320" w:type="dxa"/>
            <w:vAlign w:val="bottom"/>
            <w:gridSpan w:val="2"/>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130,724</w:t>
            </w:r>
          </w:p>
        </w:tc>
        <w:tc>
          <w:tcPr>
            <w:tcW w:w="1440" w:type="dxa"/>
            <w:vAlign w:val="bottom"/>
            <w:gridSpan w:val="2"/>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207,667</w:t>
            </w:r>
          </w:p>
        </w:tc>
        <w:tc>
          <w:tcPr>
            <w:tcW w:w="1440" w:type="dxa"/>
            <w:vAlign w:val="bottom"/>
            <w:gridSpan w:val="2"/>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30,733</w:t>
            </w:r>
          </w:p>
        </w:tc>
        <w:tc>
          <w:tcPr>
            <w:tcW w:w="1340" w:type="dxa"/>
            <w:vAlign w:val="bottom"/>
            <w:gridSpan w:val="2"/>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4"/>
                <w:szCs w:val="14"/>
                <w:color w:val="auto"/>
              </w:rPr>
              <w:t>782,001</w:t>
            </w:r>
          </w:p>
        </w:tc>
      </w:tr>
      <w:tr>
        <w:trPr>
          <w:trHeight w:val="17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Former Chief Financial Officer</w:t>
            </w:r>
          </w:p>
        </w:tc>
        <w:tc>
          <w:tcPr>
            <w:tcW w:w="9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3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398,179</w:t>
            </w:r>
          </w:p>
        </w:tc>
        <w:tc>
          <w:tcPr>
            <w:tcW w:w="13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121,980</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255,591</w:t>
            </w:r>
          </w:p>
        </w:tc>
        <w:tc>
          <w:tcPr>
            <w:tcW w:w="14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33,984</w:t>
            </w:r>
          </w:p>
        </w:tc>
        <w:tc>
          <w:tcPr>
            <w:tcW w:w="13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4"/>
                <w:szCs w:val="14"/>
                <w:color w:val="auto"/>
              </w:rPr>
              <w:t>809,734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4" w:lineRule="exact"/>
        <w:rPr>
          <w:sz w:val="20"/>
          <w:szCs w:val="20"/>
          <w:color w:val="auto"/>
        </w:rPr>
      </w:pPr>
    </w:p>
    <w:p>
      <w:pPr>
        <w:jc w:val="both"/>
        <w:ind w:left="380" w:hanging="372"/>
        <w:spacing w:after="0" w:line="255"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stock awards granted during 2024 and 2025 computed in accordance with FASB ASC 718. See Note 14, Stock-Based Compensation, to our audited financial statements included in our Original Form 10-K, for a description of the assumptions used in valuing these awards. For 2024, this column reflects the grant date fair value of restricted stock units (“RSUs”) and performance stock units (“PSUs”) granted to our named executive officers by us in May 2024. The grant date fair value of the PSUs granted to our named executive officers during 2024 at “target” performance (which is also the maximum performance level possible) are reflected in the column above and are as follows: Mr. Curtis, $229,194; Mr. Connaughton, $144,450; and Mr. Staab, $60,900. For 2025, this column reflects the grant date fair value of RSUs granted to our named executive officers by us in February 2025.</w:t>
      </w:r>
    </w:p>
    <w:p>
      <w:pPr>
        <w:spacing w:after="0" w:line="2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in the year shown and paid early in the following year under our annual performance bonus plan, as described below.</w:t>
      </w:r>
    </w:p>
    <w:p>
      <w:pPr>
        <w:spacing w:after="0" w:line="63"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a 401(k) matching contribution of $14,000 made by us on behalf of each named executive officer, a company contribution of $1,300 to Messrs. Curtis and Connaughton’s health savings accounts and $11,825 in commuting expense reimbursements and $4,908 in related tax “gross up” payments related to such commuting expense reimbursements for Mr. Staab. For 2024, includes a 401(k) matching contribution of $13,800 made by us on behalf of each named executive officer, a company contribution of $1,300 to Messrs. Curtis and Connaughton’s health savings accounts and $14,341 in commuting expense reimbursements and $5,843 in related tax “gross up” payments related to such commuting expense reimbursements for Mr. Staab.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Compensation Tables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pay our named executive officers a base salary to compensate them for the satisfactory performance of services rendered to us.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February 17, 2025, our Board of Directors approved an increase in Messrs. Curtis’s, Connaughton’s, and Staab’s base salaries from $563,700, $422,800, and $399,400 to $586,200, $439,700, and $415,300,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 Compensation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year our Board of Directors establishes a performance-based annual bonus program for our employees and our named executive officers based on individual performance, company performance or as otherwise determined appropriate.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named executive officer has an established target annual bonus amount. The target annual bonus amounts for each named executive officer, expressed as a percentage of annual base salary, are 75%, 55% and 50% for Messrs. Curtis, Connaughton and Staab, respectively.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our Board of Directors approved cash bonus payments for the 2025 fiscal year to be paid to the named executive officers. Bonus payments were paid at target.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bonuses paid to our named executive officers for 2025 are reflected in the Summary Compensation Table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equity-based incentive awards are designed to align our interests and the interests of our stockholders with those of our employees and consultants, including our named executive officers. The Board of Directors is responsible for approving equity grants.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and in 2024, we granted equity-based incentive awards under the Company’s 2020 Incentive Award Plan (the “2020 Plan”). Additionally, in February 2024, we adopted the Company’s 2024 Employment Inducement Incentive Award Plan, under which we granted equity-based incentive awards to eligible recipients under the applicable Nasdaq rules as an inducement material to such recipients’ entering into employment with us.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18, 2025, we granted RSUs to our named executive officers under the 2020 Plan in the following amounts: Mr. Curtis, 127,660 RSUs; Mr. Connaughton, 37,234 RSUs; and Mr. Staab, 12,766 RSUs. The RSUs are scheduled to vest based on continued employment or service over four years, with 25% of the RSUs vesting on each anniversary of the grant.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Letters with our Named Executive Officers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Nicholas T. Curtis Employment Letter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2020, we entered into an employment letter with Mr. Curtis. Pursuant to his employment letter, Mr. Curtis serves as the Chief Executive Officer of the Company and reports directly to our Board of Directors. Under the employment letter, Mr. Curtis is entitled to receive an annual base salary as specified above and is eligible to receive an annual performance bonus based on his target annual bonus. His annual base salary and target annual bonus will be subject to review by our Board of Directors or its compensation committee on an annual basis. The actual amount of any such bonus will be determined by reference to the attainment of applicable performance objectives, as determined by the Company’s Board of Directors, and to Mr. Curtis’s continued employment with us through the applicable payment date.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Curtis’s employment letter provides that if he is terminated without cause or he resigns for good reason (each as defined in the employment letter), in each case prior to or more than 12 months following a change in control (as defined in our 2020 Plan), then he is entitled to the following: (1) a lump sum payment equal to the sum of (i) his base salary as in effect immediately prior to the separation, (ii) his target bonus for the year in which the separation occurs, and (iii) 12 months of premium payments to maintain health coverage under COBRA, and (2) accelerated vesting of such portion of his time-based equity awards as would have vested during the 12 months following his termination had he remained employed during such period.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Curtis’s employment letter further provides that if he is terminated without cause or he resigns for good reason, in each case within 12 months following a change in control, then he is entitled to the following: (1) a lump sum payment equal to the sum of (i) 18 months of base salary as in effect immediately prior to the separation, (ii) 150% multiplied by his target bonus for the year in which the separation occurs, and (iii) 18 months of premium payments to maintain health coverage under COBRA, and (2) accelerated vesting of all of his time-based equity awards.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due to Mr. Curtis in connection with his termination without cause or resignation for good reason are subject to his execution of a general release of claims and continued compliance with applicable restrictive covenants.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Alan B. Connaughton Employment Letter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2020, we entered into an employment letter with Mr. Connaughton. Pursuant to his employment letter, Mr. Connaughton serves as the Chief Operating Officer of the Company and reports directly to our Chief Executive Officer. Under the employment letter, Mr. Connaughton is entitled to receive an annual base salary as specified above and is eligible to receive an annual performance bonus based on his target annual bonus. His annual base salary and target annual bonus will be subject to review by our Board of Directors or its compensation committee on an annual basis. The actual amount of any such bonus will be determined by reference to the attainment of applicable performance objectives, as determined by the Board of Directors, and to Mr. Connaughton’s continued employment with us through the applicable payment date.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Connaughton’s employment letter provides that if he is terminated without cause or he resigns for good reason (each as defined in the employment letter), in each case prior to or more than 12 months following a change in control (as defined in our 2020 Plan), then he is entitled to the following: (1) a lump sum payment equal to the sum of (i) 10 months of base salary, as in effect immediately prior to the separation, (ii) 85% of his target bonus for the year in which the separation occurs, and (iii) 10 months of premium payments to maintain health coverage under COBRA, and (2) accelerated vesting of such portion of his time-based equity awards as would have vested during the 10 months following his termination had he remained employed during such period.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Connaughton’s employment letter further provides that if he is terminated without cause or he resigns for good reason, in each case within 12 months following a change in control, then he is entitled to the following: (1) a lump sum payment equal to the sum of (i) 15 months of base salary as in effect immediately prior to the separation, (ii) 125% multiplied by his target bonus for the year in which the separation occurs, and (iii) 15 months of premium payments to maintain health coverage under COBRA, and (2) accelerated vesting of all of his time-based equity awards.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due to Mr. Connaughton in connection with his termination without cause or resignation for good reason are subject to his execution of a general release of claims and continued compliance with applicable restrictive 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Thomas R. Staab, II Employment Letter</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2020, we entered into an employment letter with Mr. Staab. Pursuant to his employment letter, Mr. Staab served as the Chief Financial Officer of the Company until May 2026 and reported to Mr. Curtis. The employment letter provided for the following terms during the period of Mr. Staab’s employment:</w:t>
      </w:r>
    </w:p>
    <w:p>
      <w:pPr>
        <w:spacing w:after="0" w:line="68" w:lineRule="exact"/>
        <w:rPr>
          <w:sz w:val="20"/>
          <w:szCs w:val="20"/>
          <w:color w:val="auto"/>
        </w:rPr>
      </w:pPr>
    </w:p>
    <w:p>
      <w:pPr>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Staab was entitled to receive an annual base salary as specified above and was eligible to receive an annual performance bonus based on his target annual bonus. His annual base salary and target annual bonus were subject to review by our Board of Directors or its compensation committee on an annual basis. The actual amount of any such bonus was determined by reference to the attainment of applicable performance objectives, as determined by the Company’s Board of Directors, and to Mr. Staab’s continued employment with us through the applicable payment date.</w:t>
      </w:r>
    </w:p>
    <w:p>
      <w:pPr>
        <w:spacing w:after="0" w:line="75"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termination without cause or resignation for good reason (each as defined in the employment letter), in each case prior to or more than 12 months following a change in control (as defined in our 2020 Plan), then he was entitled to the following: (1) a lump sum payment equal to the sum of (i) 9 months of base salary, as in effect immediately prior to the separation, (ii) 75% of his target bonus for the year in which the separation occurs, and (iii) 9 months of premium payments to maintain health coverage under COBRA, and (2) accelerated vesting of such portion of his time-based equity awards as would have vested during the 9 months following his termination had he remained employed during such period.</w:t>
      </w:r>
    </w:p>
    <w:p>
      <w:pPr>
        <w:spacing w:after="0" w:line="79"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termination without cause or resignation for good reason, in each case within 12 months following a change in control, then he was entitled to the following: (1) a lump sum payment equal to the sum of (i) 12 months of base salary as in effect immediately prior to the separation, (ii) his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left="1020" w:right="640"/>
        <w:spacing w:after="0" w:line="282" w:lineRule="auto"/>
        <w:rPr>
          <w:sz w:val="20"/>
          <w:szCs w:val="20"/>
          <w:color w:val="auto"/>
        </w:rPr>
      </w:pPr>
      <w:r>
        <w:rPr>
          <w:rFonts w:ascii="Times New Roman" w:cs="Times New Roman" w:eastAsia="Times New Roman" w:hAnsi="Times New Roman"/>
          <w:sz w:val="18"/>
          <w:szCs w:val="18"/>
          <w:color w:val="auto"/>
        </w:rPr>
        <w:t>target bonus for the year in which the separation occurs, and (iii) 12 months of premium payments to maintain health coverage under COBRA, and (2) accelerated vesting of all of his time-based equity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Terms Under Employment Letters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employment letters with our named executive officers:</w:t>
      </w:r>
    </w:p>
    <w:p>
      <w:pPr>
        <w:spacing w:after="0" w:line="185" w:lineRule="exact"/>
        <w:rPr>
          <w:sz w:val="20"/>
          <w:szCs w:val="20"/>
          <w:color w:val="auto"/>
        </w:rPr>
      </w:pPr>
    </w:p>
    <w:p>
      <w:pPr>
        <w:jc w:val="both"/>
        <w:ind w:left="1500" w:hanging="743"/>
        <w:spacing w:after="0" w:line="258" w:lineRule="auto"/>
        <w:tabs>
          <w:tab w:leader="none" w:pos="15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“Cause” means a named executive officer’s: (1) intentional theft, willful misconduct, or breach of fiduciary duty for personal gain, (2) material failure to comply with our code of conduct and other written policies, (3) material and intentional theft or destruction of company property, (4) willful act that is detrimental to our reputation or business, (5) repeated failure to perform the named executive officer’s duties after an opportunity to cure the failure, (6) material breach of any agreement or covenant with the Company that is not cured within 20 days, or (7) conviction of any criminal act involving moral turpitude.</w:t>
      </w:r>
    </w:p>
    <w:p>
      <w:pPr>
        <w:spacing w:after="0" w:line="142" w:lineRule="exact"/>
        <w:rPr>
          <w:rFonts w:ascii="Times New Roman" w:cs="Times New Roman" w:eastAsia="Times New Roman" w:hAnsi="Times New Roman"/>
          <w:sz w:val="18"/>
          <w:szCs w:val="18"/>
          <w:color w:val="231F20"/>
        </w:rPr>
      </w:pPr>
    </w:p>
    <w:p>
      <w:pPr>
        <w:jc w:val="both"/>
        <w:ind w:left="1500" w:hanging="743"/>
        <w:spacing w:after="0" w:line="261" w:lineRule="auto"/>
        <w:tabs>
          <w:tab w:leader="none" w:pos="150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“Good reason” means a named executive officer’s voluntary resignation following our failure to cure: (1) a material diminution in authority, duties or responsibilities, (2) for Mr. Curtis, a requirement that he report to anyone other than our Board of Directors, (3) a material reduction in the named executive officer’s base salary, (4) a material change in the location at which he must perform his duties, or (5) any material breach of the employment letters.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equity awards granted to our named executive officers that remained outstanding as of December 31, 2025. Each equity award was granted under our 2020 Plan.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0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78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0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7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78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112"/>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0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7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 w:type="dxa"/>
            <w:vAlign w:val="bottom"/>
          </w:tcPr>
          <w:p>
            <w:pPr>
              <w:spacing w:after="0"/>
              <w:rPr>
                <w:sz w:val="11"/>
                <w:szCs w:val="11"/>
                <w:color w:val="auto"/>
              </w:rPr>
            </w:pPr>
          </w:p>
        </w:tc>
        <w:tc>
          <w:tcPr>
            <w:tcW w:w="78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Unexercise</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0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78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Unexercise</w:t>
            </w:r>
          </w:p>
        </w:tc>
        <w:tc>
          <w:tcPr>
            <w:tcW w:w="100" w:type="dxa"/>
            <w:vAlign w:val="bottom"/>
          </w:tcPr>
          <w:p>
            <w:pPr>
              <w:spacing w:after="0"/>
              <w:rPr>
                <w:sz w:val="11"/>
                <w:szCs w:val="11"/>
                <w:color w:val="auto"/>
              </w:rPr>
            </w:pPr>
          </w:p>
        </w:tc>
        <w:tc>
          <w:tcPr>
            <w:tcW w:w="78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8"/>
              </w:rPr>
              <w:t>d Options</w:t>
            </w:r>
          </w:p>
        </w:tc>
        <w:tc>
          <w:tcPr>
            <w:tcW w:w="100" w:type="dxa"/>
            <w:vAlign w:val="bottom"/>
          </w:tcPr>
          <w:p>
            <w:pPr>
              <w:spacing w:after="0"/>
              <w:rPr>
                <w:sz w:val="11"/>
                <w:szCs w:val="11"/>
                <w:color w:val="auto"/>
              </w:rPr>
            </w:pPr>
          </w:p>
        </w:tc>
        <w:tc>
          <w:tcPr>
            <w:tcW w:w="78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0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78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 Options</w:t>
            </w: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1"/>
                <w:szCs w:val="11"/>
                <w:color w:val="auto"/>
              </w:rPr>
            </w:pPr>
          </w:p>
        </w:tc>
        <w:tc>
          <w:tcPr>
            <w:tcW w:w="78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rPr>
              <w:t>Vested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2"/>
              <w:spacing w:after="0" w:line="128"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00" w:type="dxa"/>
            <w:vAlign w:val="bottom"/>
          </w:tcPr>
          <w:p>
            <w:pPr>
              <w:spacing w:after="0"/>
              <w:rPr>
                <w:sz w:val="11"/>
                <w:szCs w:val="11"/>
                <w:color w:val="auto"/>
              </w:rPr>
            </w:pPr>
          </w:p>
        </w:tc>
        <w:tc>
          <w:tcPr>
            <w:tcW w:w="760" w:type="dxa"/>
            <w:vAlign w:val="bottom"/>
          </w:tcPr>
          <w:p>
            <w:pPr>
              <w:jc w:val="center"/>
              <w:ind w:right="51"/>
              <w:spacing w:after="0" w:line="128"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780" w:type="dxa"/>
            <w:vAlign w:val="bottom"/>
          </w:tcPr>
          <w:p>
            <w:pPr>
              <w:jc w:val="center"/>
              <w:ind w:right="50"/>
              <w:spacing w:after="0" w:line="128"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1"/>
                <w:szCs w:val="11"/>
                <w:color w:val="auto"/>
              </w:rPr>
            </w:pPr>
          </w:p>
        </w:tc>
        <w:tc>
          <w:tcPr>
            <w:tcW w:w="780" w:type="dxa"/>
            <w:vAlign w:val="bottom"/>
          </w:tcPr>
          <w:p>
            <w:pPr>
              <w:jc w:val="center"/>
              <w:ind w:right="51"/>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Unexercisa</w:t>
            </w:r>
          </w:p>
        </w:tc>
        <w:tc>
          <w:tcPr>
            <w:tcW w:w="100" w:type="dxa"/>
            <w:vAlign w:val="bottom"/>
          </w:tcPr>
          <w:p>
            <w:pPr>
              <w:spacing w:after="0"/>
              <w:rPr>
                <w:sz w:val="11"/>
                <w:szCs w:val="11"/>
                <w:color w:val="auto"/>
              </w:rPr>
            </w:pPr>
          </w:p>
        </w:tc>
        <w:tc>
          <w:tcPr>
            <w:tcW w:w="780" w:type="dxa"/>
            <w:vAlign w:val="bottom"/>
          </w:tcPr>
          <w:p>
            <w:pPr>
              <w:jc w:val="center"/>
              <w:ind w:right="7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0" w:type="dxa"/>
            <w:vAlign w:val="bottom"/>
          </w:tcPr>
          <w:p>
            <w:pPr>
              <w:spacing w:after="0"/>
              <w:rPr>
                <w:sz w:val="11"/>
                <w:szCs w:val="11"/>
                <w:color w:val="auto"/>
              </w:rPr>
            </w:pPr>
          </w:p>
        </w:tc>
        <w:tc>
          <w:tcPr>
            <w:tcW w:w="1660" w:type="dxa"/>
            <w:vAlign w:val="bottom"/>
          </w:tcPr>
          <w:p>
            <w:pPr>
              <w:jc w:val="right"/>
              <w:ind w:right="189"/>
              <w:spacing w:after="0" w:line="128" w:lineRule="exact"/>
              <w:rPr>
                <w:sz w:val="20"/>
                <w:szCs w:val="20"/>
                <w:color w:val="auto"/>
              </w:rPr>
            </w:pPr>
            <w:r>
              <w:rPr>
                <w:rFonts w:ascii="Times New Roman" w:cs="Times New Roman" w:eastAsia="Times New Roman" w:hAnsi="Times New Roman"/>
                <w:sz w:val="13"/>
                <w:szCs w:val="13"/>
                <w:b w:val="1"/>
                <w:bCs w:val="1"/>
                <w:color w:val="auto"/>
              </w:rPr>
              <w:t>Option Expiration Date</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 Date</w:t>
            </w:r>
          </w:p>
        </w:tc>
        <w:tc>
          <w:tcPr>
            <w:tcW w:w="1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(1)</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ind w:right="52"/>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ind w:right="51"/>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(3)</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ind w:right="51"/>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ind w:right="51"/>
              <w:spacing w:after="0" w:line="162" w:lineRule="exact"/>
              <w:rPr>
                <w:sz w:val="20"/>
                <w:szCs w:val="20"/>
                <w:color w:val="auto"/>
              </w:rPr>
            </w:pPr>
            <w:r>
              <w:rPr>
                <w:rFonts w:ascii="Times New Roman" w:cs="Times New Roman" w:eastAsia="Times New Roman" w:hAnsi="Times New Roman"/>
                <w:sz w:val="13"/>
                <w:szCs w:val="13"/>
                <w:b w:val="1"/>
                <w:bCs w:val="1"/>
                <w:color w:val="auto"/>
                <w:w w:val="89"/>
              </w:rPr>
              <w:t>ble</w:t>
            </w:r>
            <w:r>
              <w:rPr>
                <w:rFonts w:ascii="Times New Roman" w:cs="Times New Roman" w:eastAsia="Times New Roman" w:hAnsi="Times New Roman"/>
                <w:sz w:val="16"/>
                <w:szCs w:val="16"/>
                <w:b w:val="1"/>
                <w:bCs w:val="1"/>
                <w:color w:val="auto"/>
                <w:w w:val="89"/>
                <w:vertAlign w:val="superscript"/>
              </w:rPr>
              <w:t>(3)</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ind w:right="70"/>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(4)</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689"/>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(5)</w:t>
            </w:r>
          </w:p>
        </w:tc>
        <w:tc>
          <w:tcPr>
            <w:tcW w:w="0" w:type="dxa"/>
            <w:vAlign w:val="bottom"/>
          </w:tcPr>
          <w:p>
            <w:pPr>
              <w:spacing w:after="0"/>
              <w:rPr>
                <w:sz w:val="1"/>
                <w:szCs w:val="1"/>
                <w:color w:val="auto"/>
              </w:rPr>
            </w:pPr>
          </w:p>
        </w:tc>
      </w:tr>
      <w:tr>
        <w:trPr>
          <w:trHeight w:val="119"/>
        </w:trPr>
        <w:tc>
          <w:tcPr>
            <w:tcW w:w="1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Nicholas T. Curtis</w:t>
            </w:r>
          </w:p>
        </w:tc>
        <w:tc>
          <w:tcPr>
            <w:tcW w:w="1460" w:type="dxa"/>
            <w:vAlign w:val="bottom"/>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April 12, 2021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52"/>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51"/>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98,394</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51"/>
              <w:spacing w:after="0" w:line="11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6.91</w:t>
            </w:r>
          </w:p>
        </w:tc>
        <w:tc>
          <w:tcPr>
            <w:tcW w:w="100" w:type="dxa"/>
            <w:vAlign w:val="bottom"/>
            <w:shd w:val="clear" w:color="auto" w:fill="CFF0FC"/>
          </w:tcPr>
          <w:p>
            <w:pPr>
              <w:spacing w:after="0"/>
              <w:rPr>
                <w:sz w:val="10"/>
                <w:szCs w:val="10"/>
                <w:color w:val="auto"/>
              </w:rPr>
            </w:pPr>
          </w:p>
        </w:tc>
        <w:tc>
          <w:tcPr>
            <w:tcW w:w="166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April 12, 2031</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2022</w:t>
            </w:r>
          </w:p>
        </w:tc>
        <w:tc>
          <w:tcPr>
            <w:tcW w:w="76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980" w:type="dxa"/>
            <w:vAlign w:val="bottom"/>
            <w:gridSpan w:val="3"/>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87,225</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102,812</w:t>
            </w:r>
          </w:p>
        </w:tc>
        <w:tc>
          <w:tcPr>
            <w:tcW w:w="880" w:type="dxa"/>
            <w:vAlign w:val="bottom"/>
            <w:gridSpan w:val="2"/>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2,188</w:t>
            </w:r>
          </w:p>
        </w:tc>
        <w:tc>
          <w:tcPr>
            <w:tcW w:w="8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January 11, 2032</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2023</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11,094</w:t>
            </w:r>
          </w:p>
        </w:tc>
        <w:tc>
          <w:tcPr>
            <w:tcW w:w="980" w:type="dxa"/>
            <w:vAlign w:val="bottom"/>
            <w:gridSpan w:val="3"/>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129,023</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56,620</w:t>
            </w:r>
          </w:p>
        </w:tc>
        <w:tc>
          <w:tcPr>
            <w:tcW w:w="880" w:type="dxa"/>
            <w:vAlign w:val="bottom"/>
            <w:gridSpan w:val="2"/>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21,031</w:t>
            </w:r>
          </w:p>
        </w:tc>
        <w:tc>
          <w:tcPr>
            <w:tcW w:w="8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January 11, 2033</w:t>
            </w: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6, 2024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53,550</w:t>
            </w:r>
          </w:p>
        </w:tc>
        <w:tc>
          <w:tcPr>
            <w:tcW w:w="980" w:type="dxa"/>
            <w:vAlign w:val="bottom"/>
            <w:gridSpan w:val="3"/>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622,787</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6, 2024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71,400</w:t>
            </w:r>
          </w:p>
        </w:tc>
        <w:tc>
          <w:tcPr>
            <w:tcW w:w="860" w:type="dxa"/>
            <w:vAlign w:val="bottom"/>
            <w:gridSpan w:val="2"/>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830,392</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18, 2025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127,660</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1,484,68</w:t>
            </w: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Alan B.</w:t>
            </w:r>
          </w:p>
        </w:tc>
        <w:tc>
          <w:tcPr>
            <w:tcW w:w="14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April 12, 2021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52"/>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tcPr>
          <w:p>
            <w:pPr>
              <w:jc w:val="right"/>
              <w:ind w:right="51"/>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line="126" w:lineRule="exact"/>
              <w:rPr>
                <w:sz w:val="20"/>
                <w:szCs w:val="20"/>
                <w:color w:val="auto"/>
              </w:rPr>
            </w:pPr>
            <w:r>
              <w:rPr>
                <w:rFonts w:ascii="Times New Roman" w:cs="Times New Roman" w:eastAsia="Times New Roman" w:hAnsi="Times New Roman"/>
                <w:sz w:val="14"/>
                <w:szCs w:val="14"/>
                <w:color w:val="auto"/>
              </w:rPr>
              <w:t>49,197</w:t>
            </w:r>
          </w:p>
        </w:tc>
        <w:tc>
          <w:tcPr>
            <w:tcW w:w="100" w:type="dxa"/>
            <w:vAlign w:val="bottom"/>
          </w:tcPr>
          <w:p>
            <w:pPr>
              <w:spacing w:after="0"/>
              <w:rPr>
                <w:sz w:val="10"/>
                <w:szCs w:val="10"/>
                <w:color w:val="auto"/>
              </w:rPr>
            </w:pPr>
          </w:p>
        </w:tc>
        <w:tc>
          <w:tcPr>
            <w:tcW w:w="780" w:type="dxa"/>
            <w:vAlign w:val="bottom"/>
          </w:tcPr>
          <w:p>
            <w:pPr>
              <w:jc w:val="right"/>
              <w:ind w:right="51"/>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50"/>
              <w:spacing w:after="0" w:line="126" w:lineRule="exact"/>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0"/>
                <w:szCs w:val="10"/>
                <w:color w:val="auto"/>
              </w:rPr>
            </w:pPr>
          </w:p>
        </w:tc>
        <w:tc>
          <w:tcPr>
            <w:tcW w:w="166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April 12, 2031</w:t>
            </w:r>
          </w:p>
        </w:tc>
        <w:tc>
          <w:tcPr>
            <w:tcW w:w="0" w:type="dxa"/>
            <w:vAlign w:val="bottom"/>
          </w:tcPr>
          <w:p>
            <w:pPr>
              <w:spacing w:after="0"/>
              <w:rPr>
                <w:sz w:val="1"/>
                <w:szCs w:val="1"/>
                <w:color w:val="auto"/>
              </w:rPr>
            </w:pPr>
          </w:p>
        </w:tc>
      </w:tr>
      <w:tr>
        <w:trPr>
          <w:trHeight w:val="148"/>
        </w:trPr>
        <w:tc>
          <w:tcPr>
            <w:tcW w:w="1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Connaughton</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2022</w:t>
            </w: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980" w:type="dxa"/>
            <w:vAlign w:val="bottom"/>
            <w:gridSpan w:val="3"/>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43,613</w:t>
            </w:r>
          </w:p>
        </w:tc>
        <w:tc>
          <w:tcPr>
            <w:tcW w:w="100" w:type="dxa"/>
            <w:vAlign w:val="bottom"/>
          </w:tcPr>
          <w:p>
            <w:pPr>
              <w:spacing w:after="0"/>
              <w:rPr>
                <w:sz w:val="12"/>
                <w:szCs w:val="12"/>
                <w:color w:val="auto"/>
              </w:rPr>
            </w:pPr>
          </w:p>
        </w:tc>
        <w:tc>
          <w:tcPr>
            <w:tcW w:w="7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51,406</w:t>
            </w:r>
          </w:p>
        </w:tc>
        <w:tc>
          <w:tcPr>
            <w:tcW w:w="880" w:type="dxa"/>
            <w:vAlign w:val="bottom"/>
            <w:gridSpan w:val="2"/>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88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2"/>
                <w:szCs w:val="12"/>
                <w:color w:val="auto"/>
              </w:rPr>
            </w:pPr>
          </w:p>
        </w:tc>
        <w:tc>
          <w:tcPr>
            <w:tcW w:w="16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January 11, 2032</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2023</w:t>
            </w: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980" w:type="dxa"/>
            <w:vAlign w:val="bottom"/>
            <w:gridSpan w:val="3"/>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90,319</w:t>
            </w:r>
          </w:p>
        </w:tc>
        <w:tc>
          <w:tcPr>
            <w:tcW w:w="100" w:type="dxa"/>
            <w:vAlign w:val="bottom"/>
          </w:tcPr>
          <w:p>
            <w:pPr>
              <w:spacing w:after="0"/>
              <w:rPr>
                <w:sz w:val="12"/>
                <w:szCs w:val="12"/>
                <w:color w:val="auto"/>
              </w:rPr>
            </w:pPr>
          </w:p>
        </w:tc>
        <w:tc>
          <w:tcPr>
            <w:tcW w:w="7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39,634</w:t>
            </w:r>
          </w:p>
        </w:tc>
        <w:tc>
          <w:tcPr>
            <w:tcW w:w="880" w:type="dxa"/>
            <w:vAlign w:val="bottom"/>
            <w:gridSpan w:val="2"/>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14,722</w:t>
            </w:r>
          </w:p>
        </w:tc>
        <w:tc>
          <w:tcPr>
            <w:tcW w:w="88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2"/>
                <w:szCs w:val="12"/>
                <w:color w:val="auto"/>
              </w:rPr>
            </w:pPr>
          </w:p>
        </w:tc>
        <w:tc>
          <w:tcPr>
            <w:tcW w:w="16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January 11, 2033</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6, 2024</w:t>
            </w: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980" w:type="dxa"/>
            <w:vAlign w:val="bottom"/>
            <w:gridSpan w:val="3"/>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392,513</w:t>
            </w:r>
          </w:p>
        </w:tc>
        <w:tc>
          <w:tcPr>
            <w:tcW w:w="100" w:type="dxa"/>
            <w:vAlign w:val="bottom"/>
          </w:tcPr>
          <w:p>
            <w:pPr>
              <w:spacing w:after="0"/>
              <w:rPr>
                <w:sz w:val="12"/>
                <w:szCs w:val="12"/>
                <w:color w:val="auto"/>
              </w:rPr>
            </w:pPr>
          </w:p>
        </w:tc>
        <w:tc>
          <w:tcPr>
            <w:tcW w:w="7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6, 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860" w:type="dxa"/>
            <w:vAlign w:val="bottom"/>
            <w:gridSpan w:val="2"/>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523,350</w:t>
            </w: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18, 2025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33,750</w:t>
            </w:r>
          </w:p>
        </w:tc>
        <w:tc>
          <w:tcPr>
            <w:tcW w:w="9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433,031</w:t>
            </w:r>
          </w:p>
        </w:tc>
        <w:tc>
          <w:tcPr>
            <w:tcW w:w="100" w:type="dxa"/>
            <w:vAlign w:val="bottom"/>
          </w:tcPr>
          <w:p>
            <w:pPr>
              <w:spacing w:after="0"/>
              <w:rPr>
                <w:sz w:val="14"/>
                <w:szCs w:val="14"/>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Thomas R. Staab, II</w:t>
            </w:r>
          </w:p>
        </w:tc>
        <w:tc>
          <w:tcPr>
            <w:tcW w:w="14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April 12, 2021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52"/>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51"/>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26" w:lineRule="exact"/>
              <w:rPr>
                <w:sz w:val="20"/>
                <w:szCs w:val="20"/>
                <w:color w:val="auto"/>
              </w:rPr>
            </w:pPr>
            <w:r>
              <w:rPr>
                <w:rFonts w:ascii="Times New Roman" w:cs="Times New Roman" w:eastAsia="Times New Roman" w:hAnsi="Times New Roman"/>
                <w:sz w:val="14"/>
                <w:szCs w:val="14"/>
                <w:color w:val="auto"/>
              </w:rPr>
              <w:t>49,197</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51"/>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50"/>
              <w:spacing w:after="0" w:line="126" w:lineRule="exact"/>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FF0FC"/>
          </w:tcPr>
          <w:p>
            <w:pPr>
              <w:spacing w:after="0"/>
              <w:rPr>
                <w:sz w:val="10"/>
                <w:szCs w:val="10"/>
                <w:color w:val="auto"/>
              </w:rPr>
            </w:pPr>
          </w:p>
        </w:tc>
        <w:tc>
          <w:tcPr>
            <w:tcW w:w="1660" w:type="dxa"/>
            <w:vAlign w:val="bottom"/>
            <w:shd w:val="clear" w:color="auto" w:fill="CFF0FC"/>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April 12, 2031</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2022</w:t>
            </w:r>
          </w:p>
        </w:tc>
        <w:tc>
          <w:tcPr>
            <w:tcW w:w="76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980" w:type="dxa"/>
            <w:vAlign w:val="bottom"/>
            <w:gridSpan w:val="3"/>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43,613</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51,406</w:t>
            </w:r>
          </w:p>
        </w:tc>
        <w:tc>
          <w:tcPr>
            <w:tcW w:w="880" w:type="dxa"/>
            <w:vAlign w:val="bottom"/>
            <w:gridSpan w:val="2"/>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8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January 11, 2032</w:t>
            </w: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2023</w:t>
            </w: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3,328</w:t>
            </w:r>
          </w:p>
        </w:tc>
        <w:tc>
          <w:tcPr>
            <w:tcW w:w="980" w:type="dxa"/>
            <w:vAlign w:val="bottom"/>
            <w:gridSpan w:val="3"/>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38,705</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11, 2023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13,486</w:t>
            </w:r>
          </w:p>
        </w:tc>
        <w:tc>
          <w:tcPr>
            <w:tcW w:w="880" w:type="dxa"/>
            <w:vAlign w:val="bottom"/>
            <w:gridSpan w:val="2"/>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6,309</w:t>
            </w:r>
          </w:p>
        </w:tc>
        <w:tc>
          <w:tcPr>
            <w:tcW w:w="8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January 11, 2033</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6, 2024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14,250</w:t>
            </w:r>
          </w:p>
        </w:tc>
        <w:tc>
          <w:tcPr>
            <w:tcW w:w="980" w:type="dxa"/>
            <w:vAlign w:val="bottom"/>
            <w:gridSpan w:val="3"/>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165,728</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spacing w:after="0"/>
              <w:rPr>
                <w:sz w:val="12"/>
                <w:szCs w:val="12"/>
                <w:color w:val="auto"/>
              </w:rPr>
            </w:pP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6, 2024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19,000</w:t>
            </w:r>
          </w:p>
        </w:tc>
        <w:tc>
          <w:tcPr>
            <w:tcW w:w="860" w:type="dxa"/>
            <w:vAlign w:val="bottom"/>
            <w:gridSpan w:val="2"/>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220,970</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920" w:type="dxa"/>
            <w:vAlign w:val="bottom"/>
            <w:shd w:val="clear" w:color="auto" w:fill="CFF0FC"/>
          </w:tcPr>
          <w:p>
            <w:pPr>
              <w:spacing w:after="0"/>
              <w:rPr>
                <w:sz w:val="14"/>
                <w:szCs w:val="14"/>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18, 2025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148,469</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jc w:val="both"/>
        <w:ind w:left="380" w:hanging="372"/>
        <w:spacing w:after="0" w:line="253"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awards granted in 2022, represents RSUs which will vest in annual installments over a four-year period, with vesting of the remaining RSUs shown in the table above occurring on January 11, 2023, 2024, 2025 and 2026, subject to continued employment or service through the vesting date. With respect to the awards granted in 2023, represents RSUs which will vest in annual installments over a four-year period, with vesting of the remaining RSUs shown in the table above occurring on January 11, 2024, 2025, 2026 and 2027, subject to continued employment or service through the vesting date. With respect to the awards granted in 2024, represents RSUs which will vest in annual installments over a four-year period, with vesting of the remaining RSUs shown in the table above occurring on May 6, 2025, 2026, 2027 and 2028, subject to continued employment or service through the vesting date. With respect to the awards granted in 2025, represents RSUs which will vest in annual installments over a four-year period, with vesting of the remaining RSUs shown in the table above occurring on February 18, 2026, 2027, 2028 and 2029, subject to continued employment or service through the vesting date. In addition, the RSUs will accelerate and become fully vested in the event of a change in control of the Company and are subject to accelerated vesting as set forth in the applicable executive’s employment letter.</w:t>
      </w:r>
    </w:p>
    <w:p>
      <w:pPr>
        <w:spacing w:after="0" w:line="32"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per share was calculated using the closing price per share of our common stock on December 31, 2025 ($11.63), the last trading day of 2025.</w:t>
      </w:r>
    </w:p>
    <w:p>
      <w:pPr>
        <w:ind w:left="3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awards granted in 2024, represents PSUs which are eligible to vest as to (i) 50% if, as of the end of any calendar quarter ending on or prior to December 31, 2026, the Company’s cumulative one-year trailing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revenues equal or exceed $75 million, and (ii) 50% if, as of any calendar quarter ending on or prior to December 31, 2027, the Company’s cumulative one-year trailing revenues equal or exceed $100 million. In addition, the PSUs will accelerate and become fully vested in the event of a change in control of the Company and are subject to accelerated vesting as set forth in the applicable executive’s employment letter.</w:t>
      </w:r>
    </w:p>
    <w:p>
      <w:pPr>
        <w:spacing w:after="0" w:line="14" w:lineRule="exact"/>
        <w:rPr>
          <w:sz w:val="20"/>
          <w:szCs w:val="20"/>
          <w:color w:val="auto"/>
        </w:rPr>
      </w:pPr>
    </w:p>
    <w:p>
      <w:pPr>
        <w:jc w:val="both"/>
        <w:ind w:left="380" w:hanging="372"/>
        <w:spacing w:after="0" w:line="26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as to 25% of the total amount of the award on the one-year anniversary of the grant date and in thirty-six substantially equal monthly installments thereafter, subject to the named executive officer’s continued employment or service through each such vesting date. In addition, the options will accelerate and become fully vested and exercisable in the event of a change in control of the Company and are subject to accelerated vesting as set forth in the applicable executive’s employment letter.</w:t>
      </w:r>
    </w:p>
    <w:p>
      <w:pPr>
        <w:spacing w:after="0" w:line="17"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for all options is equal to the fair market value of our common stock on the date of grant, as determined under our 2020 Incentive Award Plan.</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have a term of ten years from the date of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each of the fiscal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as applicable, and our financial performance for each such fiscal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Initial</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 Total for</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Table Total for</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Stockholder</w:t>
            </w:r>
          </w:p>
        </w:tc>
        <w:tc>
          <w:tcPr>
            <w:tcW w:w="22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Net Loss (in</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PEO</w:t>
            </w:r>
          </w:p>
        </w:tc>
        <w:tc>
          <w:tcPr>
            <w:tcW w:w="24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PEO</w:t>
            </w:r>
          </w:p>
        </w:tc>
        <w:tc>
          <w:tcPr>
            <w:tcW w:w="22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Non-PEO NEOs</w:t>
            </w:r>
          </w:p>
        </w:tc>
        <w:tc>
          <w:tcPr>
            <w:tcW w:w="2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Non-PEO NEOs</w:t>
            </w:r>
          </w:p>
        </w:tc>
        <w:tc>
          <w:tcPr>
            <w:tcW w:w="2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Return ("TSR")</w:t>
            </w:r>
          </w:p>
        </w:tc>
        <w:tc>
          <w:tcPr>
            <w:tcW w:w="220" w:type="dxa"/>
            <w:vAlign w:val="bottom"/>
          </w:tcPr>
          <w:p>
            <w:pPr>
              <w:spacing w:after="0"/>
              <w:rPr>
                <w:sz w:val="17"/>
                <w:szCs w:val="17"/>
                <w:color w:val="auto"/>
              </w:rPr>
            </w:pPr>
          </w:p>
        </w:tc>
        <w:tc>
          <w:tcPr>
            <w:tcW w:w="14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58"/>
        </w:trPr>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2"/>
                <w:szCs w:val="22"/>
                <w:color w:val="auto"/>
              </w:rPr>
            </w:pPr>
          </w:p>
        </w:tc>
        <w:tc>
          <w:tcPr>
            <w:tcW w:w="136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9"/>
                <w:szCs w:val="29"/>
                <w:b w:val="1"/>
                <w:bCs w:val="1"/>
                <w:color w:val="auto"/>
                <w:w w:val="99"/>
                <w:vertAlign w:val="subscript"/>
              </w:rPr>
              <w:t>($)</w:t>
            </w:r>
            <w:r>
              <w:rPr>
                <w:rFonts w:ascii="Times New Roman" w:cs="Times New Roman" w:eastAsia="Times New Roman" w:hAnsi="Times New Roman"/>
                <w:sz w:val="11"/>
                <w:szCs w:val="11"/>
                <w:b w:val="1"/>
                <w:bCs w:val="1"/>
                <w:color w:val="auto"/>
                <w:w w:val="99"/>
              </w:rPr>
              <w:t>(1)(2)</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36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9"/>
                <w:szCs w:val="29"/>
                <w:b w:val="1"/>
                <w:bCs w:val="1"/>
                <w:color w:val="auto"/>
                <w:w w:val="99"/>
                <w:vertAlign w:val="subscript"/>
              </w:rPr>
              <w:t>($)</w:t>
            </w:r>
            <w:r>
              <w:rPr>
                <w:rFonts w:ascii="Times New Roman" w:cs="Times New Roman" w:eastAsia="Times New Roman" w:hAnsi="Times New Roman"/>
                <w:sz w:val="11"/>
                <w:szCs w:val="11"/>
                <w:b w:val="1"/>
                <w:bCs w:val="1"/>
                <w:color w:val="auto"/>
                <w:w w:val="99"/>
              </w:rPr>
              <w:t>(1)(2)</w:t>
            </w:r>
          </w:p>
        </w:tc>
        <w:tc>
          <w:tcPr>
            <w:tcW w:w="2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60" w:type="dxa"/>
            <w:vAlign w:val="bottom"/>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w w:val="94"/>
              </w:rPr>
              <w:t>2025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2,344,966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3,194,176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928,737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1,277,410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(34,280)</w:t>
            </w:r>
          </w:p>
        </w:tc>
        <w:tc>
          <w:tcPr>
            <w:tcW w:w="0" w:type="dxa"/>
            <w:vAlign w:val="bottom"/>
          </w:tcPr>
          <w:p>
            <w:pPr>
              <w:spacing w:after="0"/>
              <w:rPr>
                <w:sz w:val="1"/>
                <w:szCs w:val="1"/>
                <w:color w:val="auto"/>
              </w:rPr>
            </w:pPr>
          </w:p>
        </w:tc>
      </w:tr>
      <w:tr>
        <w:trPr>
          <w:trHeight w:val="234"/>
        </w:trPr>
        <w:tc>
          <w:tcPr>
            <w:tcW w:w="176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4"/>
              </w:rPr>
              <w:t>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1,576,634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3,004,914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916,438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1,588,179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1170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0" w:lineRule="exact"/>
        <w:rPr>
          <w:sz w:val="20"/>
          <w:szCs w:val="20"/>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compensation actually paid to our PEO and the average compensation actually paid to our remaining NEOs for the relevant fiscal year, as determined under SEC rules (and described below). Mr. Curtis was our PEO for 2024 and 2025. Mr. Connaughton and Mr. Staab were our Non-PEO NEOs for 2024 and 2025.</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“Compensation Actually Paid to PEO” and “Average Compensation Actually Paid to Non-PEO NEOs” columns do not reflect the actual compensation paid to or realized by our PEO or our non-PEO NEOs during each applicable year. The calculation of compensation actually paid for purposes of this table includes point-in-time fair values of stock awards and these values will fluctuate based on our stock price, various accounting valuation assumptions and projected performance related to our performance awards. The fair value of equity awards was determined using methodologies and assumptions developed in a manner substantively consistent with those used to determine the grant date fair value of such awards. See the Summary Compensation Table for certain other compensation of our PEO and our non-PEO NEOs for each applicable fiscal year. For additional information on the assumptions used to calculate the valuation of the awards, see the Notes to Consolidated Financial Statements in our 2025 Form 10-K for the fiscal year ended December 31, 2025 and prior fiscal years.</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Compensation actually paid to our named executive officers represents the “Total” compensation reported in the Summary Compensation Table for the applicable fiscal year, as adjusted as follows: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Borders>
              <w:bottom w:val="single" w:sz="8" w:color="auto"/>
            </w:tcBorders>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Average Non-PEO</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Average Non-PEO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PEO</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PEO</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0" w:type="dxa"/>
            <w:vAlign w:val="bottom"/>
          </w:tcPr>
          <w:p>
            <w:pPr>
              <w:spacing w:after="0"/>
              <w:rPr>
                <w:sz w:val="1"/>
                <w:szCs w:val="1"/>
                <w:color w:val="auto"/>
              </w:rPr>
            </w:pPr>
          </w:p>
        </w:tc>
      </w:tr>
      <w:tr>
        <w:trPr>
          <w:trHeight w:val="238"/>
        </w:trPr>
        <w:tc>
          <w:tcPr>
            <w:tcW w:w="42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6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Compensation for Covered Fiscal Year from</w:t>
            </w:r>
          </w:p>
        </w:tc>
        <w:tc>
          <w:tcPr>
            <w:tcW w:w="1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2,344,966</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928,737</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1,576,634</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916,438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 Grant Date Fair Value of Option Awards and</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Awards Granted in Fiscal Year</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(1,307,238)</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(256,000)</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(458,388)</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(205,440)</w:t>
            </w:r>
          </w:p>
        </w:tc>
        <w:tc>
          <w:tcPr>
            <w:tcW w:w="0" w:type="dxa"/>
            <w:vAlign w:val="bottom"/>
          </w:tcPr>
          <w:p>
            <w:pPr>
              <w:spacing w:after="0"/>
              <w:rPr>
                <w:sz w:val="1"/>
                <w:szCs w:val="1"/>
                <w:color w:val="auto"/>
              </w:rPr>
            </w:pPr>
          </w:p>
        </w:tc>
      </w:tr>
      <w:tr>
        <w:trPr>
          <w:trHeight w:val="198"/>
        </w:trPr>
        <w:tc>
          <w:tcPr>
            <w:tcW w:w="436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Fiscal Year-End of Outstanding and</w:t>
            </w:r>
          </w:p>
        </w:tc>
        <w:tc>
          <w:tcPr>
            <w:tcW w:w="1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Option Awards and Stock Awards in Fiscal</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1,484,686</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290,750</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1,276,632</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of Outstanding and Unvested</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and Stock Awards in Prior Fiscal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442,653</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203,909</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516,159</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6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Vesting of Option Awards and Stock</w:t>
            </w:r>
          </w:p>
        </w:tc>
        <w:tc>
          <w:tcPr>
            <w:tcW w:w="1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Granted in Fiscal Year That Vested During Fiscal</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as of Vesting Date of Option</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and Stock Awards Granted in Prior Fiscal Years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Which Applicable Vesting Conditions Were Satisfied</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Fiscal Year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110,014</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93,877</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6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Deduct Fair Value as of Prior Fiscal Year-End of Option</w:t>
            </w:r>
          </w:p>
        </w:tc>
        <w:tc>
          <w:tcPr>
            <w:tcW w:w="1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and Stock Awards Granted in Prior Fiscal Years</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That Failed to Meet Applicable Vesting Conditions</w:t>
            </w:r>
          </w:p>
        </w:tc>
        <w:tc>
          <w:tcPr>
            <w:tcW w:w="18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During Fiscal Year</w:t>
            </w:r>
          </w:p>
        </w:tc>
        <w:tc>
          <w:tcPr>
            <w:tcW w:w="1800" w:type="dxa"/>
            <w:vAlign w:val="bottom"/>
            <w:gridSpan w:val="2"/>
            <w:vMerge w:val="continue"/>
            <w:shd w:val="clear" w:color="auto" w:fill="CFF0FC"/>
          </w:tcPr>
          <w:p>
            <w:pPr>
              <w:spacing w:after="0"/>
              <w:rPr>
                <w:sz w:val="19"/>
                <w:szCs w:val="19"/>
                <w:color w:val="auto"/>
              </w:rPr>
            </w:pPr>
          </w:p>
        </w:tc>
        <w:tc>
          <w:tcPr>
            <w:tcW w:w="1740" w:type="dxa"/>
            <w:vAlign w:val="bottom"/>
            <w:gridSpan w:val="2"/>
            <w:vMerge w:val="continue"/>
            <w:shd w:val="clear" w:color="auto" w:fill="CFF0FC"/>
          </w:tcPr>
          <w:p>
            <w:pPr>
              <w:spacing w:after="0"/>
              <w:rPr>
                <w:sz w:val="19"/>
                <w:szCs w:val="19"/>
                <w:color w:val="auto"/>
              </w:rPr>
            </w:pPr>
          </w:p>
        </w:tc>
        <w:tc>
          <w:tcPr>
            <w:tcW w:w="1720" w:type="dxa"/>
            <w:vAlign w:val="bottom"/>
            <w:gridSpan w:val="2"/>
            <w:vMerge w:val="continue"/>
            <w:shd w:val="clear" w:color="auto" w:fill="CFF0FC"/>
          </w:tcPr>
          <w:p>
            <w:pPr>
              <w:spacing w:after="0"/>
              <w:rPr>
                <w:sz w:val="19"/>
                <w:szCs w:val="19"/>
                <w:color w:val="auto"/>
              </w:rPr>
            </w:pPr>
          </w:p>
        </w:tc>
        <w:tc>
          <w:tcPr>
            <w:tcW w:w="16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Compensation Actually Paid</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3,194,176</w:t>
            </w:r>
          </w:p>
        </w:tc>
        <w:tc>
          <w:tcPr>
            <w:tcW w:w="260" w:type="dxa"/>
            <w:vAlign w:val="bottom"/>
            <w:tcBorders>
              <w:top w:val="single" w:sz="8" w:color="CFF0FC"/>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1,277,410</w:t>
            </w:r>
          </w:p>
        </w:tc>
        <w:tc>
          <w:tcPr>
            <w:tcW w:w="220" w:type="dxa"/>
            <w:vAlign w:val="bottom"/>
            <w:tcBorders>
              <w:top w:val="single" w:sz="8" w:color="CFF0FC"/>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3,004,914</w:t>
            </w: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1,588,179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-153670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-153670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80" w:right="320"/>
        <w:spacing w:after="0" w:line="282" w:lineRule="auto"/>
        <w:rPr>
          <w:sz w:val="20"/>
          <w:szCs w:val="20"/>
          <w:color w:val="auto"/>
        </w:rPr>
      </w:pPr>
      <w:r>
        <w:rPr>
          <w:rFonts w:ascii="Times New Roman" w:cs="Times New Roman" w:eastAsia="Times New Roman" w:hAnsi="Times New Roman"/>
          <w:sz w:val="18"/>
          <w:szCs w:val="18"/>
          <w:color w:val="auto"/>
        </w:rPr>
        <w:t>The fair value of equity awards was determined using methodologies and assumptions developed in a manner substantively consistent with those used to determine the grant date fair value of such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Financial Performance Measures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graphs below compare the compensation actually paid to our principal executive officer and the average of the compensation actually paid to our remaining named executive officers, with (i) our cumulative TSR and (ii) our Net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in each case, for the fiscal years ended December 31, 2025 and 2024. TSR amounts reported in the graph assume an initial fixed investment of $100, and that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97155</wp:posOffset>
            </wp:positionV>
            <wp:extent cx="5143500" cy="5057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Health, Welfare and Retirement Benefits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including our medical, dental, vision, group life, disability and accidental death and dismemberment insurance plans, in each case on the generally on same basis as all of our other employees. We provide a 401(k) plan to our employees, including our current named executive officers, as discussed in the section below entitled “401(k) Plan.”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employees participate in a defined contribution employee retirement plan, or 401(k) plan. Our named executive officers are eligible to participate in the 401(k) plan on the same basis as other eligible employees. The 401(k) plan is intended to qualify as a tax-qualified plan under Section 401(k) of the Code. The 401(k) plan provides that each participant may make pre-tax deferrals from his or her compensation up to the statutory limit, which was $23,500 for calendar year 2025, and other testing limits. Participants that are 50 years or older can also make “catch-up” contributions, which in calendar year 2025 could be up to an additional $7,500 above the statutory limit. We also provide a matching contribution equal to 100% of an employee’s first 3% of contributions and 50% of the next 2% of contributions. Participant contributions are held and invested, pursuant to the participant’s instructions, by the plan’s trustee.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historically maintained nonqualified defined contribution plans or other nonqualified deferred compensation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or Change in Control Benefits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officers may become entitled to certain benefits or enhanced benefits in connection with a qualifying termination or a change in control of our company. Each of our executive officers’ employment agreements entitles them to certain payments and benefits upon certain qualifying terminations (including in connection with a change in control of our company). For additional discussion, please see “Employment Letters with our Named Executive Officers.” Additionally, the stock option, restricted stock unit awards, and performance stock unit awards granted to our named executive officers will accelerate and vest in full upon a change in control of the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Relating to Recovery of Erroneously Awarded Compensation (Clawback Policy)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instituted a clawback policy in accordance with the Nasdaq’s final rules implementing the incentive-based compensation recovery provisions of the Dodd-Frank Wall Street Reform and Consumer Protection Act, effective October 2, 2023 to support a culture of focused, diligent and responsible management that discourages conduct detrimental to our growth. The policy applies to each person who serves as an executive officer of the Company, as defined in Rule 10D-1(d) under the Exchange Act, which include our named executive officers (each, a “covered employee”). In the event of a qualifying financial restatement, a covered employee will be required to forfeit erroneously awarded incentive compensation to the Company to the extent required under applicable law.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Timing Policies and Practices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awards to employees are typically granted in connection with the Company annual award process in the first half of each year, as well as to new hires in connection with their commencement of employment. We do not grant equity awards in anticipation of the release of material nonpublic information, and we do not time the release of material nonpublic information for the purpose of affecting the value of executive compensation. For all stock option awards, the exercise price is the closing price of our common stock on the Nasdaq Stock Market on the date of the grant (or if the grant date is not a trading day, then on the immediately preceding trading day). During 2024 and 2025, we did not grant stock options, stock appreciation rights, or similar option-like instruments to our named executive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compensation to our non-employee directors in the form of cash and stock-based compensation. We have reimbursed, and will continue to reimburse, our non-employee directors for their actual out-of-pocket costs and expenses incurred in connection with attending board meetings.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receive annual retainer fees and/or long-term equity awards. Under the non-employee director compensation program, each non-employee director receives an annual retainer of $50,000, with the chairperson receiving an annual retainer of $75,000. Non-employee directors serving as the chairs of the audit, compensation and nominating and corporate governance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committees receive additional annual retainers of $20,000, $15,000 and $9,000, respectively. Non-employee directors serving as members of the audit, compensation and nominating and corporate governance committees receive additional annual retainers of $10,000, $7,000 and $4,500,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Non-employee directors who are newly elected or appointed to our Board of Directors will receive initial stock option awards having a value of $200,000, calculated based on the Black-Scholes value on the grant date, vesting over three years with one-third of such options vesting on the first anniversary of the date of such election or appointment to the Board of Directors and the remainder vesting in equal monthly installments over the remaining two years thereafter.</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our non-employee directors were eligible for annual equity awards. Given we did not hold an annual meeting until December 2025, the annual awards to the non-employee directors were granted in May 2025, at the time the annual meeting would typically have been held. On the grant date, each non-employee director received an annual RSU award having a value of $100,000, calculated based on the closing price per share for our common stock on the grant date, which vests on the first anniversary of the grant date.</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equity awards granted to our non-employee directors will vest upon a change in control of our company or upon a director’s death or disability. Compensation under our non-employee director compensation policy is subject to the annual limits on non-employee director compensation set forth in the 2020 Plan. Our Board of Directors or its authorized committee may modify the non-employee director compensation program from time to time in the exercise of its business judgment, taking into account such factors, circumstances and considerations as it shall deem relevant from time to time, subject to the annual limit on non-employee director compensation set forth in the 2020 Plan. As provided in the 2020 Plan, our Board of Directors or its authorized committee may make exceptions to this limit for individual non-employee directors in extraordinary circumstances, as the Board of Directors or its authorized committee may determine in its discretion, provided that the non-employee director receiving such additional compensation may not participate in the decision to award such compensation or in other compensation decisions involving non-employee directors.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compensation received by our non-employee directors during the year ended December 31, 2025. Nicholas T. Curtis is not included in the following table as he served as an executive officer during 2025 and does not receive compensation for his board service. Mr. Curtis’s compensation is included in the Summary Compensation Table in the “Executive and Director Compensation” section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120" w:type="dxa"/>
            <w:vAlign w:val="bottom"/>
          </w:tcPr>
          <w:p>
            <w:pPr>
              <w:spacing w:after="0"/>
              <w:rPr>
                <w:sz w:val="12"/>
                <w:szCs w:val="12"/>
                <w:color w:val="auto"/>
              </w:rPr>
            </w:pPr>
          </w:p>
        </w:tc>
        <w:tc>
          <w:tcPr>
            <w:tcW w:w="14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48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4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B. Ellis</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54,500</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99,991</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154,491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Todd B. Hammer</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57,000</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99,991</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156,991</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L. Lindstrom, M.D.</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79,500</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99,991</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179,491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William J. Link, Ph.D.</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96,500</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99,991</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196,491</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Elizabeth G. O'Farrell</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70,000</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99,991</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169,991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Aimee S. Weisner</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57,000</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99,991</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156,991</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Gary M. Winer</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76,000</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99,991</w:t>
            </w:r>
          </w:p>
        </w:tc>
        <w:tc>
          <w:tcPr>
            <w:tcW w:w="1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175,991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6" w:lineRule="exact"/>
        <w:rPr>
          <w:sz w:val="20"/>
          <w:szCs w:val="20"/>
          <w:color w:val="auto"/>
        </w:rPr>
      </w:pPr>
    </w:p>
    <w:p>
      <w:pPr>
        <w:jc w:val="both"/>
        <w:ind w:left="380" w:hanging="372"/>
        <w:spacing w:after="0" w:line="267"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RSUs granted during 2025 computed in accordance with FASB ASC 718. See Note 14</w:t>
      </w:r>
      <w:r>
        <w:rPr>
          <w:rFonts w:ascii="Times New Roman" w:cs="Times New Roman" w:eastAsia="Times New Roman" w:hAnsi="Times New Roman"/>
          <w:sz w:val="18"/>
          <w:szCs w:val="18"/>
          <w:i w:val="1"/>
          <w:iCs w:val="1"/>
          <w:color w:val="auto"/>
        </w:rPr>
        <w:t>,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to our audited financial statements included in our Annual Report on Form 10-K, for a description of the assumptions used in valuing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awards.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number of shares subject to RSUs and stock options outstanding at December 31, 2025 for the individuals who served as non-employee directors during 2025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tcBorders>
              <w:bottom w:val="single" w:sz="8" w:color="auto"/>
            </w:tcBorders>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Pr>
          <w:p>
            <w:pPr>
              <w:spacing w:after="0"/>
              <w:rPr>
                <w:sz w:val="10"/>
                <w:szCs w:val="10"/>
                <w:color w:val="auto"/>
              </w:rPr>
            </w:pPr>
          </w:p>
        </w:tc>
        <w:tc>
          <w:tcPr>
            <w:tcW w:w="1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Underlying Restricted</w:t>
            </w:r>
          </w:p>
        </w:tc>
        <w:tc>
          <w:tcPr>
            <w:tcW w:w="1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172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8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 Stock Options</w:t>
            </w:r>
          </w:p>
        </w:tc>
        <w:tc>
          <w:tcPr>
            <w:tcW w:w="0" w:type="dxa"/>
            <w:vAlign w:val="bottom"/>
          </w:tcPr>
          <w:p>
            <w:pPr>
              <w:spacing w:after="0"/>
              <w:rPr>
                <w:sz w:val="1"/>
                <w:szCs w:val="1"/>
                <w:color w:val="auto"/>
              </w:rPr>
            </w:pPr>
          </w:p>
        </w:tc>
      </w:tr>
      <w:tr>
        <w:trPr>
          <w:trHeight w:val="175"/>
        </w:trPr>
        <w:tc>
          <w:tcPr>
            <w:tcW w:w="754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720" w:type="dxa"/>
            <w:vAlign w:val="bottom"/>
            <w:tcBorders>
              <w:bottom w:val="single" w:sz="8" w:color="auto"/>
            </w:tcBorders>
          </w:tcPr>
          <w:p>
            <w:pPr>
              <w:jc w:val="center"/>
              <w:ind w:right="38"/>
              <w:spacing w:after="0" w:line="175" w:lineRule="exact"/>
              <w:rPr>
                <w:sz w:val="20"/>
                <w:szCs w:val="20"/>
                <w:color w:val="auto"/>
              </w:rPr>
            </w:pPr>
            <w:r>
              <w:rPr>
                <w:rFonts w:ascii="Times New Roman" w:cs="Times New Roman" w:eastAsia="Times New Roman" w:hAnsi="Times New Roman"/>
                <w:sz w:val="14"/>
                <w:szCs w:val="14"/>
                <w:b w:val="1"/>
                <w:bCs w:val="1"/>
                <w:color w:val="auto"/>
                <w:w w:val="98"/>
              </w:rPr>
              <w:t>Outstanding</w:t>
            </w:r>
            <w:r>
              <w:rPr>
                <w:rFonts w:ascii="Times New Roman" w:cs="Times New Roman" w:eastAsia="Times New Roman" w:hAnsi="Times New Roman"/>
                <w:sz w:val="19"/>
                <w:szCs w:val="19"/>
                <w:b w:val="1"/>
                <w:bCs w:val="1"/>
                <w:color w:val="auto"/>
                <w:w w:val="98"/>
                <w:vertAlign w:val="superscript"/>
              </w:rPr>
              <w:t>(1)</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9"/>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B. Ellis</w:t>
            </w:r>
          </w:p>
        </w:tc>
        <w:tc>
          <w:tcPr>
            <w:tcW w:w="17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29,374</w:t>
            </w:r>
          </w:p>
        </w:tc>
        <w:tc>
          <w:tcPr>
            <w:tcW w:w="18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127,962</w:t>
            </w: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Todd B. Hammer</w:t>
            </w:r>
          </w:p>
        </w:tc>
        <w:tc>
          <w:tcPr>
            <w:tcW w:w="17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29,374</w:t>
            </w:r>
          </w:p>
        </w:tc>
        <w:tc>
          <w:tcPr>
            <w:tcW w:w="18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127,962</w:t>
            </w:r>
          </w:p>
        </w:tc>
        <w:tc>
          <w:tcPr>
            <w:tcW w:w="0" w:type="dxa"/>
            <w:vAlign w:val="bottom"/>
          </w:tcPr>
          <w:p>
            <w:pPr>
              <w:spacing w:after="0"/>
              <w:rPr>
                <w:sz w:val="1"/>
                <w:szCs w:val="1"/>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L. Lindstrom, M.D.</w:t>
            </w:r>
          </w:p>
        </w:tc>
        <w:tc>
          <w:tcPr>
            <w:tcW w:w="17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29,374</w:t>
            </w:r>
          </w:p>
        </w:tc>
        <w:tc>
          <w:tcPr>
            <w:tcW w:w="18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69,638</w:t>
            </w: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J. Link, Ph.D.</w:t>
            </w:r>
          </w:p>
        </w:tc>
        <w:tc>
          <w:tcPr>
            <w:tcW w:w="17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7,374</w:t>
            </w:r>
          </w:p>
        </w:tc>
        <w:tc>
          <w:tcPr>
            <w:tcW w:w="18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69,638</w:t>
            </w:r>
          </w:p>
        </w:tc>
        <w:tc>
          <w:tcPr>
            <w:tcW w:w="0" w:type="dxa"/>
            <w:vAlign w:val="bottom"/>
          </w:tcPr>
          <w:p>
            <w:pPr>
              <w:spacing w:after="0"/>
              <w:rPr>
                <w:sz w:val="1"/>
                <w:szCs w:val="1"/>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Elizabeth G. O'Farrell</w:t>
            </w:r>
          </w:p>
        </w:tc>
        <w:tc>
          <w:tcPr>
            <w:tcW w:w="17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7,374</w:t>
            </w:r>
          </w:p>
        </w:tc>
        <w:tc>
          <w:tcPr>
            <w:tcW w:w="18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111,332</w:t>
            </w: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Aimee S. Weisner</w:t>
            </w:r>
          </w:p>
        </w:tc>
        <w:tc>
          <w:tcPr>
            <w:tcW w:w="17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29,374</w:t>
            </w:r>
          </w:p>
        </w:tc>
        <w:tc>
          <w:tcPr>
            <w:tcW w:w="18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111,332</w:t>
            </w:r>
          </w:p>
        </w:tc>
        <w:tc>
          <w:tcPr>
            <w:tcW w:w="0" w:type="dxa"/>
            <w:vAlign w:val="bottom"/>
          </w:tcPr>
          <w:p>
            <w:pPr>
              <w:spacing w:after="0"/>
              <w:rPr>
                <w:sz w:val="1"/>
                <w:szCs w:val="1"/>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Gary M. Winer</w:t>
            </w:r>
          </w:p>
        </w:tc>
        <w:tc>
          <w:tcPr>
            <w:tcW w:w="17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29,374</w:t>
            </w:r>
          </w:p>
        </w:tc>
        <w:tc>
          <w:tcPr>
            <w:tcW w:w="18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69,638</w:t>
            </w:r>
          </w:p>
        </w:tc>
        <w:tc>
          <w:tcPr>
            <w:tcW w:w="0" w:type="dxa"/>
            <w:vAlign w:val="bottom"/>
          </w:tcPr>
          <w:p>
            <w:pPr>
              <w:spacing w:after="0"/>
              <w:rPr>
                <w:sz w:val="1"/>
                <w:szCs w:val="1"/>
                <w:color w:val="auto"/>
              </w:rPr>
            </w:pPr>
          </w:p>
        </w:tc>
      </w:tr>
      <w:tr>
        <w:trPr>
          <w:trHeight w:val="121"/>
        </w:trPr>
        <w:tc>
          <w:tcPr>
            <w:tcW w:w="3000" w:type="dxa"/>
            <w:vAlign w:val="bottom"/>
            <w:tcBorders>
              <w:bottom w:val="single" w:sz="8" w:color="auto"/>
            </w:tcBorders>
          </w:tcPr>
          <w:p>
            <w:pPr>
              <w:spacing w:after="0"/>
              <w:rPr>
                <w:sz w:val="10"/>
                <w:szCs w:val="10"/>
                <w:color w:val="auto"/>
              </w:rPr>
            </w:pPr>
          </w:p>
        </w:tc>
        <w:tc>
          <w:tcPr>
            <w:tcW w:w="4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8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non-employee director except Dr. Link and Ms. O’Farrell, this amount includes 22,000 RSUs that are fully vested but for which the director elected to defer settlement until a future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securities available under our equity compensation plans as of December 31, 2025. As of December 31, 2025, our 2020 Incentive Award Plan, our 2024 Inducement Award Plan and our 2020 Employee Stock Purchase Plan were our only outstanding equity compensation plans.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2"/>
                <w:szCs w:val="1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42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per</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42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 exercise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2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42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gridSpan w:val="2"/>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6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2,740,452</w:t>
            </w:r>
          </w:p>
        </w:tc>
        <w:tc>
          <w:tcPr>
            <w:tcW w:w="420" w:type="dxa"/>
            <w:vAlign w:val="bottom"/>
            <w:tcBorders>
              <w:left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870,816</w:t>
            </w:r>
          </w:p>
        </w:tc>
        <w:tc>
          <w:tcPr>
            <w:tcW w:w="360" w:type="dxa"/>
            <w:vAlign w:val="bottom"/>
            <w:tcBorders>
              <w:left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80,821</w:t>
            </w:r>
          </w:p>
        </w:tc>
        <w:tc>
          <w:tcPr>
            <w:tcW w:w="3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2,759,084</w:t>
            </w:r>
          </w:p>
        </w:tc>
        <w:tc>
          <w:tcPr>
            <w:tcW w:w="420" w:type="dxa"/>
            <w:vAlign w:val="bottom"/>
            <w:tcBorders>
              <w:left w:val="single" w:sz="8" w:color="CFF0FC"/>
            </w:tcBorders>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951,637</w:t>
            </w:r>
          </w:p>
        </w:tc>
        <w:tc>
          <w:tcPr>
            <w:tcW w:w="36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line="273"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1,794,533 shares subject to outstanding stock options and 945,929 shares underlying outstanding RSUs and PSUs under our 2020 Incentive Award Plan. As to the PSUs, the amount outstanding was determined assuming the maximum number of shares are issuable in respect of such PSUs.</w:t>
      </w:r>
    </w:p>
    <w:p>
      <w:pPr>
        <w:spacing w:after="0" w:line="1" w:lineRule="exact"/>
        <w:rPr>
          <w:rFonts w:ascii="Times New Roman" w:cs="Times New Roman" w:eastAsia="Times New Roman" w:hAnsi="Times New Roman"/>
          <w:sz w:val="18"/>
          <w:szCs w:val="18"/>
          <w:color w:val="auto"/>
        </w:rPr>
      </w:pPr>
    </w:p>
    <w:p>
      <w:pPr>
        <w:ind w:left="380" w:hanging="372"/>
        <w:spacing w:after="0" w:line="273"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683,634 shares available for issuance under our 2020 Incentive Award Plan and (b) 187,182 shares available for issuance under our 2020 Employee Stock Purchase Plan, of which 187,182 were eligible for purchase during the offering period in effect on December 31, 2025.</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15,272 shares subject to outstanding stock options and 3,360 shares underlying outstanding RSUs under our 2024 Inducement Award Plan.</w:t>
      </w:r>
    </w:p>
    <w:p>
      <w:pPr>
        <w:spacing w:after="0" w:line="36"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shares available for issuance under our 2024 Inducement Award Plan. The material features of 2024 Inducement Award Plan are more fully described in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to our consolidated financial statements included in our Annual Report on Form 10-K.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first day of each calendar year beginning on January 1, 2021 and ending on and including January 1, 2030, the number of shares available for issuance under the 2020 Incentive Award Plan shall be increased by a number of shares equal to the lesser of (i) 5% of the aggregate number of shares outstanding on the final day of the immediately preceding calendar year and (ii) such smaller number of shares as determined by our Board of Directors.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first day of each calendar year beginning on January 1, 2022 and ending on and including January 1, 2030, the number of shares available for issuance under the 2020 Employee Stock Purchase Plan shall be increased by a number of shares equal to the lesser of (i) 1% of the shares outstanding on the final day of the immediately preceding calendar year, and (ii) such smaller number of shares as determined by our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ind w:left="4700"/>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June 10, 2026 by:</w:t>
      </w:r>
    </w:p>
    <w:p>
      <w:pPr>
        <w:spacing w:after="0" w:line="125" w:lineRule="exact"/>
        <w:rPr>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231F20"/>
        </w:rPr>
        <w:t>each person, or group of affiliated persons, known by us to beneficially own more than 5% of our common stock outstanding;</w:t>
      </w:r>
    </w:p>
    <w:p>
      <w:pPr>
        <w:spacing w:after="0" w:line="98"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231F20"/>
        </w:rPr>
        <w:t>each of our directors;</w:t>
      </w:r>
    </w:p>
    <w:p>
      <w:pPr>
        <w:spacing w:after="0" w:line="98"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231F20"/>
        </w:rPr>
        <w:t>each of our named executive officers for 2025; and</w:t>
      </w:r>
    </w:p>
    <w:p>
      <w:pPr>
        <w:spacing w:after="0" w:line="98"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231F20"/>
        </w:rPr>
        <w:t>all directors and executive officers as a group.</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beneficially owned by our directors and executive officers includes shares that such persons have the right to acquire within 60 days of June 10, 2026, including through the exercise of stock options and warrants, the vesting of restricted stock units and the conversion of Series A Convertible Preferred Stock, as noted in the table footnotes.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Title or Class of Securities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3"/>
          </w:tcPr>
          <w:p>
            <w:pPr>
              <w:jc w:val="right"/>
              <w:ind w:right="410"/>
              <w:spacing w:after="0" w:line="196" w:lineRule="exact"/>
              <w:rPr>
                <w:sz w:val="20"/>
                <w:szCs w:val="20"/>
                <w:color w:val="auto"/>
              </w:rPr>
            </w:pPr>
            <w:r>
              <w:rPr>
                <w:rFonts w:ascii="Times New Roman" w:cs="Times New Roman" w:eastAsia="Times New Roman" w:hAnsi="Times New Roman"/>
                <w:sz w:val="18"/>
                <w:szCs w:val="18"/>
                <w:b w:val="1"/>
                <w:bCs w:val="1"/>
                <w:color w:val="auto"/>
              </w:rPr>
              <w:t>Series A Convertible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8"/>
        </w:trPr>
        <w:tc>
          <w:tcPr>
            <w:tcW w:w="4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3"/>
          </w:tcPr>
          <w:p>
            <w:pPr>
              <w:jc w:val="right"/>
              <w:ind w:right="530"/>
              <w:spacing w:after="0" w:line="258" w:lineRule="exact"/>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spacing w:after="0"/>
              <w:rPr>
                <w:sz w:val="22"/>
                <w:szCs w:val="22"/>
                <w:color w:val="auto"/>
              </w:rPr>
            </w:pPr>
          </w:p>
        </w:tc>
        <w:tc>
          <w:tcPr>
            <w:tcW w:w="2380" w:type="dxa"/>
            <w:vAlign w:val="bottom"/>
            <w:tcBorders>
              <w:bottom w:val="single" w:sz="8" w:color="auto"/>
            </w:tcBorders>
            <w:gridSpan w:val="3"/>
          </w:tcPr>
          <w:p>
            <w:pPr>
              <w:jc w:val="right"/>
              <w:ind w:right="510"/>
              <w:spacing w:after="0" w:line="258" w:lineRule="exact"/>
              <w:rPr>
                <w:sz w:val="20"/>
                <w:szCs w:val="20"/>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87"/>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196"/>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7"/>
                <w:szCs w:val="17"/>
                <w:color w:val="auto"/>
              </w:rPr>
            </w:pPr>
          </w:p>
        </w:tc>
        <w:tc>
          <w:tcPr>
            <w:tcW w:w="116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7"/>
                <w:szCs w:val="17"/>
                <w:color w:val="auto"/>
              </w:rPr>
            </w:pPr>
          </w:p>
        </w:tc>
        <w:tc>
          <w:tcPr>
            <w:tcW w:w="11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7"/>
                <w:szCs w:val="17"/>
                <w:color w:val="auto"/>
              </w:rPr>
            </w:pPr>
          </w:p>
        </w:tc>
        <w:tc>
          <w:tcPr>
            <w:tcW w:w="118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7"/>
                <w:szCs w:val="17"/>
                <w:color w:val="auto"/>
              </w:rPr>
            </w:pPr>
          </w:p>
        </w:tc>
        <w:tc>
          <w:tcPr>
            <w:tcW w:w="122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Voting</w:t>
            </w:r>
          </w:p>
        </w:tc>
      </w:tr>
      <w:tr>
        <w:trPr>
          <w:trHeight w:val="258"/>
        </w:trPr>
        <w:tc>
          <w:tcPr>
            <w:tcW w:w="4900" w:type="dxa"/>
            <w:vAlign w:val="bottom"/>
            <w:tcBorders>
              <w:bottom w:val="single" w:sz="8" w:color="auto"/>
            </w:tcBorders>
          </w:tcPr>
          <w:p>
            <w:pPr>
              <w:ind w:left="1360"/>
              <w:spacing w:after="0" w:line="258" w:lineRule="exact"/>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center"/>
              <w:ind w:right="110"/>
              <w:spacing w:after="0" w:line="258" w:lineRule="exact"/>
              <w:rPr>
                <w:sz w:val="20"/>
                <w:szCs w:val="20"/>
                <w:color w:val="auto"/>
              </w:rPr>
            </w:pPr>
            <w:r>
              <w:rPr>
                <w:rFonts w:ascii="Times New Roman" w:cs="Times New Roman" w:eastAsia="Times New Roman" w:hAnsi="Times New Roman"/>
                <w:sz w:val="18"/>
                <w:szCs w:val="18"/>
                <w:b w:val="1"/>
                <w:bCs w:val="1"/>
                <w:color w:val="auto"/>
                <w:w w:val="92"/>
              </w:rPr>
              <w:t>Owned</w:t>
            </w:r>
            <w:r>
              <w:rPr>
                <w:rFonts w:ascii="Times New Roman" w:cs="Times New Roman" w:eastAsia="Times New Roman" w:hAnsi="Times New Roman"/>
                <w:sz w:val="24"/>
                <w:szCs w:val="24"/>
                <w:b w:val="1"/>
                <w:bCs w:val="1"/>
                <w:color w:val="auto"/>
                <w:w w:val="92"/>
                <w:vertAlign w:val="superscript"/>
              </w:rPr>
              <w:t>(3)</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center"/>
              <w:ind w:right="110"/>
              <w:spacing w:after="0" w:line="258" w:lineRule="exact"/>
              <w:rPr>
                <w:sz w:val="20"/>
                <w:szCs w:val="20"/>
                <w:color w:val="auto"/>
              </w:rPr>
            </w:pPr>
            <w:r>
              <w:rPr>
                <w:rFonts w:ascii="Times New Roman" w:cs="Times New Roman" w:eastAsia="Times New Roman" w:hAnsi="Times New Roman"/>
                <w:sz w:val="18"/>
                <w:szCs w:val="18"/>
                <w:b w:val="1"/>
                <w:bCs w:val="1"/>
                <w:color w:val="auto"/>
                <w:w w:val="91"/>
              </w:rPr>
              <w:t>Power</w:t>
            </w:r>
            <w:r>
              <w:rPr>
                <w:rFonts w:ascii="Times New Roman" w:cs="Times New Roman" w:eastAsia="Times New Roman" w:hAnsi="Times New Roman"/>
                <w:sz w:val="24"/>
                <w:szCs w:val="24"/>
                <w:b w:val="1"/>
                <w:bCs w:val="1"/>
                <w:color w:val="auto"/>
                <w:w w:val="91"/>
                <w:vertAlign w:val="superscript"/>
              </w:rPr>
              <w:t>(2)</w:t>
            </w:r>
          </w:p>
        </w:tc>
      </w:tr>
      <w:tr>
        <w:trPr>
          <w:trHeight w:val="209"/>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Holders of More than 5%:</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North Run Capital, LP </w:t>
            </w:r>
            <w:r>
              <w:rPr>
                <w:rFonts w:ascii="Times New Roman" w:cs="Times New Roman" w:eastAsia="Times New Roman" w:hAnsi="Times New Roman"/>
                <w:sz w:val="24"/>
                <w:szCs w:val="24"/>
                <w:color w:val="auto"/>
                <w:vertAlign w:val="superscript"/>
              </w:rPr>
              <w:t>(4)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13,446,946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502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Brandes Investment Partners, LP </w:t>
            </w:r>
            <w:r>
              <w:rPr>
                <w:rFonts w:ascii="Times New Roman" w:cs="Times New Roman" w:eastAsia="Times New Roman" w:hAnsi="Times New Roman"/>
                <w:sz w:val="24"/>
                <w:szCs w:val="24"/>
                <w:color w:val="auto"/>
                <w:vertAlign w:val="superscript"/>
              </w:rPr>
              <w:t>(5)</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1,026,018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4"/>
                <w:szCs w:val="24"/>
                <w:color w:val="auto"/>
                <w:vertAlign w:val="superscript"/>
              </w:rPr>
              <w:t>(6)</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623,381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2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Nicholas T. Curtis </w:t>
            </w:r>
            <w:r>
              <w:rPr>
                <w:rFonts w:ascii="Times New Roman" w:cs="Times New Roman" w:eastAsia="Times New Roman" w:hAnsi="Times New Roman"/>
                <w:sz w:val="24"/>
                <w:szCs w:val="24"/>
                <w:color w:val="auto"/>
                <w:vertAlign w:val="superscript"/>
              </w:rPr>
              <w:t>(7)</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1,126,442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Alan B. Connaughton </w:t>
            </w:r>
            <w:r>
              <w:rPr>
                <w:rFonts w:ascii="Times New Roman" w:cs="Times New Roman" w:eastAsia="Times New Roman" w:hAnsi="Times New Roman"/>
                <w:sz w:val="24"/>
                <w:szCs w:val="24"/>
                <w:color w:val="auto"/>
                <w:vertAlign w:val="superscript"/>
              </w:rPr>
              <w:t>(8)</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449,279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2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Thomas R. Staab, II </w:t>
            </w:r>
            <w:r>
              <w:rPr>
                <w:rFonts w:ascii="Times New Roman" w:cs="Times New Roman" w:eastAsia="Times New Roman" w:hAnsi="Times New Roman"/>
                <w:sz w:val="24"/>
                <w:szCs w:val="24"/>
                <w:color w:val="auto"/>
                <w:vertAlign w:val="superscript"/>
              </w:rPr>
              <w:t>(9)</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264,394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Thomas B. Ellis </w:t>
            </w:r>
            <w:r>
              <w:rPr>
                <w:rFonts w:ascii="Times New Roman" w:cs="Times New Roman" w:eastAsia="Times New Roman" w:hAnsi="Times New Roman"/>
                <w:sz w:val="24"/>
                <w:szCs w:val="24"/>
                <w:color w:val="auto"/>
                <w:vertAlign w:val="superscript"/>
              </w:rPr>
              <w:t>(4)(10)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13,574,908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502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Todd B. Hammer </w:t>
            </w:r>
            <w:r>
              <w:rPr>
                <w:rFonts w:ascii="Times New Roman" w:cs="Times New Roman" w:eastAsia="Times New Roman" w:hAnsi="Times New Roman"/>
                <w:sz w:val="24"/>
                <w:szCs w:val="24"/>
                <w:color w:val="auto"/>
                <w:vertAlign w:val="superscript"/>
              </w:rPr>
              <w:t>(4)(11)</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13,574,908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Richard L. Lindstrom, M.D. </w:t>
            </w:r>
            <w:r>
              <w:rPr>
                <w:rFonts w:ascii="Times New Roman" w:cs="Times New Roman" w:eastAsia="Times New Roman" w:hAnsi="Times New Roman"/>
                <w:sz w:val="24"/>
                <w:szCs w:val="24"/>
                <w:color w:val="auto"/>
                <w:vertAlign w:val="superscript"/>
              </w:rPr>
              <w:t>(12)</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316,048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02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William J. Link, Ph.D. </w:t>
            </w:r>
            <w:r>
              <w:rPr>
                <w:rFonts w:ascii="Times New Roman" w:cs="Times New Roman" w:eastAsia="Times New Roman" w:hAnsi="Times New Roman"/>
                <w:sz w:val="24"/>
                <w:szCs w:val="24"/>
                <w:color w:val="auto"/>
                <w:vertAlign w:val="superscript"/>
              </w:rPr>
              <w:t>(13)</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620,279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Elizabeth G. O'Farrell </w:t>
            </w:r>
            <w:r>
              <w:rPr>
                <w:rFonts w:ascii="Times New Roman" w:cs="Times New Roman" w:eastAsia="Times New Roman" w:hAnsi="Times New Roman"/>
                <w:sz w:val="24"/>
                <w:szCs w:val="24"/>
                <w:color w:val="auto"/>
                <w:vertAlign w:val="superscript"/>
              </w:rPr>
              <w:t>(14)</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161,279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Aimee S. Weisner </w:t>
            </w:r>
            <w:r>
              <w:rPr>
                <w:rFonts w:ascii="Times New Roman" w:cs="Times New Roman" w:eastAsia="Times New Roman" w:hAnsi="Times New Roman"/>
                <w:sz w:val="24"/>
                <w:szCs w:val="24"/>
                <w:color w:val="auto"/>
                <w:vertAlign w:val="superscript"/>
              </w:rPr>
              <w:t>(15)</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204,279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Gary M. Winer </w:t>
            </w:r>
            <w:r>
              <w:rPr>
                <w:rFonts w:ascii="Times New Roman" w:cs="Times New Roman" w:eastAsia="Times New Roman" w:hAnsi="Times New Roman"/>
                <w:sz w:val="24"/>
                <w:szCs w:val="24"/>
                <w:color w:val="auto"/>
                <w:vertAlign w:val="superscript"/>
              </w:rPr>
              <w:t>(16)</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157,852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All executive officers and directors as a group (10 persons) </w:t>
            </w:r>
            <w:r>
              <w:rPr>
                <w:rFonts w:ascii="Times New Roman" w:cs="Times New Roman" w:eastAsia="Times New Roman" w:hAnsi="Times New Roman"/>
                <w:sz w:val="24"/>
                <w:szCs w:val="24"/>
                <w:b w:val="1"/>
                <w:bCs w:val="1"/>
                <w:color w:val="auto"/>
                <w:vertAlign w:val="superscript"/>
              </w:rPr>
              <w:t>(17)</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17,041,384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less than 1%.</w:t>
      </w:r>
    </w:p>
    <w:p>
      <w:pPr>
        <w:spacing w:after="0" w:line="198" w:lineRule="exact"/>
        <w:rPr>
          <w:sz w:val="20"/>
          <w:szCs w:val="20"/>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below, the business address for each beneficial owner listed is c/o LENSAR, Inc., 2800 Discovery Drive, Orlando, Florida 32826.</w:t>
      </w:r>
    </w:p>
    <w:p>
      <w:pPr>
        <w:spacing w:after="0" w:line="12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is entitled to one vote, and each share of Series A Convertible Preferred Stock entitles its holder to a number of votes equal to the whole number of shares of common stock into which a share of Series A Convertible Preferred Stock can be converted.</w:t>
      </w:r>
    </w:p>
    <w:p>
      <w:pPr>
        <w:spacing w:after="0" w:line="121" w:lineRule="exact"/>
        <w:rPr>
          <w:rFonts w:ascii="Times New Roman" w:cs="Times New Roman" w:eastAsia="Times New Roman" w:hAnsi="Times New Roman"/>
          <w:sz w:val="18"/>
          <w:szCs w:val="18"/>
          <w:color w:val="auto"/>
        </w:rPr>
      </w:pPr>
    </w:p>
    <w:p>
      <w:pPr>
        <w:jc w:val="both"/>
        <w:ind w:left="3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information shown in the table under “Common Stock” includes the number of shares of common stock held by such holder, as well as shares of our common stock such holder could acquire within 60 days of June 10, 2026, including by converting shares of Series A Convertible Preferred Stock, exercising warrants or options, or upon settlement of restricted stock units. The beneficial ownership information shown in the table under “Series A Convertible Preferred Stock” reflects the maximum number of shares of Series A Convertible Preferred Stock that may be converted into common stock (assuming that no Warrants have been exercised). Each share of Series A Convertible Preferred Stock is currently convertible into a number of shares of common stock based on the stated value of such share and any declared and unpaid dividends divided by an initial conversion price of $2.51875.</w:t>
      </w:r>
    </w:p>
    <w:p>
      <w:pPr>
        <w:spacing w:after="0" w:line="161" w:lineRule="exact"/>
        <w:rPr>
          <w:rFonts w:ascii="Times New Roman" w:cs="Times New Roman" w:eastAsia="Times New Roman" w:hAnsi="Times New Roman"/>
          <w:sz w:val="18"/>
          <w:szCs w:val="18"/>
          <w:color w:val="auto"/>
        </w:rPr>
      </w:pPr>
    </w:p>
    <w:p>
      <w:pPr>
        <w:jc w:val="both"/>
        <w:ind w:lef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under “Combined Voting Power” represents the holder’s voting power with respect to all of our shares of common stock and Series A Convertible Preferred Stock outstanding as of June 10, 2026, voting as a single class, and, as to each holder, without including any shares of common stock that such 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53"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could acquire by exercising warrants or options or upon vesting of restricted stock units, as such securities confer no voting power until the issuance of common stock upon their exercise or settlement, as applicable.</w:t>
      </w:r>
    </w:p>
    <w:p>
      <w:pPr>
        <w:spacing w:after="0" w:line="135"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upon the 12,281,581 shares of our common stock that were outstanding on June 10, 2026.</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53"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Schedule 13D/A filed on March 25, 2025 by (i) North Run, (ii) North Run Advisors, LLC (“North Run Advisors”), (iii) NR-GRI Partners, LP (“NR-GRI LP”), (iv) NR-GRI Partners GP, LLC (“NR-GRI GP”), (v) Todd B. Hammer and (vi) Thomas B. Ellis, as well as information known to us. Todd B. Hammer and Thomas B. Ellis are the principals and sole members of North Run Advisors and NR-GRI GP. North Run Advisors is the general partner of North Run and NRG-GRI GP is the general partner of NR-GRI LP. According to the filing, North Run is the investment manager of certain private pooled investment vehicles and directly beneficially owns 1,100,592 shares of common stock. North Run Advisors, as the general partner of North Run, may be deemed to beneficially own the 1,100,592 shares of common stock beneficially owned by North Run. NR-GRI LP directly beneficially owns 12,307,692 shares of common stock, which are issuable upon exercise of the Warrants and/or conversion of the Series A Convertible Preferred Stock. NR-GRI GP, as the general partner of NR-GRI LP, may be deemed to beneficially own the 12,307,692 shares of common stock beneficially owned by NR-GRI LP that are issuable upon exercise of the Warrants and/or conversion of the Series A Convertible Preferred Stock. Each of Mr. Hammer and Mr. Ellis, as the sole members of NR-GRI GP and North Run Advisors, may be deemed to beneficially own (i) the 1,100,592 shares of common stock beneficially owned by North Run, and (ii) the 12,307,692 shares of common stock beneficially owned by NR-GRI LP that are issuable upon exercise of the Warrants and/or conversion of the Series A Convertible Preferred Stock. The principal business office address for such stockholders is 867 Boylston St., 5th Floor #1361, Boston, MA 02116.</w:t>
      </w:r>
    </w:p>
    <w:p>
      <w:pPr>
        <w:spacing w:after="0" w:line="147"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For purposes of North Run’s and Messrs. Hammer’s and Ellis’s beneficial ownership, all outstanding Series A Convertible Preferred Stock and all of the shares of common stock underlying such Series A Convertible Preferred Stock are deemed to be outstanding for such calculation and no unexercised Warrants to acquire shares of common stock are included.</w:t>
      </w:r>
    </w:p>
    <w:p>
      <w:pPr>
        <w:spacing w:after="0" w:line="149" w:lineRule="exact"/>
        <w:rPr>
          <w:sz w:val="20"/>
          <w:szCs w:val="20"/>
          <w:color w:val="auto"/>
        </w:rPr>
      </w:pPr>
    </w:p>
    <w:p>
      <w:pPr>
        <w:jc w:val="both"/>
        <w:ind w:left="38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reported on Schedule 13G/A filed on May 14, 2026 by Brandes Investment Partners, LP (“Brandes”), Brandes has shared voting power over 937,207 shares of common stock and shared dispositive power over 1,026,018 shares of common stock. The business address of Brandes is 4275 Executive Square, 5th Floor, La Jolla, CA 92037.</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reported on Schedule 13G filed on October 17, 2025 by BlackRock, Inc. (“BlackRock”), BlackRock has sole voting power over 616,906 shares of common stock and sole dispositive power over 623,381 shares of common stock. The business address of BlackRock is 50 Hudson Yards, New York, NY 10001.</w:t>
      </w:r>
    </w:p>
    <w:p>
      <w:pPr>
        <w:spacing w:after="0" w:line="13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Mr. Curtis 268,103 shares of common stock issuable pursuant to vested but unexercised options and 3,235 shares of common stock issuable pursuant to options exercisable within 60 days of June 10, 2026.</w:t>
      </w:r>
    </w:p>
    <w:p>
      <w:pPr>
        <w:spacing w:after="0" w:line="13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Mr. Connaughton 146,993 shares of common stock issuable pursuant to vested but unexercised options and 2,265 shares of common stock issuable pursuant to options exercisable within 60 days of June 10, 2026.</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Mr. Staab 103,738 shares of common stock issuable pursuant to vested but unexercised options</w:t>
      </w:r>
    </w:p>
    <w:p>
      <w:pPr>
        <w:spacing w:after="0" w:line="184"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Mr. Ellis 127,962 shares of common stock issuable pursuant to vested but unexercised options and 22,000 shares of common stock issuable pursuant to vested RSUs subject to deferred settlement.</w:t>
      </w:r>
    </w:p>
    <w:p>
      <w:pPr>
        <w:spacing w:after="0" w:line="13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Mr. Hammer 127,962 shares of common stock issuable pursuant to vested but unexercised options and 22,000 shares of common stock issuable pursuant to vested RSUs subject to deferred settlement.</w:t>
      </w:r>
    </w:p>
    <w:p>
      <w:pPr>
        <w:spacing w:after="0" w:line="12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Dr. Lindstrom 69,638 shares of common stock issuable pursuant to vested but unexercised options and 22,000 shares of common stock issuable pursuant to vested RSUs subject to deferred settlement.</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Dr. Link 69,638 shares of common stock issuable pursuant to vested but unexercised options.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53"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Ms. O’Farrell 111,332 shares of common stock issuable pursuant to vested but unexercised options.</w:t>
      </w:r>
    </w:p>
    <w:p>
      <w:pPr>
        <w:spacing w:after="0" w:line="19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Ms. Weisner 111,332 shares of common stock issuable pursuant to vested but unexercised options and 22,000 shares of common stock issuable pursuant to vested RSUs subject to deferred settlement.</w:t>
      </w:r>
    </w:p>
    <w:p>
      <w:pPr>
        <w:spacing w:after="0" w:line="12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Mr. Winer 69,638 shares of common stock issuable pursuant to vested but unexercised options and 22,000 shares of common stock issuable pursuant to vested RSUs subject to deferred settlement.</w:t>
      </w:r>
    </w:p>
    <w:p>
      <w:pPr>
        <w:spacing w:after="0" w:line="53" w:lineRule="exact"/>
        <w:rPr>
          <w:rFonts w:ascii="Times New Roman" w:cs="Times New Roman" w:eastAsia="Times New Roman" w:hAnsi="Times New Roman"/>
          <w:sz w:val="18"/>
          <w:szCs w:val="18"/>
          <w:color w:val="auto"/>
        </w:rPr>
      </w:pPr>
    </w:p>
    <w:p>
      <w:pPr>
        <w:ind w:left="380" w:right="40" w:hanging="372"/>
        <w:spacing w:after="0" w:line="26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total of 1,206,336 shares of common stock issuable pursuant to vested but unexercised options, 5,500 shares of common stock issuable pursuant to options exercisable within 60 days of June 10, 2026, 110,000 shares of common stock issuable pursuant to vested RSUs subject to deferred settlement, and 12,307,692 shares of common stock issuable upon conversion of the Series A Convertible Preferred Stock and exercise of the Warrants.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2025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2025, except as previously reported in our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ind w:right="3320" w:firstLine="3269"/>
        <w:spacing w:after="0" w:line="464" w:lineRule="auto"/>
        <w:rPr>
          <w:sz w:val="20"/>
          <w:szCs w:val="20"/>
          <w:color w:val="auto"/>
        </w:rPr>
      </w:pPr>
      <w:r>
        <w:rPr>
          <w:rFonts w:ascii="Times New Roman" w:cs="Times New Roman" w:eastAsia="Times New Roman" w:hAnsi="Times New Roman"/>
          <w:sz w:val="18"/>
          <w:szCs w:val="18"/>
          <w:b w:val="1"/>
          <w:bCs w:val="1"/>
          <w:color w:val="auto"/>
        </w:rPr>
        <w:t>CERTAIN TRANSACTIONS WITH RELATED PERSONS Policies and Procedures on Transactions with Related Persons</w:t>
      </w: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recognizes that transactions with related persons present a heightened risk of conflicts of interests and/or improper valuation (or the perception thereof). Our Board has adopted a written policy on transactions with related persons, which requires that our audit committee approve or ratify “related person transactions” (as defined in the policy) that are required to be disclosed pursuant to Item 404(a) of Regulation S-K. Item 404(a) of Regulation S-K requires disclosure, subject to certain exceptions, of transactions in which we were or are to be a participant and the amount involved exceeds $120,000 (or such other amount is applicable while we remain a smaller reporting company) and in which any “related person” as defined under Item 404(a) of Regulation S-K had or will have a direct or indirect material interest. It is our policy that a d</w:t>
      </w:r>
      <w:r>
        <w:rPr>
          <w:rFonts w:ascii="Times New Roman" w:cs="Times New Roman" w:eastAsia="Times New Roman" w:hAnsi="Times New Roman"/>
          <w:sz w:val="18"/>
          <w:szCs w:val="18"/>
          <w:color w:val="231F20"/>
        </w:rPr>
        <w:t>irector not participate in the approval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related person transaction as to which he or she is a “related person.” Each of the “related person transactions” described herein entered into following the adoption of our related person transaction policy was approved in accordance with such policy.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Run Investment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party to a Securities Purchase Agreement (the “Purchase Agreement”), dated as of May 12, 2024, with NR-GRI Partners, LP (the “Buyer”), a Delaware limited partnership and an affiliate of North Run, pursuant to which the Buyer acquired, for an aggregate gross purchase price of $20.0 million,</w:t>
      </w:r>
    </w:p>
    <w:p>
      <w:pPr>
        <w:jc w:val="both"/>
        <w:ind w:firstLine="8"/>
        <w:spacing w:after="0" w:line="252" w:lineRule="auto"/>
        <w:tabs>
          <w:tab w:leader="none" w:pos="2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20,000 shares of Series A Convertible Preferred Stock (the “Preferred Shares”), which are initially convertible into 7,940,446 shares of common stock (the “Conversion Shares”), and (ii) Class A Common Stock Purchase Warrants and Class B Common Stock Purchase Warrants (together, the “Warrants”) to purchase an aggregate of 4,367,246 shares of common stock (the “Warrant Shares”) (such transactions, collectively, the “Private Placement”). The Purchase Agreement provides North Run with continuing director designation rights based on North Run’s beneficial ownership of common stock on an as-converted basis. North Run currently has the right to designate two directors, and Thomas B. Ellis and Todd B. Hammer have been appointed as such designees.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so long as North Run beneficially owns least 20% of the Conversion Shares and Warrant Shares underlying the Preferred Shares and Warrants issued pursuant to the Purchase Agreement, North Run will have a right to participate on a pro rata basis in equity financings or issuances of securities convertible, exercisable, or exchangeable into equity securities of the Company or any subsidiaries in capital-raising transactions (including debt securities with an equity component), subject to certain exceptions.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10, 2026, Mr. Ellis, Mr. Hammer, and North Run beneficially owned approximately 55% of our outstanding common stock. See “Stock Ownership — Security Ownership of Certain Beneficial Owners and Management”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that may, in some cases, be broader than the specific indemnification provisions 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2027 Annual Meeting pursuant to Rule 14a-8 under the Exchange Act must submit the proposal to our Secretary at our offices at 2800 Discovery Drive, Orlando, Florida 32826, in writing not later than February 23, 2027.</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intending to present a proposal at our 2027 Annual Meeting, but not to include the proposal in our proxy statement, or to nominate a person for election as a director (including director nominations pursuant to Rule 14a-19), must comply with the requirements set forth in our Bylaws. Our Bylaws require, among other things, that our Secretary receive written notice from the stockholder of record of their intent to present such proposal or nomination not earlier than the 120th day and not later the 90th day prior to the first anniversary of the preceding year’s annual meeting of stockholders. Therefore, we must receive notice of such a proposal or nomination for the 2027 Annual Meeting no earlier than April 6, 2027 and no later than May 6, 2027. The notice must contain the information required by our Bylaws. In the event that the date of the 2027 Annual Meeting is more than 30 days before or more than 60 days after August 4, 2027, then our Secretary must receive such written notice not earlier than the 120th day prior to the 2027 Annual Meeting and not later than the 90th day prior to the 2027 Annual Meeting or, if later, the 10th day following the day on which public disclosure of the date of such meeting is first made by us.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for the 2027 Annual Meeting must provide notice that sets forth the information required by Rule 14a-19 under the Exchange Act.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file a Proxy Statement and WHITE proxy card with the SEC in connection with the solicitation of proxies for the 2027 Annual Meeting. Stockholders may obtain our Proxy Statement (and any amendments and supplements thereto) and other documents as and when filed by us with the SEC without charge from the SEC’s website at: www.sec.gov.</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by contacting the Broadridge Financial Solutions, Inc. at (866) 540-7095 or in writing at Broadridge, Householding Department, 51 Mercedes Way, Edgewood, New York 11717.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2025 Annual Report, including our Annual Report on Form 10-K, is being mailed with this Proxy Statement to those stockholders that receive this Proxy Statement in the mail. Stockholders that receive the Notice and Access Card can access our 2025 Annual Report, including our Annual Report on Form 10-K for 2025,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Our Annual Report on Form 10-K has also been filed with the SEC. It is available free of charge at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Upon written request by a stockholder, we will mail without charge a copy of our Annual Report on Form 10-K, including the financial statements and financial statement schedules, but excluding exhibits. Exhibits to the Annual Report on Form 10-K are available upon payment of a reasonable fee, which is limited to our expenses in furnishing the requested exhibit. All requests should be directed to the Secretary, LENSAR, Inc., 2800 Discovery Drive, Orlando, Florida 32826.</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Please promptly vote your shares by following the instructions for voting on the Notice and Access Card or, if you received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paper or electronic copy of our proxy materials, by completing, signing, dating and returning your proxy card or by Internet or telephone voting as described on your proxy card.</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Nicholas T. Curtis</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8709025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8709025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4"/>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decimal"/>
      <w:start w:val="5"/>
    </w:lvl>
  </w:abstractNum>
  <w:abstractNum w:abstractNumId="27">
    <w:nsid w:val="836C40E"/>
    <w:multiLevelType w:val="hybridMultilevel"/>
    <w:lvl w:ilvl="0">
      <w:lvlJc w:val="left"/>
      <w:lvlText w:val="(%1)"/>
      <w:numFmt w:val="decimal"/>
      <w:start w:val="14"/>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2026-06-23T15:34:17Z</dcterms:created>
  <dcterms:modified xsi:type="dcterms:W3CDTF">2026-06-23T15:34:17Z</dcterms:modified>
</cp:coreProperties>
</file>