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100330</wp:posOffset>
            </wp:positionH>
            <wp:positionV relativeFrom="page">
              <wp:posOffset>100330</wp:posOffset>
            </wp:positionV>
            <wp:extent cx="7570470" cy="9856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70470" cy="98564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445770</wp:posOffset>
            </wp:positionH>
            <wp:positionV relativeFrom="page">
              <wp:posOffset>5099050</wp:posOffset>
            </wp:positionV>
            <wp:extent cx="981075" cy="135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1075" cy="13525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339090</wp:posOffset>
            </wp:positionV>
            <wp:extent cx="1344930" cy="133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4930" cy="133350"/>
                    </a:xfrm>
                    <a:prstGeom prst="rect">
                      <a:avLst/>
                    </a:prstGeom>
                    <a:noFill/>
                  </pic:spPr>
                </pic:pic>
              </a:graphicData>
            </a:graphic>
          </wp:anchor>
        </w:drawing>
        <w:drawing>
          <wp:anchor simplePos="0" relativeHeight="251657728" behindDoc="1" locked="0" layoutInCell="0" allowOverlap="1">
            <wp:simplePos x="0" y="0"/>
            <wp:positionH relativeFrom="page">
              <wp:posOffset>441325</wp:posOffset>
            </wp:positionH>
            <wp:positionV relativeFrom="page">
              <wp:posOffset>6263005</wp:posOffset>
            </wp:positionV>
            <wp:extent cx="1518920" cy="13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8920" cy="133350"/>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5332095</wp:posOffset>
            </wp:positionV>
            <wp:extent cx="1238250" cy="765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765810"/>
                    </a:xfrm>
                    <a:prstGeom prst="rect">
                      <a:avLst/>
                    </a:prstGeom>
                    <a:noFill/>
                  </pic:spPr>
                </pic:pic>
              </a:graphicData>
            </a:graphic>
          </wp:anchor>
        </w:drawing>
        <w:drawing>
          <wp:anchor simplePos="0" relativeHeight="251657728" behindDoc="1" locked="0" layoutInCell="0" allowOverlap="1">
            <wp:simplePos x="0" y="0"/>
            <wp:positionH relativeFrom="page">
              <wp:posOffset>435610</wp:posOffset>
            </wp:positionH>
            <wp:positionV relativeFrom="page">
              <wp:posOffset>4471035</wp:posOffset>
            </wp:positionV>
            <wp:extent cx="3557905" cy="493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905" cy="493395"/>
                    </a:xfrm>
                    <a:prstGeom prst="rect">
                      <a:avLst/>
                    </a:prstGeom>
                    <a:noFill/>
                  </pic:spPr>
                </pic:pic>
              </a:graphicData>
            </a:graphic>
          </wp:anchor>
        </w:drawing>
        <w:drawing>
          <wp:anchor simplePos="0" relativeHeight="251657728" behindDoc="1" locked="0" layoutInCell="0" allowOverlap="1">
            <wp:simplePos x="0" y="0"/>
            <wp:positionH relativeFrom="page">
              <wp:posOffset>443230</wp:posOffset>
            </wp:positionH>
            <wp:positionV relativeFrom="page">
              <wp:posOffset>4248150</wp:posOffset>
            </wp:positionV>
            <wp:extent cx="1238250"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8250" cy="133350"/>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6493510</wp:posOffset>
            </wp:positionV>
            <wp:extent cx="1934845" cy="801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4845" cy="801370"/>
                    </a:xfrm>
                    <a:prstGeom prst="rect">
                      <a:avLst/>
                    </a:prstGeom>
                    <a:noFill/>
                  </pic:spPr>
                </pic:pic>
              </a:graphicData>
            </a:graphic>
          </wp:anchor>
        </w:drawing>
        <w:drawing>
          <wp:anchor simplePos="0" relativeHeight="251657728" behindDoc="1" locked="0" layoutInCell="0" allowOverlap="1">
            <wp:simplePos x="0" y="0"/>
            <wp:positionH relativeFrom="page">
              <wp:posOffset>433705</wp:posOffset>
            </wp:positionH>
            <wp:positionV relativeFrom="page">
              <wp:posOffset>558800</wp:posOffset>
            </wp:positionV>
            <wp:extent cx="5976620" cy="474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76620" cy="474980"/>
                    </a:xfrm>
                    <a:prstGeom prst="rect">
                      <a:avLst/>
                    </a:prstGeom>
                    <a:noFill/>
                  </pic:spPr>
                </pic:pic>
              </a:graphicData>
            </a:graphic>
          </wp:anchor>
        </w:drawing>
        <w:drawing>
          <wp:anchor simplePos="0" relativeHeight="251657728" behindDoc="1" locked="0" layoutInCell="0" allowOverlap="1">
            <wp:simplePos x="0" y="0"/>
            <wp:positionH relativeFrom="page">
              <wp:posOffset>444500</wp:posOffset>
            </wp:positionH>
            <wp:positionV relativeFrom="page">
              <wp:posOffset>1149985</wp:posOffset>
            </wp:positionV>
            <wp:extent cx="2853690" cy="31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3690" cy="313690"/>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1593850</wp:posOffset>
            </wp:positionV>
            <wp:extent cx="2578100" cy="327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8100" cy="327025"/>
                    </a:xfrm>
                    <a:prstGeom prst="rect">
                      <a:avLst/>
                    </a:prstGeom>
                    <a:noFill/>
                  </pic:spPr>
                </pic:pic>
              </a:graphicData>
            </a:graphic>
          </wp:anchor>
        </w:drawing>
        <w:drawing>
          <wp:anchor simplePos="0" relativeHeight="251657728" behindDoc="1" locked="0" layoutInCell="0" allowOverlap="1">
            <wp:simplePos x="0" y="0"/>
            <wp:positionH relativeFrom="page">
              <wp:posOffset>436880</wp:posOffset>
            </wp:positionH>
            <wp:positionV relativeFrom="page">
              <wp:posOffset>2037080</wp:posOffset>
            </wp:positionV>
            <wp:extent cx="2578100" cy="327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8100" cy="32702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2480310</wp:posOffset>
            </wp:positionV>
            <wp:extent cx="4090035" cy="327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0035" cy="32702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2924175</wp:posOffset>
            </wp:positionV>
            <wp:extent cx="5234305" cy="327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4305" cy="327025"/>
                    </a:xfrm>
                    <a:prstGeom prst="rect">
                      <a:avLst/>
                    </a:prstGeom>
                    <a:noFill/>
                  </pic:spPr>
                </pic:pic>
              </a:graphicData>
            </a:graphic>
          </wp:anchor>
        </w:drawing>
        <w:drawing>
          <wp:anchor simplePos="0" relativeHeight="251657728" behindDoc="1" locked="0" layoutInCell="0" allowOverlap="1">
            <wp:simplePos x="0" y="0"/>
            <wp:positionH relativeFrom="page">
              <wp:posOffset>435610</wp:posOffset>
            </wp:positionH>
            <wp:positionV relativeFrom="page">
              <wp:posOffset>3378200</wp:posOffset>
            </wp:positionV>
            <wp:extent cx="4979670" cy="316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9670" cy="316230"/>
                    </a:xfrm>
                    <a:prstGeom prst="rect">
                      <a:avLst/>
                    </a:prstGeom>
                    <a:noFill/>
                  </pic:spPr>
                </pic:pic>
              </a:graphicData>
            </a:graphic>
          </wp:anchor>
        </w:drawing>
        <w:drawing>
          <wp:anchor simplePos="0" relativeHeight="251657728" behindDoc="1" locked="0" layoutInCell="0" allowOverlap="1">
            <wp:simplePos x="0" y="0"/>
            <wp:positionH relativeFrom="page">
              <wp:posOffset>438150</wp:posOffset>
            </wp:positionH>
            <wp:positionV relativeFrom="page">
              <wp:posOffset>3821430</wp:posOffset>
            </wp:positionV>
            <wp:extent cx="4367530" cy="316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67530" cy="316230"/>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8972550</wp:posOffset>
            </wp:positionV>
            <wp:extent cx="1310005"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0005" cy="133350"/>
                    </a:xfrm>
                    <a:prstGeom prst="rect">
                      <a:avLst/>
                    </a:prstGeom>
                    <a:noFill/>
                  </pic:spPr>
                </pic:pic>
              </a:graphicData>
            </a:graphic>
          </wp:anchor>
        </w:drawing>
        <w:drawing>
          <wp:anchor simplePos="0" relativeHeight="251657728" behindDoc="1" locked="0" layoutInCell="0" allowOverlap="1">
            <wp:simplePos x="0" y="0"/>
            <wp:positionH relativeFrom="page">
              <wp:posOffset>438150</wp:posOffset>
            </wp:positionH>
            <wp:positionV relativeFrom="page">
              <wp:posOffset>7965440</wp:posOffset>
            </wp:positionV>
            <wp:extent cx="1581150"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1150" cy="133350"/>
                    </a:xfrm>
                    <a:prstGeom prst="rect">
                      <a:avLst/>
                    </a:prstGeom>
                    <a:noFill/>
                  </pic:spPr>
                </pic:pic>
              </a:graphicData>
            </a:graphic>
          </wp:anchor>
        </w:drawing>
        <w:drawing>
          <wp:anchor simplePos="0" relativeHeight="251657728" behindDoc="1" locked="0" layoutInCell="0" allowOverlap="1">
            <wp:simplePos x="0" y="0"/>
            <wp:positionH relativeFrom="page">
              <wp:posOffset>443230</wp:posOffset>
            </wp:positionH>
            <wp:positionV relativeFrom="page">
              <wp:posOffset>7427595</wp:posOffset>
            </wp:positionV>
            <wp:extent cx="3237865"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7865" cy="133350"/>
                    </a:xfrm>
                    <a:prstGeom prst="rect">
                      <a:avLst/>
                    </a:prstGeom>
                    <a:noFill/>
                  </pic:spPr>
                </pic:pic>
              </a:graphicData>
            </a:graphic>
          </wp:anchor>
        </w:drawing>
        <w:drawing>
          <wp:anchor simplePos="0" relativeHeight="251657728" behindDoc="1" locked="0" layoutInCell="0" allowOverlap="1">
            <wp:simplePos x="0" y="0"/>
            <wp:positionH relativeFrom="page">
              <wp:posOffset>438150</wp:posOffset>
            </wp:positionH>
            <wp:positionV relativeFrom="page">
              <wp:posOffset>9201150</wp:posOffset>
            </wp:positionV>
            <wp:extent cx="939800" cy="453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0" cy="453390"/>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7653020</wp:posOffset>
            </wp:positionV>
            <wp:extent cx="1579880" cy="17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9880" cy="173355"/>
                    </a:xfrm>
                    <a:prstGeom prst="rect">
                      <a:avLst/>
                    </a:prstGeom>
                    <a:noFill/>
                  </pic:spPr>
                </pic:pic>
              </a:graphicData>
            </a:graphic>
          </wp:anchor>
        </w:drawing>
        <w:drawing>
          <wp:anchor simplePos="0" relativeHeight="251657728" behindDoc="1" locked="0" layoutInCell="0" allowOverlap="1">
            <wp:simplePos x="0" y="0"/>
            <wp:positionH relativeFrom="page">
              <wp:posOffset>440055</wp:posOffset>
            </wp:positionH>
            <wp:positionV relativeFrom="page">
              <wp:posOffset>8192770</wp:posOffset>
            </wp:positionV>
            <wp:extent cx="6680835" cy="647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0835" cy="6470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line="19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UNITED STATES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SECURITIES AND EXCHANGE COMMISSION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W</w:t>
      </w:r>
      <w:r>
        <w:rPr>
          <w:rFonts w:ascii="Arial" w:cs="Arial" w:eastAsia="Arial" w:hAnsi="Arial"/>
          <w:sz w:val="18"/>
          <w:szCs w:val="18"/>
          <w:b w:val="1"/>
          <w:bCs w:val="1"/>
          <w:color w:val="231F20"/>
        </w:rPr>
        <w:t>ASHINGTON</w:t>
      </w:r>
      <w:r>
        <w:rPr>
          <w:rFonts w:ascii="Arial" w:cs="Arial" w:eastAsia="Arial" w:hAnsi="Arial"/>
          <w:sz w:val="23"/>
          <w:szCs w:val="23"/>
          <w:b w:val="1"/>
          <w:bCs w:val="1"/>
          <w:color w:val="231F20"/>
        </w:rPr>
        <w:t>,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54610</wp:posOffset>
            </wp:positionV>
            <wp:extent cx="4432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54610</wp:posOffset>
            </wp:positionV>
            <wp:extent cx="4432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(Mark One)</w:t>
      </w:r>
    </w:p>
    <w:p>
      <w:pPr>
        <w:spacing w:after="0" w:line="48" w:lineRule="exact"/>
        <w:rPr>
          <w:sz w:val="20"/>
          <w:szCs w:val="20"/>
          <w:color w:val="auto"/>
        </w:rPr>
      </w:pPr>
    </w:p>
    <w:p>
      <w:pPr>
        <w:ind w:left="3040" w:right="2540" w:hanging="2526"/>
        <w:spacing w:after="0" w:line="261" w:lineRule="auto"/>
        <w:rPr>
          <w:sz w:val="20"/>
          <w:szCs w:val="20"/>
          <w:color w:val="auto"/>
        </w:rPr>
      </w:pPr>
      <w:r>
        <w:rPr>
          <w:rFonts w:ascii="Arial" w:cs="Arial" w:eastAsia="Arial" w:hAnsi="Arial"/>
          <w:sz w:val="16"/>
          <w:szCs w:val="16"/>
          <w:b w:val="1"/>
          <w:bCs w:val="1"/>
          <w:color w:val="231F20"/>
        </w:rPr>
        <w:t>Annual report pursuant to Section 13 or 15(d) of the Securities Exchange Act of 1934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-249555</wp:posOffset>
            </wp:positionV>
            <wp:extent cx="10096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965" cy="102870"/>
                    </a:xfrm>
                    <a:prstGeom prst="rect">
                      <a:avLst/>
                    </a:prstGeom>
                    <a:noFill/>
                  </pic:spPr>
                </pic:pic>
              </a:graphicData>
            </a:graphic>
          </wp:anchor>
        </w:drawing>
      </w:r>
    </w:p>
    <w:p>
      <w:pPr>
        <w:ind w:left="4600"/>
        <w:spacing w:after="0" w:line="223" w:lineRule="auto"/>
        <w:rPr>
          <w:sz w:val="20"/>
          <w:szCs w:val="20"/>
          <w:color w:val="auto"/>
        </w:rPr>
      </w:pPr>
      <w:r>
        <w:rPr>
          <w:rFonts w:ascii="Arial" w:cs="Arial" w:eastAsia="Arial" w:hAnsi="Arial"/>
          <w:sz w:val="18"/>
          <w:szCs w:val="18"/>
          <w:b w:val="1"/>
          <w:bCs w:val="1"/>
          <w:color w:val="231F20"/>
        </w:rPr>
        <w:t>or</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231F20"/>
        </w:rPr>
        <w:t>Transition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-112395</wp:posOffset>
            </wp:positionV>
            <wp:extent cx="10096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965" cy="102870"/>
                    </a:xfrm>
                    <a:prstGeom prst="rect">
                      <a:avLst/>
                    </a:prstGeom>
                    <a:noFill/>
                  </pic:spPr>
                </pic:pic>
              </a:graphicData>
            </a:graphic>
          </wp:anchor>
        </w:drawing>
      </w:r>
    </w:p>
    <w:p>
      <w:pPr>
        <w:ind w:left="3120"/>
        <w:spacing w:after="0"/>
        <w:tabs>
          <w:tab w:leader="none" w:pos="6060" w:val="left"/>
        </w:tabs>
        <w:rPr>
          <w:sz w:val="20"/>
          <w:szCs w:val="20"/>
          <w:color w:val="auto"/>
        </w:rPr>
      </w:pPr>
      <w:r>
        <w:rPr>
          <w:rFonts w:ascii="Arial" w:cs="Arial" w:eastAsia="Arial" w:hAnsi="Arial"/>
          <w:sz w:val="18"/>
          <w:szCs w:val="18"/>
          <w:b w:val="1"/>
          <w:bCs w:val="1"/>
          <w:color w:val="231F20"/>
        </w:rPr>
        <w:t>For the transition period from</w:t>
      </w:r>
      <w:r>
        <w:rPr>
          <w:sz w:val="20"/>
          <w:szCs w:val="20"/>
          <w:color w:val="auto"/>
        </w:rPr>
        <w:tab/>
      </w:r>
      <w:r>
        <w:rPr>
          <w:rFonts w:ascii="Arial" w:cs="Arial" w:eastAsia="Arial" w:hAnsi="Arial"/>
          <w:sz w:val="16"/>
          <w:szCs w:val="16"/>
          <w:b w:val="1"/>
          <w:bCs w:val="1"/>
          <w:color w:val="231F20"/>
        </w:rPr>
        <w:t>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Commission File Number: 001-39473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55880</wp:posOffset>
            </wp:positionV>
            <wp:extent cx="4432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231F20"/>
        </w:rPr>
        <w:t>LENSAR, INC.</w:t>
      </w:r>
    </w:p>
    <w:p>
      <w:pPr>
        <w:jc w:val="center"/>
        <w:spacing w:after="0" w:line="231" w:lineRule="auto"/>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55880</wp:posOffset>
            </wp:positionV>
            <wp:extent cx="4432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3230" cy="762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231F20"/>
        </w:rPr>
        <w:t>Delaware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231F20"/>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80"/>
        <w:spacing w:after="0"/>
        <w:rPr>
          <w:sz w:val="20"/>
          <w:szCs w:val="20"/>
          <w:color w:val="auto"/>
        </w:rPr>
      </w:pPr>
      <w:r>
        <w:rPr>
          <w:rFonts w:ascii="Arial" w:cs="Arial" w:eastAsia="Arial" w:hAnsi="Arial"/>
          <w:sz w:val="16"/>
          <w:szCs w:val="16"/>
          <w:b w:val="1"/>
          <w:bCs w:val="1"/>
          <w:color w:val="231F20"/>
        </w:rPr>
        <w:t>32-0125724</w:t>
      </w:r>
    </w:p>
    <w:p>
      <w:pPr>
        <w:spacing w:after="0" w:line="9" w:lineRule="exact"/>
        <w:rPr>
          <w:sz w:val="20"/>
          <w:szCs w:val="20"/>
          <w:color w:val="auto"/>
        </w:rPr>
      </w:pPr>
    </w:p>
    <w:p>
      <w:pPr>
        <w:jc w:val="center"/>
        <w:ind w:right="1280"/>
        <w:spacing w:after="0"/>
        <w:rPr>
          <w:sz w:val="20"/>
          <w:szCs w:val="20"/>
          <w:color w:val="auto"/>
        </w:rPr>
      </w:pPr>
      <w:r>
        <w:rPr>
          <w:rFonts w:ascii="Arial" w:cs="Arial" w:eastAsia="Arial" w:hAnsi="Arial"/>
          <w:sz w:val="13"/>
          <w:szCs w:val="13"/>
          <w:b w:val="1"/>
          <w:bCs w:val="1"/>
          <w:color w:val="231F20"/>
        </w:rPr>
        <w:t>(I.R.S. Employer Identification No.)</w:t>
      </w:r>
    </w:p>
    <w:p>
      <w:pPr>
        <w:spacing w:after="0" w:line="28" w:lineRule="exact"/>
        <w:rPr>
          <w:sz w:val="20"/>
          <w:szCs w:val="20"/>
          <w:color w:val="auto"/>
        </w:rPr>
      </w:pPr>
    </w:p>
    <w:p>
      <w:pPr>
        <w:sectPr>
          <w:pgSz w:w="12240" w:h="15840" w:orient="portrait"/>
          <w:cols w:equalWidth="0" w:num="2">
            <w:col w:w="5100" w:space="720"/>
            <w:col w:w="3540"/>
          </w:cols>
          <w:pgMar w:left="1440" w:top="1440" w:right="1440"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231F20"/>
        </w:rPr>
        <w:t>2800 Discovery Drive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Orlando, Florida 32826</w:t>
      </w:r>
    </w:p>
    <w:p>
      <w:pPr>
        <w:sectPr>
          <w:pgSz w:w="12240" w:h="15840" w:orient="portrait"/>
          <w:cols w:equalWidth="0" w:num="1">
            <w:col w:w="9360"/>
          </w:cols>
          <w:pgMar w:left="1440" w:top="1440" w:right="1440"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(Address of principal executive offices) (Zip Code)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(888) 536-7271</w:t>
      </w:r>
    </w:p>
    <w:p>
      <w:pPr>
        <w:jc w:val="center"/>
        <w:spacing w:after="0" w:line="201" w:lineRule="exact"/>
        <w:rPr>
          <w:sz w:val="20"/>
          <w:szCs w:val="20"/>
          <w:color w:val="auto"/>
        </w:rPr>
      </w:pPr>
      <w:r>
        <w:rPr>
          <w:rFonts w:ascii="Arial" w:cs="Arial" w:eastAsia="Arial" w:hAnsi="Arial"/>
          <w:sz w:val="18"/>
          <w:szCs w:val="18"/>
          <w:b w:val="1"/>
          <w:bCs w:val="1"/>
          <w:color w:val="231F20"/>
        </w:rPr>
        <w:t>(Registrant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telephone number, including area code)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Securities registered pursuant to Section 12(b) of the Act:</w:t>
      </w:r>
    </w:p>
    <w:p>
      <w:pPr>
        <w:spacing w:after="0" w:line="6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231F20"/>
                <w:w w:val="93"/>
              </w:rPr>
              <w:t>Trading</w:t>
            </w: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6"/>
        </w:trPr>
        <w:tc>
          <w:tcPr>
            <w:tcW w:w="4200" w:type="dxa"/>
            <w:vAlign w:val="bottom"/>
          </w:tcPr>
          <w:p>
            <w:pPr>
              <w:jc w:val="center"/>
              <w:ind w:right="582"/>
              <w:spacing w:after="0" w:line="156" w:lineRule="exact"/>
              <w:rPr>
                <w:sz w:val="20"/>
                <w:szCs w:val="20"/>
                <w:color w:val="auto"/>
              </w:rPr>
            </w:pPr>
            <w:r>
              <w:rPr>
                <w:rFonts w:ascii="Arial" w:cs="Arial" w:eastAsia="Arial" w:hAnsi="Arial"/>
                <w:sz w:val="14"/>
                <w:szCs w:val="14"/>
                <w:b w:val="1"/>
                <w:bCs w:val="1"/>
                <w:color w:val="231F20"/>
                <w:w w:val="84"/>
              </w:rPr>
              <w:t>Title of each class</w:t>
            </w:r>
          </w:p>
        </w:tc>
        <w:tc>
          <w:tcPr>
            <w:tcW w:w="700" w:type="dxa"/>
            <w:vAlign w:val="bottom"/>
          </w:tcPr>
          <w:p>
            <w:pPr>
              <w:jc w:val="center"/>
              <w:spacing w:after="0" w:line="156" w:lineRule="exact"/>
              <w:rPr>
                <w:sz w:val="20"/>
                <w:szCs w:val="20"/>
                <w:color w:val="auto"/>
              </w:rPr>
            </w:pPr>
            <w:r>
              <w:rPr>
                <w:rFonts w:ascii="Arial" w:cs="Arial" w:eastAsia="Arial" w:hAnsi="Arial"/>
                <w:sz w:val="14"/>
                <w:szCs w:val="14"/>
                <w:b w:val="1"/>
                <w:bCs w:val="1"/>
                <w:color w:val="231F20"/>
                <w:w w:val="88"/>
              </w:rPr>
              <w:t>Symbol(s)</w:t>
            </w:r>
          </w:p>
        </w:tc>
        <w:tc>
          <w:tcPr>
            <w:tcW w:w="3660" w:type="dxa"/>
            <w:vAlign w:val="bottom"/>
            <w:gridSpan w:val="2"/>
          </w:tcPr>
          <w:p>
            <w:pPr>
              <w:jc w:val="center"/>
              <w:ind w:left="1067"/>
              <w:spacing w:after="0" w:line="156" w:lineRule="exact"/>
              <w:rPr>
                <w:sz w:val="20"/>
                <w:szCs w:val="20"/>
                <w:color w:val="auto"/>
              </w:rPr>
            </w:pPr>
            <w:r>
              <w:rPr>
                <w:rFonts w:ascii="Arial" w:cs="Arial" w:eastAsia="Arial" w:hAnsi="Arial"/>
                <w:sz w:val="14"/>
                <w:szCs w:val="14"/>
                <w:b w:val="1"/>
                <w:bCs w:val="1"/>
                <w:color w:val="231F20"/>
                <w:w w:val="85"/>
              </w:rPr>
              <w:t>Name of each exchange on which registered</w:t>
            </w:r>
          </w:p>
        </w:tc>
      </w:tr>
      <w:tr>
        <w:trPr>
          <w:trHeight w:val="191"/>
        </w:trPr>
        <w:tc>
          <w:tcPr>
            <w:tcW w:w="4200" w:type="dxa"/>
            <w:vAlign w:val="bottom"/>
          </w:tcPr>
          <w:p>
            <w:pPr>
              <w:jc w:val="center"/>
              <w:ind w:right="582"/>
              <w:spacing w:after="0"/>
              <w:rPr>
                <w:sz w:val="20"/>
                <w:szCs w:val="20"/>
                <w:color w:val="auto"/>
              </w:rPr>
            </w:pPr>
            <w:r>
              <w:rPr>
                <w:rFonts w:ascii="Arial" w:cs="Arial" w:eastAsia="Arial" w:hAnsi="Arial"/>
                <w:sz w:val="16"/>
                <w:szCs w:val="16"/>
                <w:b w:val="1"/>
                <w:bCs w:val="1"/>
                <w:color w:val="231F20"/>
                <w:w w:val="82"/>
              </w:rPr>
              <w:t>Common Stock, par value $0.01 per share</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231F20"/>
                <w:w w:val="91"/>
              </w:rPr>
              <w:t>LNSR</w:t>
            </w:r>
          </w:p>
        </w:tc>
        <w:tc>
          <w:tcPr>
            <w:tcW w:w="3660" w:type="dxa"/>
            <w:vAlign w:val="bottom"/>
            <w:gridSpan w:val="2"/>
          </w:tcPr>
          <w:p>
            <w:pPr>
              <w:jc w:val="center"/>
              <w:ind w:left="1087"/>
              <w:spacing w:after="0"/>
              <w:rPr>
                <w:sz w:val="20"/>
                <w:szCs w:val="20"/>
                <w:color w:val="auto"/>
              </w:rPr>
            </w:pPr>
            <w:r>
              <w:rPr>
                <w:rFonts w:ascii="Arial" w:cs="Arial" w:eastAsia="Arial" w:hAnsi="Arial"/>
                <w:sz w:val="16"/>
                <w:szCs w:val="16"/>
                <w:b w:val="1"/>
                <w:bCs w:val="1"/>
                <w:color w:val="231F20"/>
                <w:w w:val="84"/>
              </w:rPr>
              <w:t>The Nasdaq Stock Market LLC</w:t>
            </w:r>
          </w:p>
        </w:tc>
      </w:tr>
      <w:tr>
        <w:trPr>
          <w:trHeight w:val="319"/>
        </w:trPr>
        <w:tc>
          <w:tcPr>
            <w:tcW w:w="7820" w:type="dxa"/>
            <w:vAlign w:val="bottom"/>
            <w:gridSpan w:val="3"/>
          </w:tcPr>
          <w:p>
            <w:pPr>
              <w:jc w:val="center"/>
              <w:ind w:left="1182"/>
              <w:spacing w:after="0"/>
              <w:rPr>
                <w:sz w:val="20"/>
                <w:szCs w:val="20"/>
                <w:color w:val="auto"/>
              </w:rPr>
            </w:pPr>
            <w:r>
              <w:rPr>
                <w:rFonts w:ascii="Arial" w:cs="Arial" w:eastAsia="Arial" w:hAnsi="Arial"/>
                <w:sz w:val="18"/>
                <w:szCs w:val="18"/>
                <w:b w:val="1"/>
                <w:bCs w:val="1"/>
                <w:color w:val="231F20"/>
                <w:w w:val="81"/>
              </w:rPr>
              <w:t>Securities registered pursuant to Section 12(g) of the Act: None</w:t>
            </w:r>
          </w:p>
        </w:tc>
        <w:tc>
          <w:tcPr>
            <w:tcW w:w="740" w:type="dxa"/>
            <w:vAlign w:val="bottom"/>
          </w:tcPr>
          <w:p>
            <w:pPr>
              <w:spacing w:after="0"/>
              <w:rPr>
                <w:sz w:val="24"/>
                <w:szCs w:val="24"/>
                <w:color w:val="auto"/>
              </w:rPr>
            </w:pPr>
          </w:p>
        </w:tc>
      </w:tr>
      <w:tr>
        <w:trPr>
          <w:trHeight w:val="88"/>
        </w:trPr>
        <w:tc>
          <w:tcPr>
            <w:tcW w:w="4200" w:type="dxa"/>
            <w:vAlign w:val="bottom"/>
          </w:tcPr>
          <w:p>
            <w:pPr>
              <w:spacing w:after="0"/>
              <w:rPr>
                <w:sz w:val="7"/>
                <w:szCs w:val="7"/>
                <w:color w:val="auto"/>
              </w:rPr>
            </w:pPr>
          </w:p>
        </w:tc>
        <w:tc>
          <w:tcPr>
            <w:tcW w:w="700" w:type="dxa"/>
            <w:vAlign w:val="bottom"/>
            <w:tcBorders>
              <w:bottom w:val="single" w:sz="8" w:color="231F20"/>
            </w:tcBorders>
          </w:tcPr>
          <w:p>
            <w:pPr>
              <w:spacing w:after="0"/>
              <w:rPr>
                <w:sz w:val="7"/>
                <w:szCs w:val="7"/>
                <w:color w:val="auto"/>
              </w:rPr>
            </w:pPr>
          </w:p>
        </w:tc>
        <w:tc>
          <w:tcPr>
            <w:tcW w:w="292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56"/>
        </w:trPr>
        <w:tc>
          <w:tcPr>
            <w:tcW w:w="7820" w:type="dxa"/>
            <w:vAlign w:val="bottom"/>
            <w:gridSpan w:val="3"/>
          </w:tcPr>
          <w:p>
            <w:pPr>
              <w:spacing w:after="0"/>
              <w:rPr>
                <w:sz w:val="20"/>
                <w:szCs w:val="20"/>
                <w:color w:val="auto"/>
              </w:rPr>
            </w:pPr>
            <w:r>
              <w:rPr>
                <w:rFonts w:ascii="Arial" w:cs="Arial" w:eastAsia="Arial" w:hAnsi="Arial"/>
                <w:sz w:val="16"/>
                <w:szCs w:val="16"/>
                <w:b w:val="1"/>
                <w:bCs w:val="1"/>
                <w:color w:val="231F20"/>
                <w:w w:val="84"/>
              </w:rPr>
              <w:t>Indicate by check mark if the registrant is a well known seasoned issuer, as defined in Rule 405 of the Securities Act. Yes</w:t>
            </w:r>
          </w:p>
        </w:tc>
        <w:tc>
          <w:tcPr>
            <w:tcW w:w="740" w:type="dxa"/>
            <w:vAlign w:val="bottom"/>
          </w:tcPr>
          <w:p>
            <w:pPr>
              <w:ind w:left="100"/>
              <w:spacing w:after="0"/>
              <w:rPr>
                <w:sz w:val="20"/>
                <w:szCs w:val="20"/>
                <w:color w:val="auto"/>
              </w:rPr>
            </w:pPr>
            <w:r>
              <w:rPr>
                <w:rFonts w:ascii="Arial" w:cs="Arial" w:eastAsia="Arial" w:hAnsi="Arial"/>
                <w:sz w:val="16"/>
                <w:szCs w:val="16"/>
                <w:b w:val="1"/>
                <w:bCs w:val="1"/>
                <w:color w:val="231F20"/>
              </w:rPr>
              <w:t>No</w:t>
            </w:r>
          </w:p>
        </w:tc>
      </w:tr>
      <w:tr>
        <w:trPr>
          <w:trHeight w:val="271"/>
        </w:trPr>
        <w:tc>
          <w:tcPr>
            <w:tcW w:w="7820" w:type="dxa"/>
            <w:vAlign w:val="bottom"/>
            <w:gridSpan w:val="3"/>
          </w:tcPr>
          <w:p>
            <w:pPr>
              <w:spacing w:after="0"/>
              <w:rPr>
                <w:sz w:val="20"/>
                <w:szCs w:val="20"/>
                <w:color w:val="auto"/>
              </w:rPr>
            </w:pPr>
            <w:r>
              <w:rPr>
                <w:rFonts w:ascii="Arial" w:cs="Arial" w:eastAsia="Arial" w:hAnsi="Arial"/>
                <w:sz w:val="16"/>
                <w:szCs w:val="16"/>
                <w:b w:val="1"/>
                <w:bCs w:val="1"/>
                <w:color w:val="231F20"/>
                <w:w w:val="83"/>
              </w:rPr>
              <w:t>Indicate by check mark if the registrant is not required to file reports pursuant to Section 13 or Section 15(d) of the Act. Yes</w:t>
            </w:r>
          </w:p>
        </w:tc>
        <w:tc>
          <w:tcPr>
            <w:tcW w:w="740" w:type="dxa"/>
            <w:vAlign w:val="bottom"/>
          </w:tcPr>
          <w:p>
            <w:pPr>
              <w:ind w:left="220"/>
              <w:spacing w:after="0"/>
              <w:rPr>
                <w:sz w:val="20"/>
                <w:szCs w:val="20"/>
                <w:color w:val="auto"/>
              </w:rPr>
            </w:pPr>
            <w:r>
              <w:rPr>
                <w:rFonts w:ascii="Arial" w:cs="Arial" w:eastAsia="Arial" w:hAnsi="Arial"/>
                <w:sz w:val="16"/>
                <w:szCs w:val="16"/>
                <w:b w:val="1"/>
                <w:bCs w:val="1"/>
                <w:color w:val="231F20"/>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-737870</wp:posOffset>
            </wp:positionV>
            <wp:extent cx="5792470"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2470" cy="3619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-244475</wp:posOffset>
            </wp:positionV>
            <wp:extent cx="5270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705" cy="342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-274955</wp:posOffset>
            </wp:positionV>
            <wp:extent cx="95250" cy="95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250" cy="95250"/>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-274955</wp:posOffset>
            </wp:positionV>
            <wp:extent cx="95250" cy="95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250" cy="9525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-102235</wp:posOffset>
            </wp:positionV>
            <wp:extent cx="95250" cy="95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250" cy="9525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-102235</wp:posOffset>
            </wp:positionV>
            <wp:extent cx="95250" cy="95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51" w:lineRule="exact"/>
        <w:rPr>
          <w:sz w:val="20"/>
          <w:szCs w:val="20"/>
          <w:color w:val="auto"/>
        </w:rPr>
      </w:pPr>
    </w:p>
    <w:p>
      <w:pPr>
        <w:ind w:left="140" w:right="280"/>
        <w:spacing w:after="0" w:line="329" w:lineRule="auto"/>
        <w:rPr>
          <w:sz w:val="20"/>
          <w:szCs w:val="20"/>
          <w:color w:val="auto"/>
        </w:rPr>
      </w:pPr>
      <w:r>
        <w:rPr>
          <w:rFonts w:ascii="Arial" w:cs="Arial" w:eastAsia="Arial" w:hAnsi="Arial"/>
          <w:sz w:val="12"/>
          <w:szCs w:val="12"/>
          <w:b w:val="1"/>
          <w:bCs w:val="1"/>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w:t>
      </w:r>
    </w:p>
    <w:p>
      <w:pPr>
        <w:ind w:left="140"/>
        <w:spacing w:after="0" w:line="224" w:lineRule="auto"/>
        <w:rPr>
          <w:sz w:val="20"/>
          <w:szCs w:val="20"/>
          <w:color w:val="auto"/>
        </w:rPr>
      </w:pPr>
      <w:r>
        <w:rPr>
          <w:rFonts w:ascii="Arial" w:cs="Arial" w:eastAsia="Arial" w:hAnsi="Arial"/>
          <w:sz w:val="16"/>
          <w:szCs w:val="16"/>
          <w:b w:val="1"/>
          <w:bCs w:val="1"/>
          <w:color w:val="231F20"/>
        </w:rPr>
        <w:t xml:space="preserve">to such filing requirements for the past 90 days.  Yes </w:t>
      </w:r>
      <w:r>
        <w:rPr>
          <w:sz w:val="1"/>
          <w:szCs w:val="1"/>
          <w:color w:val="auto"/>
        </w:rPr>
        <w:drawing>
          <wp:inline distT="0" distB="0" distL="0" distR="0">
            <wp:extent cx="95250"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r>
        <w:rPr>
          <w:rFonts w:ascii="Arial" w:cs="Arial" w:eastAsia="Arial" w:hAnsi="Arial"/>
          <w:sz w:val="16"/>
          <w:szCs w:val="16"/>
          <w:b w:val="1"/>
          <w:bCs w:val="1"/>
          <w:color w:val="231F20"/>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-102235</wp:posOffset>
            </wp:positionV>
            <wp:extent cx="95250" cy="95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52" w:lineRule="exact"/>
        <w:rPr>
          <w:sz w:val="20"/>
          <w:szCs w:val="20"/>
          <w:color w:val="auto"/>
        </w:rPr>
      </w:pPr>
    </w:p>
    <w:p>
      <w:pPr>
        <w:ind w:left="140" w:right="280"/>
        <w:spacing w:after="0" w:line="304" w:lineRule="auto"/>
        <w:rPr>
          <w:sz w:val="20"/>
          <w:szCs w:val="20"/>
          <w:color w:val="auto"/>
        </w:rPr>
      </w:pPr>
      <w:r>
        <w:rPr>
          <w:rFonts w:ascii="Arial" w:cs="Arial" w:eastAsia="Arial" w:hAnsi="Arial"/>
          <w:sz w:val="13"/>
          <w:szCs w:val="13"/>
          <w:b w:val="1"/>
          <w:bCs w:val="1"/>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w:t>
      </w:r>
    </w:p>
    <w:p>
      <w:pPr>
        <w:ind w:left="140"/>
        <w:spacing w:after="0" w:line="223" w:lineRule="auto"/>
        <w:rPr>
          <w:sz w:val="20"/>
          <w:szCs w:val="20"/>
          <w:color w:val="auto"/>
        </w:rPr>
      </w:pPr>
      <w:r>
        <w:rPr>
          <w:rFonts w:ascii="Arial" w:cs="Arial" w:eastAsia="Arial" w:hAnsi="Arial"/>
          <w:sz w:val="16"/>
          <w:szCs w:val="16"/>
          <w:b w:val="1"/>
          <w:bCs w:val="1"/>
          <w:color w:val="231F20"/>
        </w:rPr>
        <w:t xml:space="preserve">submit such files).  Yes </w:t>
      </w:r>
      <w:r>
        <w:rPr>
          <w:sz w:val="1"/>
          <w:szCs w:val="1"/>
          <w:color w:val="auto"/>
        </w:rPr>
        <w:drawing>
          <wp:inline distT="0" distB="0" distL="0" distR="0">
            <wp:extent cx="95250" cy="857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r>
        <w:rPr>
          <w:rFonts w:ascii="Arial" w:cs="Arial" w:eastAsia="Arial" w:hAnsi="Arial"/>
          <w:sz w:val="16"/>
          <w:szCs w:val="16"/>
          <w:b w:val="1"/>
          <w:bCs w:val="1"/>
          <w:color w:val="231F20"/>
        </w:rPr>
        <w:t xml:space="preserve">  No </w:t>
      </w:r>
      <w:r>
        <w:rPr>
          <w:sz w:val="1"/>
          <w:szCs w:val="1"/>
          <w:color w:val="auto"/>
        </w:rPr>
        <w:drawing>
          <wp:inline distT="0" distB="0" distL="0" distR="0">
            <wp:extent cx="95250"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p>
    <w:p>
      <w:pPr>
        <w:spacing w:after="0" w:line="72" w:lineRule="exact"/>
        <w:rPr>
          <w:sz w:val="20"/>
          <w:szCs w:val="20"/>
          <w:color w:val="auto"/>
        </w:rPr>
      </w:pPr>
    </w:p>
    <w:p>
      <w:pPr>
        <w:ind w:left="140" w:right="260"/>
        <w:spacing w:after="0" w:line="176" w:lineRule="exact"/>
        <w:rPr>
          <w:sz w:val="20"/>
          <w:szCs w:val="20"/>
          <w:color w:val="auto"/>
        </w:rPr>
      </w:pPr>
      <w:r>
        <w:rPr>
          <w:rFonts w:ascii="Arial" w:cs="Arial" w:eastAsia="Arial" w:hAnsi="Arial"/>
          <w:sz w:val="16"/>
          <w:szCs w:val="16"/>
          <w:b w:val="1"/>
          <w:bCs w:val="1"/>
          <w:color w:val="231F20"/>
        </w:rPr>
        <w:t xml:space="preserve">Indicate by check mark whether the registrant is a large accelerated filer, an accelerated filer, a non-accelerated filer, a smaller reporting company, or an emerging growth company. See the definitions of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large accelerated filer,</w:t>
      </w:r>
      <w:r>
        <w:rPr>
          <w:rFonts w:ascii="PMingLiU" w:cs="PMingLiU" w:eastAsia="PMingLiU" w:hAnsi="PMingLiU"/>
          <w:sz w:val="16"/>
          <w:szCs w:val="16"/>
          <w:b w:val="1"/>
          <w:bCs w:val="1"/>
          <w:color w:val="231F20"/>
        </w:rPr>
        <w:t> </w:t>
      </w:r>
      <w:r>
        <w:rPr>
          <w:rFonts w:ascii="Arial" w:cs="Arial" w:eastAsia="Arial" w:hAnsi="Arial"/>
          <w:sz w:val="16"/>
          <w:szCs w:val="16"/>
          <w:b w:val="1"/>
          <w:bCs w:val="1"/>
          <w:color w:val="231F20"/>
        </w:rPr>
        <w:t>accelerated filer,</w:t>
      </w:r>
      <w:r>
        <w:rPr>
          <w:rFonts w:ascii="PMingLiU" w:cs="PMingLiU" w:eastAsia="PMingLiU" w:hAnsi="PMingLiU"/>
          <w:sz w:val="16"/>
          <w:szCs w:val="16"/>
          <w:b w:val="1"/>
          <w:bCs w:val="1"/>
          <w:color w:val="231F20"/>
        </w:rPr>
        <w:t> </w:t>
      </w:r>
      <w:r>
        <w:rPr>
          <w:rFonts w:ascii="Arial" w:cs="Arial" w:eastAsia="Arial" w:hAnsi="Arial"/>
          <w:sz w:val="16"/>
          <w:szCs w:val="16"/>
          <w:b w:val="1"/>
          <w:bCs w:val="1"/>
          <w:color w:val="231F20"/>
        </w:rPr>
        <w:t>smaller reporting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emerging growth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 Rule 12b-2 of the Exchange Act.</w:t>
      </w:r>
    </w:p>
    <w:p>
      <w:pPr>
        <w:sectPr>
          <w:pgSz w:w="12240" w:h="15840" w:orient="portrait"/>
          <w:cols w:equalWidth="0" w:num="1">
            <w:col w:w="9360"/>
          </w:cols>
          <w:pgMar w:left="1440" w:top="1440" w:right="1440" w:bottom="1440" w:gutter="0" w:footer="0" w:header="0"/>
          <w:type w:val="continuous"/>
        </w:sectPr>
      </w:pPr>
    </w:p>
    <w:p>
      <w:pPr>
        <w:spacing w:after="0" w:line="90"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231F20"/>
        </w:rPr>
        <w:t>Large accelerated filer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-84455</wp:posOffset>
            </wp:positionV>
            <wp:extent cx="95250" cy="95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57" w:lineRule="exact"/>
        <w:rPr>
          <w:sz w:val="20"/>
          <w:szCs w:val="20"/>
          <w:color w:val="auto"/>
        </w:rPr>
      </w:pPr>
    </w:p>
    <w:p>
      <w:pPr>
        <w:sectPr>
          <w:pgSz w:w="12240" w:h="15840" w:orient="portrait"/>
          <w:cols w:equalWidth="0" w:num="2">
            <w:col w:w="5820" w:space="720"/>
            <w:col w:w="2820"/>
          </w:cols>
          <w:pgMar w:left="1440" w:top="1440" w:right="1440" w:bottom="1440" w:gutter="0" w:footer="0" w:header="0"/>
          <w:type w:val="continuous"/>
        </w:sectPr>
      </w:pPr>
    </w:p>
    <w:p>
      <w:pPr>
        <w:ind w:left="140"/>
        <w:spacing w:after="0"/>
        <w:rPr>
          <w:sz w:val="20"/>
          <w:szCs w:val="20"/>
          <w:color w:val="auto"/>
        </w:rPr>
      </w:pPr>
      <w:r>
        <w:rPr>
          <w:rFonts w:ascii="Arial" w:cs="Arial" w:eastAsia="Arial" w:hAnsi="Arial"/>
          <w:sz w:val="13"/>
          <w:szCs w:val="13"/>
          <w:b w:val="1"/>
          <w:bCs w:val="1"/>
          <w:color w:val="231F20"/>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231F20"/>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-82550</wp:posOffset>
            </wp:positionV>
            <wp:extent cx="95250" cy="95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57" w:lineRule="exact"/>
        <w:rPr>
          <w:sz w:val="20"/>
          <w:szCs w:val="20"/>
          <w:color w:val="auto"/>
        </w:rPr>
      </w:pPr>
    </w:p>
    <w:p>
      <w:pPr>
        <w:sectPr>
          <w:pgSz w:w="12240" w:h="15840" w:orient="portrait"/>
          <w:cols w:equalWidth="0" w:num="2">
            <w:col w:w="5820" w:space="720"/>
            <w:col w:w="2820"/>
          </w:cols>
          <w:pgMar w:left="1440" w:top="1440" w:right="1440" w:bottom="1440" w:gutter="0" w:footer="0" w:header="0"/>
          <w:type w:val="continuous"/>
        </w:sectPr>
      </w:pPr>
    </w:p>
    <w:p>
      <w:pPr>
        <w:ind w:left="6540"/>
        <w:spacing w:after="0"/>
        <w:rPr>
          <w:sz w:val="20"/>
          <w:szCs w:val="20"/>
          <w:color w:val="auto"/>
        </w:rPr>
      </w:pPr>
      <w:r>
        <w:rPr>
          <w:rFonts w:ascii="Arial" w:cs="Arial" w:eastAsia="Arial" w:hAnsi="Arial"/>
          <w:sz w:val="13"/>
          <w:szCs w:val="13"/>
          <w:b w:val="1"/>
          <w:bCs w:val="1"/>
          <w:color w:val="231F20"/>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5695950</wp:posOffset>
            </wp:positionH>
            <wp:positionV relativeFrom="paragraph">
              <wp:posOffset>-82550</wp:posOffset>
            </wp:positionV>
            <wp:extent cx="95250" cy="95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type w:val="continuous"/>
        </w:sectPr>
      </w:pPr>
    </w:p>
    <w:p>
      <w:pPr>
        <w:spacing w:after="0" w:line="110" w:lineRule="exact"/>
        <w:rPr>
          <w:sz w:val="20"/>
          <w:szCs w:val="20"/>
          <w:color w:val="auto"/>
        </w:rPr>
      </w:pPr>
    </w:p>
    <w:p>
      <w:pPr>
        <w:ind w:left="140" w:right="220"/>
        <w:spacing w:after="0" w:line="284" w:lineRule="auto"/>
        <w:rPr>
          <w:sz w:val="20"/>
          <w:szCs w:val="20"/>
          <w:color w:val="auto"/>
        </w:rPr>
      </w:pPr>
      <w:r>
        <w:rPr>
          <w:rFonts w:ascii="Arial" w:cs="Arial" w:eastAsia="Arial" w:hAnsi="Arial"/>
          <w:sz w:val="14"/>
          <w:szCs w:val="14"/>
          <w:b w:val="1"/>
          <w:bCs w:val="1"/>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5250" cy="952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44" w:lineRule="exact"/>
        <w:rPr>
          <w:sz w:val="20"/>
          <w:szCs w:val="20"/>
          <w:color w:val="auto"/>
        </w:rPr>
      </w:pPr>
    </w:p>
    <w:p>
      <w:pPr>
        <w:ind w:left="140" w:right="220"/>
        <w:spacing w:after="0" w:line="174" w:lineRule="exact"/>
        <w:rPr>
          <w:sz w:val="20"/>
          <w:szCs w:val="20"/>
          <w:color w:val="auto"/>
        </w:rPr>
      </w:pPr>
      <w:r>
        <w:rPr>
          <w:rFonts w:ascii="Arial" w:cs="Arial" w:eastAsia="Arial" w:hAnsi="Arial"/>
          <w:sz w:val="13"/>
          <w:szCs w:val="13"/>
          <w:b w:val="1"/>
          <w:bCs w:val="1"/>
          <w:color w:val="231F20"/>
        </w:rPr>
        <w:t>Indicate by check mark whether the registrant has filed a report on and attestation to its management</w:t>
      </w:r>
      <w:r>
        <w:rPr>
          <w:rFonts w:ascii="PMingLiU" w:cs="PMingLiU" w:eastAsia="PMingLiU" w:hAnsi="PMingLiU"/>
          <w:sz w:val="13"/>
          <w:szCs w:val="13"/>
          <w:b w:val="1"/>
          <w:bCs w:val="1"/>
          <w:color w:val="231F20"/>
        </w:rPr>
        <w:t></w:t>
      </w:r>
      <w:r>
        <w:rPr>
          <w:rFonts w:ascii="Arial" w:cs="Arial" w:eastAsia="Arial" w:hAnsi="Arial"/>
          <w:sz w:val="13"/>
          <w:szCs w:val="13"/>
          <w:b w:val="1"/>
          <w:bCs w:val="1"/>
          <w:color w:val="231F20"/>
        </w:rPr>
        <w:t>s assessment of the effectiveness of its internal control over financial reporting under Section 404(b) of the Sarbanes-Oxley Act (15 U.S.C. 7262(b)) by the registered public accounting</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firm that prepared or issued its audit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-102235</wp:posOffset>
            </wp:positionV>
            <wp:extent cx="95250" cy="95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51" w:lineRule="exact"/>
        <w:rPr>
          <w:sz w:val="20"/>
          <w:szCs w:val="20"/>
          <w:color w:val="auto"/>
        </w:rPr>
      </w:pPr>
    </w:p>
    <w:p>
      <w:pPr>
        <w:ind w:left="140" w:right="180"/>
        <w:spacing w:after="0" w:line="271" w:lineRule="auto"/>
        <w:rPr>
          <w:sz w:val="20"/>
          <w:szCs w:val="20"/>
          <w:color w:val="auto"/>
        </w:rPr>
      </w:pPr>
      <w:r>
        <w:rPr>
          <w:rFonts w:ascii="Arial" w:cs="Arial" w:eastAsia="Arial" w:hAnsi="Arial"/>
          <w:sz w:val="14"/>
          <w:szCs w:val="14"/>
          <w:b w:val="1"/>
          <w:bCs w:val="1"/>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5250" cy="952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1" w:lineRule="exact"/>
        <w:rPr>
          <w:sz w:val="20"/>
          <w:szCs w:val="20"/>
          <w:color w:val="auto"/>
        </w:rPr>
      </w:pPr>
    </w:p>
    <w:p>
      <w:pPr>
        <w:ind w:left="140" w:right="180"/>
        <w:spacing w:after="0" w:line="186" w:lineRule="exact"/>
        <w:rPr>
          <w:sz w:val="20"/>
          <w:szCs w:val="20"/>
          <w:color w:val="auto"/>
        </w:rPr>
      </w:pPr>
      <w:r>
        <w:rPr>
          <w:rFonts w:ascii="Arial" w:cs="Arial" w:eastAsia="Arial" w:hAnsi="Arial"/>
          <w:sz w:val="14"/>
          <w:szCs w:val="14"/>
          <w:b w:val="1"/>
          <w:bCs w:val="1"/>
          <w:color w:val="231F20"/>
        </w:rPr>
        <w:t>Indicate by check mark whether any of those error corrections are restatements that required a recovery analysis of incentive-based compensation received by any of the registrant</w:t>
      </w:r>
      <w:r>
        <w:rPr>
          <w:rFonts w:ascii="PMingLiU" w:cs="PMingLiU" w:eastAsia="PMingLiU" w:hAnsi="PMingLiU"/>
          <w:sz w:val="14"/>
          <w:szCs w:val="14"/>
          <w:b w:val="1"/>
          <w:bCs w:val="1"/>
          <w:color w:val="231F20"/>
        </w:rPr>
        <w:t></w:t>
      </w:r>
      <w:r>
        <w:rPr>
          <w:rFonts w:ascii="Arial" w:cs="Arial" w:eastAsia="Arial" w:hAnsi="Arial"/>
          <w:sz w:val="14"/>
          <w:szCs w:val="14"/>
          <w:b w:val="1"/>
          <w:bCs w:val="1"/>
          <w:color w:val="231F20"/>
        </w:rPr>
        <w:t xml:space="preserve">s executive officers during the relevant recovery period pursuant to § 240.10D-1(b). </w:t>
      </w:r>
      <w:r>
        <w:rPr>
          <w:sz w:val="1"/>
          <w:szCs w:val="1"/>
          <w:color w:val="auto"/>
        </w:rPr>
        <w:drawing>
          <wp:inline distT="0" distB="0" distL="0" distR="0">
            <wp:extent cx="95250" cy="952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28" w:lineRule="exact"/>
        <w:rPr>
          <w:sz w:val="20"/>
          <w:szCs w:val="20"/>
          <w:color w:val="auto"/>
        </w:rPr>
      </w:pPr>
    </w:p>
    <w:p>
      <w:pPr>
        <w:ind w:left="140"/>
        <w:spacing w:after="0"/>
        <w:tabs>
          <w:tab w:leader="none" w:pos="7280" w:val="left"/>
        </w:tabs>
        <w:rPr>
          <w:sz w:val="20"/>
          <w:szCs w:val="20"/>
          <w:color w:val="auto"/>
        </w:rPr>
      </w:pPr>
      <w:r>
        <w:rPr>
          <w:rFonts w:ascii="Arial" w:cs="Arial" w:eastAsia="Arial" w:hAnsi="Arial"/>
          <w:sz w:val="14"/>
          <w:szCs w:val="14"/>
          <w:b w:val="1"/>
          <w:bCs w:val="1"/>
          <w:color w:val="231F20"/>
        </w:rPr>
        <w:t>Indicate by check mark whether the registrant is a shell company (as defined in Rule 12b-2 of the Exchange Act)</w:t>
        <w:tab/>
        <w:t xml:space="preserve">Yes </w:t>
      </w:r>
      <w:r>
        <w:rPr>
          <w:sz w:val="1"/>
          <w:szCs w:val="1"/>
          <w:color w:val="auto"/>
        </w:rPr>
        <w:drawing>
          <wp:inline distT="0" distB="0" distL="0" distR="0">
            <wp:extent cx="95250" cy="952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r>
        <w:rPr>
          <w:rFonts w:ascii="Arial" w:cs="Arial" w:eastAsia="Arial" w:hAnsi="Arial"/>
          <w:sz w:val="14"/>
          <w:szCs w:val="14"/>
          <w:b w:val="1"/>
          <w:bCs w:val="1"/>
          <w:color w:val="231F20"/>
        </w:rPr>
        <w:t xml:space="preserve">  No </w:t>
      </w:r>
      <w:r>
        <w:rPr>
          <w:sz w:val="1"/>
          <w:szCs w:val="1"/>
          <w:color w:val="auto"/>
        </w:rPr>
        <w:drawing>
          <wp:inline distT="0" distB="0" distL="0" distR="0">
            <wp:extent cx="95250" cy="952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71" w:lineRule="exact"/>
        <w:rPr>
          <w:sz w:val="20"/>
          <w:szCs w:val="20"/>
          <w:color w:val="auto"/>
        </w:rPr>
      </w:pPr>
    </w:p>
    <w:p>
      <w:pPr>
        <w:ind w:left="140" w:right="380"/>
        <w:spacing w:after="0" w:line="176" w:lineRule="exact"/>
        <w:rPr>
          <w:sz w:val="20"/>
          <w:szCs w:val="20"/>
          <w:color w:val="auto"/>
        </w:rPr>
      </w:pPr>
      <w:r>
        <w:rPr>
          <w:rFonts w:ascii="Arial" w:cs="Arial" w:eastAsia="Arial" w:hAnsi="Arial"/>
          <w:sz w:val="16"/>
          <w:szCs w:val="16"/>
          <w:b w:val="1"/>
          <w:bCs w:val="1"/>
          <w:color w:val="231F20"/>
        </w:rPr>
        <w:t>As of June 30, 2025, the last business day of the registrant's most recently completed second quarter, the approximate market value of the registrant's common stock held by non-affiliates was $113.3 million. As of February 28, 2026, there were 12,095,631 shares of the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common stock outstanding.</w:t>
      </w:r>
    </w:p>
    <w:p>
      <w:pPr>
        <w:sectPr>
          <w:pgSz w:w="12240" w:h="15840" w:orient="portrait"/>
          <w:cols w:equalWidth="0" w:num="1">
            <w:col w:w="9360"/>
          </w:cols>
          <w:pgMar w:left="1440" w:top="1440" w:right="1440" w:bottom="1440" w:gutter="0" w:footer="0" w:header="0"/>
          <w:type w:val="continuous"/>
        </w:sectPr>
      </w:pPr>
    </w:p>
    <w:bookmarkStart w:id="3" w:name="page4"/>
    <w:bookmarkEnd w:id="3"/>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DOCUMENTS INCORPORATED BY REFERENCE</w:t>
      </w:r>
    </w:p>
    <w:p>
      <w:pPr>
        <w:spacing w:after="0" w:line="67" w:lineRule="exact"/>
        <w:rPr>
          <w:sz w:val="20"/>
          <w:szCs w:val="20"/>
          <w:color w:val="auto"/>
        </w:rPr>
      </w:pPr>
    </w:p>
    <w:p>
      <w:pPr>
        <w:jc w:val="both"/>
        <w:ind w:left="140" w:right="180"/>
        <w:spacing w:after="0" w:line="176" w:lineRule="exact"/>
        <w:rPr>
          <w:sz w:val="20"/>
          <w:szCs w:val="20"/>
          <w:color w:val="auto"/>
        </w:rPr>
      </w:pPr>
      <w:r>
        <w:rPr>
          <w:rFonts w:ascii="Arial" w:cs="Arial" w:eastAsia="Arial" w:hAnsi="Arial"/>
          <w:sz w:val="14"/>
          <w:szCs w:val="14"/>
          <w:b w:val="1"/>
          <w:bCs w:val="1"/>
          <w:color w:val="231F20"/>
        </w:rPr>
        <w:t>Portions of the registrant</w:t>
      </w:r>
      <w:r>
        <w:rPr>
          <w:rFonts w:ascii="PMingLiU" w:cs="PMingLiU" w:eastAsia="PMingLiU" w:hAnsi="PMingLiU"/>
          <w:sz w:val="14"/>
          <w:szCs w:val="14"/>
          <w:b w:val="1"/>
          <w:bCs w:val="1"/>
          <w:color w:val="231F20"/>
        </w:rPr>
        <w:t></w:t>
      </w:r>
      <w:r>
        <w:rPr>
          <w:rFonts w:ascii="Arial" w:cs="Arial" w:eastAsia="Arial" w:hAnsi="Arial"/>
          <w:sz w:val="14"/>
          <w:szCs w:val="14"/>
          <w:b w:val="1"/>
          <w:bCs w:val="1"/>
          <w:color w:val="231F20"/>
        </w:rPr>
        <w:t>s definitive proxy statement for its 2026 annual meeting of stockholders, which the registrant intends to file pursuant to Regulation 14A with the Securities and Exchange Commission not later than 120 days after the registrant</w:t>
      </w:r>
      <w:r>
        <w:rPr>
          <w:rFonts w:ascii="PMingLiU" w:cs="PMingLiU" w:eastAsia="PMingLiU" w:hAnsi="PMingLiU"/>
          <w:sz w:val="14"/>
          <w:szCs w:val="14"/>
          <w:b w:val="1"/>
          <w:bCs w:val="1"/>
          <w:color w:val="231F20"/>
        </w:rPr>
        <w:t></w:t>
      </w:r>
      <w:r>
        <w:rPr>
          <w:rFonts w:ascii="Arial" w:cs="Arial" w:eastAsia="Arial" w:hAnsi="Arial"/>
          <w:sz w:val="14"/>
          <w:szCs w:val="14"/>
          <w:b w:val="1"/>
          <w:bCs w:val="1"/>
          <w:color w:val="231F20"/>
        </w:rPr>
        <w:t>s fiscal year ended December 31, 2025, are incorporated by reference into Part III of this Annual Report on Form 10-K.</w:t>
      </w:r>
    </w:p>
    <w:p>
      <w:pPr>
        <w:sectPr>
          <w:pgSz w:w="12240" w:h="15840" w:orient="portrait"/>
          <w:cols w:equalWidth="0" w:num="1">
            <w:col w:w="9360"/>
          </w:cols>
          <w:pgMar w:left="1440" w:top="1440" w:right="1440" w:bottom="1440" w:gutter="0" w:footer="0" w:header="0"/>
        </w:sectPr>
      </w:pPr>
    </w:p>
    <w:bookmarkStart w:id="4" w:name="page5"/>
    <w:bookmarkEnd w:id="4"/>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860" w:type="dxa"/>
            <w:vAlign w:val="bottom"/>
          </w:tcPr>
          <w:p>
            <w:pPr>
              <w:spacing w:after="0"/>
              <w:rPr>
                <w:sz w:val="18"/>
                <w:szCs w:val="18"/>
                <w:color w:val="auto"/>
              </w:rPr>
            </w:pPr>
          </w:p>
        </w:tc>
        <w:tc>
          <w:tcPr>
            <w:tcW w:w="7580" w:type="dxa"/>
            <w:vAlign w:val="bottom"/>
          </w:tcPr>
          <w:p>
            <w:pPr>
              <w:ind w:left="2920"/>
              <w:spacing w:after="0"/>
              <w:rPr>
                <w:sz w:val="20"/>
                <w:szCs w:val="20"/>
                <w:color w:val="auto"/>
              </w:rPr>
            </w:pPr>
            <w:r>
              <w:rPr>
                <w:rFonts w:ascii="Arial" w:cs="Arial" w:eastAsia="Arial" w:hAnsi="Arial"/>
                <w:sz w:val="19"/>
                <w:szCs w:val="19"/>
                <w:b w:val="1"/>
                <w:bCs w:val="1"/>
                <w:color w:val="231F20"/>
              </w:rPr>
              <w:t>Table of Contents</w:t>
            </w:r>
          </w:p>
        </w:tc>
        <w:tc>
          <w:tcPr>
            <w:tcW w:w="620" w:type="dxa"/>
            <w:vAlign w:val="bottom"/>
          </w:tcPr>
          <w:p>
            <w:pPr>
              <w:spacing w:after="0"/>
              <w:rPr>
                <w:sz w:val="18"/>
                <w:szCs w:val="18"/>
                <w:color w:val="auto"/>
              </w:rPr>
            </w:pPr>
          </w:p>
        </w:tc>
      </w:tr>
      <w:tr>
        <w:trPr>
          <w:trHeight w:val="478"/>
        </w:trPr>
        <w:tc>
          <w:tcPr>
            <w:tcW w:w="8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Page</w:t>
            </w:r>
          </w:p>
        </w:tc>
      </w:tr>
      <w:tr>
        <w:trPr>
          <w:trHeight w:val="281"/>
        </w:trPr>
        <w:tc>
          <w:tcPr>
            <w:tcW w:w="860" w:type="dxa"/>
            <w:vAlign w:val="bottom"/>
          </w:tcPr>
          <w:p>
            <w:pPr>
              <w:spacing w:after="0"/>
              <w:rPr>
                <w:sz w:val="24"/>
                <w:szCs w:val="24"/>
                <w:color w:val="auto"/>
              </w:rPr>
            </w:pP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Forward-Looking Statements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4</w:t>
            </w:r>
          </w:p>
        </w:tc>
      </w:tr>
      <w:tr>
        <w:trPr>
          <w:trHeight w:val="281"/>
        </w:trPr>
        <w:tc>
          <w:tcPr>
            <w:tcW w:w="860" w:type="dxa"/>
            <w:vAlign w:val="bottom"/>
          </w:tcPr>
          <w:p>
            <w:pPr>
              <w:spacing w:after="0"/>
              <w:rPr>
                <w:sz w:val="24"/>
                <w:szCs w:val="24"/>
                <w:color w:val="auto"/>
              </w:rPr>
            </w:pP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Trademarks and Trade Names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5</w:t>
            </w:r>
          </w:p>
        </w:tc>
      </w:tr>
      <w:tr>
        <w:trPr>
          <w:trHeight w:val="281"/>
        </w:trPr>
        <w:tc>
          <w:tcPr>
            <w:tcW w:w="860" w:type="dxa"/>
            <w:vAlign w:val="bottom"/>
          </w:tcPr>
          <w:p>
            <w:pPr>
              <w:spacing w:after="0"/>
              <w:rPr>
                <w:sz w:val="24"/>
                <w:szCs w:val="24"/>
                <w:color w:val="auto"/>
              </w:rPr>
            </w:pP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Market and Industry Data and Forecasts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5</w:t>
            </w:r>
          </w:p>
        </w:tc>
      </w:tr>
      <w:tr>
        <w:trPr>
          <w:trHeight w:val="281"/>
        </w:trPr>
        <w:tc>
          <w:tcPr>
            <w:tcW w:w="860" w:type="dxa"/>
            <w:vAlign w:val="bottom"/>
          </w:tcPr>
          <w:p>
            <w:pPr>
              <w:spacing w:after="0"/>
              <w:rPr>
                <w:sz w:val="24"/>
                <w:szCs w:val="24"/>
                <w:color w:val="auto"/>
              </w:rPr>
            </w:pP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Risk Factor Summary</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6</w:t>
            </w:r>
          </w:p>
        </w:tc>
      </w:tr>
      <w:tr>
        <w:trPr>
          <w:trHeight w:val="283"/>
        </w:trPr>
        <w:tc>
          <w:tcPr>
            <w:tcW w:w="860" w:type="dxa"/>
            <w:vAlign w:val="bottom"/>
          </w:tcPr>
          <w:p>
            <w:pPr>
              <w:spacing w:after="0"/>
              <w:rPr>
                <w:sz w:val="20"/>
                <w:szCs w:val="20"/>
                <w:color w:val="auto"/>
              </w:rPr>
            </w:pPr>
            <w:r>
              <w:rPr>
                <w:rFonts w:ascii="Arial" w:cs="Arial" w:eastAsia="Arial" w:hAnsi="Arial"/>
                <w:sz w:val="19"/>
                <w:szCs w:val="19"/>
                <w:b w:val="1"/>
                <w:bCs w:val="1"/>
                <w:color w:val="231F20"/>
              </w:rPr>
              <w:t>PART I</w:t>
            </w:r>
          </w:p>
        </w:tc>
        <w:tc>
          <w:tcPr>
            <w:tcW w:w="7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8</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Business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8</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1A.</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Risk Factors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28</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1B.</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Unresolved Staff Comments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75</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1C.</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Cybersecurity</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76</w:t>
            </w:r>
          </w:p>
        </w:tc>
      </w:tr>
      <w:tr>
        <w:trPr>
          <w:trHeight w:val="283"/>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2.</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Properties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77</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3.</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Legal Proceedings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77</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4.</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Mine Safety Disclosures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77</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PART II</w:t>
            </w:r>
          </w:p>
        </w:tc>
        <w:tc>
          <w:tcPr>
            <w:tcW w:w="7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78</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5.</w:t>
            </w:r>
          </w:p>
        </w:tc>
        <w:tc>
          <w:tcPr>
            <w:tcW w:w="7580" w:type="dxa"/>
            <w:vAlign w:val="bottom"/>
          </w:tcPr>
          <w:p>
            <w:pPr>
              <w:ind w:left="40"/>
              <w:spacing w:after="0" w:line="231" w:lineRule="exact"/>
              <w:rPr>
                <w:sz w:val="20"/>
                <w:szCs w:val="20"/>
                <w:color w:val="auto"/>
              </w:rPr>
            </w:pPr>
            <w:r>
              <w:rPr>
                <w:rFonts w:ascii="Arial" w:cs="Arial" w:eastAsia="Arial" w:hAnsi="Arial"/>
                <w:sz w:val="19"/>
                <w:szCs w:val="19"/>
                <w:b w:val="1"/>
                <w:bCs w:val="1"/>
                <w:color w:val="231F20"/>
                <w:w w:val="88"/>
              </w:rPr>
              <w:t>Market for Registrant</w:t>
            </w:r>
            <w:r>
              <w:rPr>
                <w:rFonts w:ascii="PMingLiU" w:cs="PMingLiU" w:eastAsia="PMingLiU" w:hAnsi="PMingLiU"/>
                <w:sz w:val="19"/>
                <w:szCs w:val="19"/>
                <w:b w:val="1"/>
                <w:bCs w:val="1"/>
                <w:color w:val="231F20"/>
                <w:w w:val="88"/>
              </w:rPr>
              <w:t></w:t>
            </w:r>
            <w:r>
              <w:rPr>
                <w:rFonts w:ascii="Arial" w:cs="Arial" w:eastAsia="Arial" w:hAnsi="Arial"/>
                <w:sz w:val="19"/>
                <w:szCs w:val="19"/>
                <w:b w:val="1"/>
                <w:bCs w:val="1"/>
                <w:color w:val="231F20"/>
                <w:w w:val="88"/>
              </w:rPr>
              <w:t>s Common Equity; Related Stockholder Matters and Issuer Purchases of</w:t>
            </w:r>
          </w:p>
        </w:tc>
        <w:tc>
          <w:tcPr>
            <w:tcW w:w="620" w:type="dxa"/>
            <w:vAlign w:val="bottom"/>
          </w:tcPr>
          <w:p>
            <w:pPr>
              <w:spacing w:after="0"/>
              <w:rPr>
                <w:sz w:val="24"/>
                <w:szCs w:val="24"/>
                <w:color w:val="auto"/>
              </w:rPr>
            </w:pPr>
          </w:p>
        </w:tc>
      </w:tr>
      <w:tr>
        <w:trPr>
          <w:trHeight w:val="223"/>
        </w:trPr>
        <w:tc>
          <w:tcPr>
            <w:tcW w:w="860" w:type="dxa"/>
            <w:vAlign w:val="bottom"/>
          </w:tcPr>
          <w:p>
            <w:pPr>
              <w:spacing w:after="0"/>
              <w:rPr>
                <w:sz w:val="19"/>
                <w:szCs w:val="19"/>
                <w:color w:val="auto"/>
              </w:rPr>
            </w:pP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Equity Securities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78</w:t>
            </w:r>
          </w:p>
        </w:tc>
      </w:tr>
      <w:tr>
        <w:trPr>
          <w:trHeight w:val="283"/>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6.</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[Reserved]</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78</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7.</w:t>
            </w:r>
          </w:p>
        </w:tc>
        <w:tc>
          <w:tcPr>
            <w:tcW w:w="7580" w:type="dxa"/>
            <w:vAlign w:val="bottom"/>
          </w:tcPr>
          <w:p>
            <w:pPr>
              <w:ind w:left="40"/>
              <w:spacing w:after="0" w:line="231" w:lineRule="exact"/>
              <w:rPr>
                <w:sz w:val="20"/>
                <w:szCs w:val="20"/>
                <w:color w:val="auto"/>
              </w:rPr>
            </w:pPr>
            <w:r>
              <w:rPr>
                <w:rFonts w:ascii="Arial" w:cs="Arial" w:eastAsia="Arial" w:hAnsi="Arial"/>
                <w:sz w:val="19"/>
                <w:szCs w:val="19"/>
                <w:b w:val="1"/>
                <w:bCs w:val="1"/>
                <w:color w:val="231F20"/>
                <w:w w:val="94"/>
              </w:rPr>
              <w:t>Management</w:t>
            </w:r>
            <w:r>
              <w:rPr>
                <w:rFonts w:ascii="PMingLiU" w:cs="PMingLiU" w:eastAsia="PMingLiU" w:hAnsi="PMingLiU"/>
                <w:sz w:val="19"/>
                <w:szCs w:val="19"/>
                <w:b w:val="1"/>
                <w:bCs w:val="1"/>
                <w:color w:val="231F20"/>
                <w:w w:val="94"/>
              </w:rPr>
              <w:t></w:t>
            </w:r>
            <w:r>
              <w:rPr>
                <w:rFonts w:ascii="Arial" w:cs="Arial" w:eastAsia="Arial" w:hAnsi="Arial"/>
                <w:sz w:val="19"/>
                <w:szCs w:val="19"/>
                <w:b w:val="1"/>
                <w:bCs w:val="1"/>
                <w:color w:val="231F20"/>
                <w:w w:val="94"/>
              </w:rPr>
              <w:t>s Discussion and Analysis of Financial Condition and Results of Operation</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79</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7A.</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92</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8.</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Financial Statements and Supplementary Data</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92</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9.</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w w:val="92"/>
              </w:rPr>
              <w:t>Changes in and Disagreements With Accountants on Accounting and Financial Disclosure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92</w:t>
            </w:r>
          </w:p>
        </w:tc>
      </w:tr>
      <w:tr>
        <w:trPr>
          <w:trHeight w:val="283"/>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9A.</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Controls and Procedures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92</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9B.</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Other Information</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93</w:t>
            </w:r>
          </w:p>
        </w:tc>
      </w:tr>
      <w:tr>
        <w:trPr>
          <w:trHeight w:val="281"/>
        </w:trPr>
        <w:tc>
          <w:tcPr>
            <w:tcW w:w="8440" w:type="dxa"/>
            <w:vAlign w:val="bottom"/>
            <w:gridSpan w:val="2"/>
          </w:tcPr>
          <w:p>
            <w:pPr>
              <w:spacing w:after="0"/>
              <w:rPr>
                <w:sz w:val="20"/>
                <w:szCs w:val="20"/>
                <w:color w:val="auto"/>
              </w:rPr>
            </w:pPr>
            <w:r>
              <w:rPr>
                <w:rFonts w:ascii="Arial" w:cs="Arial" w:eastAsia="Arial" w:hAnsi="Arial"/>
                <w:sz w:val="19"/>
                <w:szCs w:val="19"/>
                <w:b w:val="1"/>
                <w:bCs w:val="1"/>
                <w:color w:val="231F20"/>
              </w:rPr>
              <w:t>Item 9C.  Disclosure Regarding Foreign Jurisdictions that Prevent Inspections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93</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PART III</w:t>
            </w:r>
          </w:p>
        </w:tc>
        <w:tc>
          <w:tcPr>
            <w:tcW w:w="7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10.</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Directors, Executive Officers and Corporate Governance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83"/>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11.</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Executive Compensation</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12.</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w w:val="90"/>
              </w:rPr>
              <w:t>Security Ownership of Certain Beneficial Owners and Management and Related Stockholder</w:t>
            </w:r>
          </w:p>
        </w:tc>
        <w:tc>
          <w:tcPr>
            <w:tcW w:w="620" w:type="dxa"/>
            <w:vAlign w:val="bottom"/>
          </w:tcPr>
          <w:p>
            <w:pPr>
              <w:spacing w:after="0"/>
              <w:rPr>
                <w:sz w:val="24"/>
                <w:szCs w:val="24"/>
                <w:color w:val="auto"/>
              </w:rPr>
            </w:pPr>
          </w:p>
        </w:tc>
      </w:tr>
      <w:tr>
        <w:trPr>
          <w:trHeight w:val="223"/>
        </w:trPr>
        <w:tc>
          <w:tcPr>
            <w:tcW w:w="860" w:type="dxa"/>
            <w:vAlign w:val="bottom"/>
          </w:tcPr>
          <w:p>
            <w:pPr>
              <w:spacing w:after="0"/>
              <w:rPr>
                <w:sz w:val="19"/>
                <w:szCs w:val="19"/>
                <w:color w:val="auto"/>
              </w:rPr>
            </w:pP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Matters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13.</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Certain Relationships and Related Transactions, and Director Independence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14.</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Principal Accounting Fees and Services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PART IV</w:t>
            </w:r>
          </w:p>
        </w:tc>
        <w:tc>
          <w:tcPr>
            <w:tcW w:w="7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95</w:t>
            </w:r>
          </w:p>
        </w:tc>
      </w:tr>
      <w:tr>
        <w:trPr>
          <w:trHeight w:val="283"/>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15.</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Exhibits, Financial Statement Schedules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95</w:t>
            </w:r>
          </w:p>
        </w:tc>
      </w:tr>
      <w:tr>
        <w:trPr>
          <w:trHeight w:val="281"/>
        </w:trPr>
        <w:tc>
          <w:tcPr>
            <w:tcW w:w="860" w:type="dxa"/>
            <w:vAlign w:val="bottom"/>
          </w:tcPr>
          <w:p>
            <w:pPr>
              <w:spacing w:after="0"/>
              <w:rPr>
                <w:sz w:val="20"/>
                <w:szCs w:val="20"/>
                <w:color w:val="auto"/>
              </w:rPr>
            </w:pPr>
            <w:r>
              <w:rPr>
                <w:rFonts w:ascii="Arial" w:cs="Arial" w:eastAsia="Arial" w:hAnsi="Arial"/>
                <w:sz w:val="19"/>
                <w:szCs w:val="19"/>
                <w:b w:val="1"/>
                <w:bCs w:val="1"/>
                <w:color w:val="231F20"/>
              </w:rPr>
              <w:t>Item 16.</w:t>
            </w:r>
          </w:p>
        </w:tc>
        <w:tc>
          <w:tcPr>
            <w:tcW w:w="7580" w:type="dxa"/>
            <w:vAlign w:val="bottom"/>
          </w:tcPr>
          <w:p>
            <w:pPr>
              <w:ind w:left="40"/>
              <w:spacing w:after="0"/>
              <w:rPr>
                <w:sz w:val="20"/>
                <w:szCs w:val="20"/>
                <w:color w:val="auto"/>
              </w:rPr>
            </w:pPr>
            <w:r>
              <w:rPr>
                <w:rFonts w:ascii="Arial" w:cs="Arial" w:eastAsia="Arial" w:hAnsi="Arial"/>
                <w:sz w:val="19"/>
                <w:szCs w:val="19"/>
                <w:b w:val="1"/>
                <w:bCs w:val="1"/>
                <w:color w:val="231F20"/>
              </w:rPr>
              <w:t>Form 10-K Summary</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231F20"/>
              </w:rPr>
              <w:t>98</w:t>
            </w:r>
          </w:p>
        </w:tc>
      </w:tr>
    </w:tbl>
    <w:p>
      <w:pPr>
        <w:spacing w:after="0" w:line="200" w:lineRule="exact"/>
        <w:rPr>
          <w:sz w:val="20"/>
          <w:szCs w:val="20"/>
          <w:color w:val="auto"/>
        </w:rPr>
      </w:pP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3</w:t>
      </w:r>
    </w:p>
    <w:p>
      <w:pPr>
        <w:sectPr>
          <w:pgSz w:w="12240" w:h="15840" w:orient="portrait"/>
          <w:cols w:equalWidth="0" w:num="1">
            <w:col w:w="9360"/>
          </w:cols>
          <w:pgMar w:left="1440" w:top="1440" w:right="1440" w:bottom="424" w:gutter="0" w:footer="0" w:header="0"/>
          <w:type w:val="continuous"/>
        </w:sectPr>
      </w:pPr>
    </w:p>
    <w:bookmarkStart w:id="5" w:name="page6"/>
    <w:bookmarkEnd w:id="5"/>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FORWARD-LOOKING STATEMENTS</w:t>
      </w:r>
    </w:p>
    <w:p>
      <w:pPr>
        <w:spacing w:after="0" w:line="204"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 xml:space="preserve">This Annual Report on Form 10-K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Annual Report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Securities Act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Section 21E of the Securities Exchange Act of 1934, as amended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Exchange Act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All statements other than statements of historical facts contained in this Annual Report, including without limitation statements regarding the impact of the termination of the Merger Agreement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w:t>
      </w:r>
      <w:r>
        <w:rPr>
          <w:rFonts w:ascii="Arial" w:cs="Arial" w:eastAsia="Arial" w:hAnsi="Arial"/>
          <w:sz w:val="20"/>
          <w:szCs w:val="20"/>
          <w:b w:val="1"/>
          <w:bCs w:val="1"/>
          <w:color w:val="231F20"/>
          <w:vertAlign w:val="superscript"/>
        </w:rPr>
        <w:t>®</w:t>
      </w:r>
      <w:r>
        <w:rPr>
          <w:rFonts w:ascii="Arial" w:cs="Arial" w:eastAsia="Arial" w:hAnsi="Arial"/>
          <w:sz w:val="16"/>
          <w:szCs w:val="16"/>
          <w:b w:val="1"/>
          <w:bCs w:val="1"/>
          <w:color w:val="231F20"/>
        </w:rPr>
        <w:t xml:space="preserv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ALLY System</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43"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9"/>
          <w:szCs w:val="19"/>
          <w:b w:val="1"/>
          <w:bCs w:val="1"/>
          <w:color w:val="231F20"/>
        </w:rPr>
        <w:t xml:space="preserve">Without limiting the foregoing, in some cases, you can identify forward-looking statements by terms such as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aim</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may,</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will,</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should,</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expect,</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exploring,</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plan,</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anticipate,</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could,</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intend,</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target,</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project,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contemplate,</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believe,</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estimate,</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predict,</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potential,</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seeks,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or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continue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24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Forward-looking statements are based on our management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Risk Factors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and Part II, Item 7.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Management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Discussion and Analysis of Financial Condition and Results of Operations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in this Annual Report. These risks and uncertainties include, but are not limited to:</w:t>
      </w:r>
    </w:p>
    <w:p>
      <w:pPr>
        <w:spacing w:after="0" w:line="221" w:lineRule="exact"/>
        <w:rPr>
          <w:sz w:val="20"/>
          <w:szCs w:val="20"/>
          <w:color w:val="auto"/>
        </w:rPr>
      </w:pPr>
    </w:p>
    <w:p>
      <w:pPr>
        <w:ind w:left="840" w:right="140" w:hanging="350"/>
        <w:spacing w:after="0" w:line="233" w:lineRule="auto"/>
        <w:tabs>
          <w:tab w:leader="none" w:pos="840" w:val="left"/>
        </w:tabs>
        <w:numPr>
          <w:ilvl w:val="0"/>
          <w:numId w:val="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any anticipated effects of the termination of the Merger Agreement (as defined below) on the value of our common stock;</w:t>
      </w:r>
    </w:p>
    <w:p>
      <w:pPr>
        <w:spacing w:after="0" w:line="217"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the outcome of any legal proceedings that may be instituted against us and others relating to the Merger;</w:t>
      </w:r>
    </w:p>
    <w:p>
      <w:pPr>
        <w:spacing w:after="0" w:line="221" w:lineRule="exact"/>
        <w:rPr>
          <w:rFonts w:ascii="PMingLiU" w:cs="PMingLiU" w:eastAsia="PMingLiU" w:hAnsi="PMingLiU"/>
          <w:sz w:val="16"/>
          <w:szCs w:val="16"/>
          <w:b w:val="1"/>
          <w:bCs w:val="1"/>
          <w:color w:val="231F20"/>
        </w:rPr>
      </w:pPr>
    </w:p>
    <w:p>
      <w:pPr>
        <w:ind w:left="840" w:hanging="350"/>
        <w:spacing w:after="0"/>
        <w:tabs>
          <w:tab w:leader="none" w:pos="840" w:val="left"/>
        </w:tabs>
        <w:numPr>
          <w:ilvl w:val="0"/>
          <w:numId w:val="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history of operating losses and ability to achieve or sustain profitability;</w:t>
      </w:r>
    </w:p>
    <w:p>
      <w:pPr>
        <w:spacing w:after="0" w:line="218" w:lineRule="exact"/>
        <w:rPr>
          <w:rFonts w:ascii="PMingLiU" w:cs="PMingLiU" w:eastAsia="PMingLiU" w:hAnsi="PMingLiU"/>
          <w:sz w:val="19"/>
          <w:szCs w:val="19"/>
          <w:b w:val="1"/>
          <w:bCs w:val="1"/>
          <w:color w:val="231F20"/>
        </w:rPr>
      </w:pPr>
    </w:p>
    <w:p>
      <w:pPr>
        <w:jc w:val="both"/>
        <w:ind w:left="840" w:right="140" w:hanging="350"/>
        <w:spacing w:after="0" w:line="219" w:lineRule="exact"/>
        <w:tabs>
          <w:tab w:leader="none" w:pos="840" w:val="left"/>
        </w:tabs>
        <w:numPr>
          <w:ilvl w:val="0"/>
          <w:numId w:val="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develop, receive and maintain regulatory clearance or certification of and successfully commercialize the ALLY System and to maintain our LENSAR Laser System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LLS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(collectively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Systems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impact to our business, financial condition, results of operations and our suppliers and distributors as a result of global macroeconomic conditions;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willingness of patients to pay the price difference for our products compared to a standard cataract procedure covered by Medicare or other insurance;</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grow our U.S. sales and marketing organization or maintain or grow an effective network of international distributors;</w:t>
      </w:r>
    </w:p>
    <w:p>
      <w:pPr>
        <w:spacing w:after="0" w:line="214"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our future capital needs and our ability to raise additional funds on acceptable terms, or at all;</w:t>
      </w: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4</w:t>
      </w:r>
    </w:p>
    <w:p>
      <w:pPr>
        <w:sectPr>
          <w:pgSz w:w="12240" w:h="15840" w:orient="portrait"/>
          <w:cols w:equalWidth="0" w:num="1">
            <w:col w:w="9360"/>
          </w:cols>
          <w:pgMar w:left="1440" w:top="1440" w:right="1440" w:bottom="424" w:gutter="0" w:footer="0" w:header="0"/>
          <w:type w:val="continuous"/>
        </w:sectPr>
      </w:pPr>
    </w:p>
    <w:bookmarkStart w:id="6" w:name="page7"/>
    <w:bookmarkEnd w:id="6"/>
    <w:p>
      <w:pPr>
        <w:spacing w:after="0" w:line="216" w:lineRule="exact"/>
        <w:rPr>
          <w:sz w:val="20"/>
          <w:szCs w:val="20"/>
          <w:color w:val="auto"/>
        </w:rPr>
      </w:pPr>
    </w:p>
    <w:p>
      <w:pPr>
        <w:jc w:val="both"/>
        <w:ind w:left="840" w:right="140" w:hanging="350"/>
        <w:spacing w:after="0" w:line="277" w:lineRule="auto"/>
        <w:tabs>
          <w:tab w:leader="none" w:pos="840" w:val="left"/>
        </w:tabs>
        <w:numPr>
          <w:ilvl w:val="0"/>
          <w:numId w:val="2"/>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impact to our business, financial condition and results of operations as a result of a material disruption to the supply or manufacture of our Systems or necessary component parts for such Systems or material inflationary pressures or enacted tariffs affecting pricing of component parts;</w:t>
      </w:r>
    </w:p>
    <w:p>
      <w:pPr>
        <w:spacing w:after="0" w:line="189" w:lineRule="exact"/>
        <w:rPr>
          <w:rFonts w:ascii="PMingLiU" w:cs="PMingLiU" w:eastAsia="PMingLiU" w:hAnsi="PMingLiU"/>
          <w:sz w:val="17"/>
          <w:szCs w:val="17"/>
          <w:b w:val="1"/>
          <w:bCs w:val="1"/>
          <w:color w:val="231F20"/>
        </w:rPr>
      </w:pPr>
    </w:p>
    <w:p>
      <w:pPr>
        <w:ind w:left="840" w:right="140" w:hanging="350"/>
        <w:spacing w:after="0" w:line="233" w:lineRule="auto"/>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compete against competitors that have longer operating histories, more established products and greater resources than we do;</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address the numerous risks associated with marketing, selling and leasing our products in markets outside the United States;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impact to our business, financial condition and results of operations as a result of exposure to the credit risk of our customers;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accurately forecast customer demand and manage our inventory levels;</w:t>
      </w:r>
    </w:p>
    <w:p>
      <w:pPr>
        <w:spacing w:after="0" w:line="216" w:lineRule="exact"/>
        <w:rPr>
          <w:rFonts w:ascii="PMingLiU" w:cs="PMingLiU" w:eastAsia="PMingLiU" w:hAnsi="PMingLiU"/>
          <w:sz w:val="19"/>
          <w:szCs w:val="19"/>
          <w:b w:val="1"/>
          <w:bCs w:val="1"/>
          <w:color w:val="231F20"/>
        </w:rPr>
      </w:pPr>
    </w:p>
    <w:p>
      <w:pPr>
        <w:jc w:val="both"/>
        <w:ind w:left="840" w:right="140" w:hanging="350"/>
        <w:spacing w:after="0" w:line="277" w:lineRule="auto"/>
        <w:tabs>
          <w:tab w:leader="none" w:pos="840" w:val="left"/>
        </w:tabs>
        <w:numPr>
          <w:ilvl w:val="0"/>
          <w:numId w:val="2"/>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spacing w:after="0" w:line="189" w:lineRule="exact"/>
        <w:rPr>
          <w:rFonts w:ascii="PMingLiU" w:cs="PMingLiU" w:eastAsia="PMingLiU" w:hAnsi="PMingLiU"/>
          <w:sz w:val="17"/>
          <w:szCs w:val="17"/>
          <w:b w:val="1"/>
          <w:bCs w:val="1"/>
          <w:color w:val="231F20"/>
        </w:rPr>
      </w:pPr>
    </w:p>
    <w:p>
      <w:pPr>
        <w:ind w:left="840" w:right="140" w:hanging="350"/>
        <w:spacing w:after="0" w:line="233" w:lineRule="auto"/>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impact to our business, financial condition and results of operations of product liability suits brought against us;</w:t>
      </w:r>
    </w:p>
    <w:p>
      <w:pPr>
        <w:spacing w:after="0" w:line="200"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risks related to government regulation applicable to our products and operations; and</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risks related to our intellectual property and other intellectual property matters.</w:t>
      </w:r>
    </w:p>
    <w:p>
      <w:pPr>
        <w:spacing w:after="0" w:line="24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Moreover, we operate in an evolving environment. New risk factors and uncertainties may emerge from time to time, and it is not possible for management to predict all risk factors and uncertainties.</w:t>
      </w:r>
    </w:p>
    <w:p>
      <w:pPr>
        <w:spacing w:after="0" w:line="244"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213"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 xml:space="preserve">Unless otherwise stated or the context requires otherwise, references to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LENSAR,</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Company,</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we,</w:t>
      </w:r>
      <w:r>
        <w:rPr>
          <w:rFonts w:ascii="PMingLiU" w:cs="PMingLiU" w:eastAsia="PMingLiU" w:hAnsi="PMingLiU"/>
          <w:sz w:val="19"/>
          <w:szCs w:val="19"/>
          <w:b w:val="1"/>
          <w:bCs w:val="1"/>
          <w:color w:val="231F20"/>
        </w:rPr>
        <w:t> </w:t>
      </w:r>
      <w:r>
        <w:rPr>
          <w:rFonts w:ascii="Arial" w:cs="Arial" w:eastAsia="Arial" w:hAnsi="Arial"/>
          <w:sz w:val="19"/>
          <w:szCs w:val="19"/>
          <w:b w:val="1"/>
          <w:bCs w:val="1"/>
          <w:color w:val="231F20"/>
        </w:rPr>
        <w:t>us,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and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our,</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refer to LENSAR,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TRADEMARKS AND TRADE NAMES</w:t>
      </w:r>
    </w:p>
    <w:p>
      <w:pPr>
        <w:spacing w:after="0" w:line="204"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ALLY Robotic Laser Cataract Surgery, Robotic Laser Cataract Surgery, and the Robotic Laser Cataract Surgery logo, each of which is considered a trademark. All other company names, product names, trade names and trademarks included in this Annual Report are trademarks, registered trademarks or trade names of their respective owners.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MARKET AND INDUSTRY DATA AND FORECASTS</w:t>
      </w:r>
    </w:p>
    <w:p>
      <w:pPr>
        <w:spacing w:after="0" w:line="202"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 xml:space="preserve">In this Annual Report, we present certain market and industry data and statistics. This information is based on third-party sources, which we believe to be reliable. We have not independently verified data from these sources and cannot guarantee their accuracy or completeness. While we are not aware of any misstatements regarding industry data provided herein, our estimates involve risks and uncertainties and are subject to change based upon various factors, including those discussed in this Annual Report under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Forward-Looking Statements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Part I, Item 1A.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Risk Factors.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Additionally, some data in this Annual Report is based on our good faith estimates, which are</w:t>
      </w: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5</w:t>
      </w:r>
    </w:p>
    <w:p>
      <w:pPr>
        <w:sectPr>
          <w:pgSz w:w="12240" w:h="15840" w:orient="portrait"/>
          <w:cols w:equalWidth="0" w:num="1">
            <w:col w:w="9360"/>
          </w:cols>
          <w:pgMar w:left="1440" w:top="1440" w:right="1440" w:bottom="424" w:gutter="0" w:footer="0" w:header="0"/>
          <w:type w:val="continuous"/>
        </w:sectPr>
      </w:pPr>
    </w:p>
    <w:bookmarkStart w:id="7" w:name="page8"/>
    <w:bookmarkEnd w:id="7"/>
    <w:p>
      <w:pPr>
        <w:spacing w:after="0" w:line="201"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7"/>
          <w:szCs w:val="17"/>
          <w:b w:val="1"/>
          <w:bCs w:val="1"/>
          <w:color w:val="231F20"/>
        </w:rPr>
        <w:t>derived from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knowledge of the industry and independent sources. Similarly, we believe our internal research is reliable, however, such research has not been verified by any independent sources.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RISK FACTOR SUMMARY</w:t>
      </w:r>
    </w:p>
    <w:p>
      <w:pPr>
        <w:spacing w:after="0" w:line="204"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7"/>
          <w:szCs w:val="17"/>
          <w:b w:val="1"/>
          <w:bCs w:val="1"/>
          <w:color w:val="231F20"/>
        </w:rPr>
        <w:t xml:space="preserve">Our business is subject to numerous risks and uncertainties, including those described in Part I, Item 1A.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Risk Factors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in this Annual Report. You should carefully consider these risks and uncertainties when investing in our common stock. The principal risks and uncertainties affecting our business include the following:</w:t>
      </w:r>
    </w:p>
    <w:p>
      <w:pPr>
        <w:spacing w:after="0" w:line="220" w:lineRule="exact"/>
        <w:rPr>
          <w:sz w:val="20"/>
          <w:szCs w:val="20"/>
          <w:color w:val="auto"/>
        </w:rPr>
      </w:pPr>
    </w:p>
    <w:p>
      <w:pPr>
        <w:ind w:left="840" w:right="140" w:hanging="350"/>
        <w:spacing w:after="0" w:line="232"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announcement of the termination of the Merger Agreement could negatively impact our business, financial condition, results of operations or our stock price.</w:t>
      </w:r>
    </w:p>
    <w:p>
      <w:pPr>
        <w:spacing w:after="0" w:line="218"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may experience shareholder litigation related to the termination of the Merger Agreement, which could result in payment of damages.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results have been in the past, and could be in the future, adversely affected by economic uncertainty or deteriorations in economic conditions.</w:t>
      </w:r>
    </w:p>
    <w:p>
      <w:pPr>
        <w:spacing w:after="0" w:line="217" w:lineRule="exact"/>
        <w:rPr>
          <w:rFonts w:ascii="PMingLiU" w:cs="PMingLiU" w:eastAsia="PMingLiU" w:hAnsi="PMingLiU"/>
          <w:sz w:val="19"/>
          <w:szCs w:val="19"/>
          <w:b w:val="1"/>
          <w:bCs w:val="1"/>
          <w:color w:val="231F20"/>
        </w:rPr>
      </w:pPr>
    </w:p>
    <w:p>
      <w:pPr>
        <w:ind w:left="840" w:right="140" w:hanging="350"/>
        <w:spacing w:after="0" w:line="253" w:lineRule="auto"/>
        <w:tabs>
          <w:tab w:leader="none" w:pos="840" w:val="left"/>
        </w:tabs>
        <w:numPr>
          <w:ilvl w:val="0"/>
          <w:numId w:val="3"/>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We have experienced and expect to incur operating losses for the near-term future and we cannot assure you that we will be able to generate sufficient revenue to achieve or sustain profitability.</w:t>
      </w:r>
    </w:p>
    <w:p>
      <w:pPr>
        <w:spacing w:after="0" w:line="207" w:lineRule="exact"/>
        <w:rPr>
          <w:rFonts w:ascii="PMingLiU" w:cs="PMingLiU" w:eastAsia="PMingLiU" w:hAnsi="PMingLiU"/>
          <w:sz w:val="18"/>
          <w:szCs w:val="18"/>
          <w:b w:val="1"/>
          <w:bCs w:val="1"/>
          <w:color w:val="231F20"/>
        </w:rPr>
      </w:pPr>
    </w:p>
    <w:p>
      <w:pPr>
        <w:jc w:val="both"/>
        <w:ind w:left="840" w:right="140" w:hanging="350"/>
        <w:spacing w:after="0" w:line="298" w:lineRule="auto"/>
        <w:tabs>
          <w:tab w:leader="none" w:pos="840" w:val="left"/>
        </w:tabs>
        <w:numPr>
          <w:ilvl w:val="0"/>
          <w:numId w:val="3"/>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73" w:lineRule="exact"/>
        <w:rPr>
          <w:rFonts w:ascii="PMingLiU" w:cs="PMingLiU" w:eastAsia="PMingLiU" w:hAnsi="PMingLiU"/>
          <w:sz w:val="16"/>
          <w:szCs w:val="16"/>
          <w:b w:val="1"/>
          <w:bCs w:val="1"/>
          <w:color w:val="231F20"/>
        </w:rPr>
      </w:pPr>
    </w:p>
    <w:p>
      <w:pPr>
        <w:ind w:left="840" w:right="140" w:hanging="350"/>
        <w:spacing w:after="0" w:line="233"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growth depends on our ability to gain regulatory clearances and certifications, as well as our ability to meet production goals for our ALLY System.</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55" w:lineRule="auto"/>
        <w:tabs>
          <w:tab w:leader="none" w:pos="840" w:val="left"/>
        </w:tabs>
        <w:numPr>
          <w:ilvl w:val="0"/>
          <w:numId w:val="3"/>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204" w:lineRule="exact"/>
        <w:rPr>
          <w:rFonts w:ascii="PMingLiU" w:cs="PMingLiU" w:eastAsia="PMingLiU" w:hAnsi="PMingLiU"/>
          <w:sz w:val="18"/>
          <w:szCs w:val="18"/>
          <w:b w:val="1"/>
          <w:bCs w:val="1"/>
          <w:color w:val="231F20"/>
        </w:rPr>
      </w:pPr>
    </w:p>
    <w:p>
      <w:pPr>
        <w:jc w:val="both"/>
        <w:ind w:left="840" w:right="140" w:hanging="350"/>
        <w:spacing w:after="0" w:line="237"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future capital needs are uncertain and we may need to raise additional funds in the future, and such funds may not be available on acceptable terms or at all.</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54" w:lineRule="auto"/>
        <w:tabs>
          <w:tab w:leader="none" w:pos="840" w:val="left"/>
        </w:tabs>
        <w:numPr>
          <w:ilvl w:val="0"/>
          <w:numId w:val="3"/>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207" w:lineRule="exact"/>
        <w:rPr>
          <w:rFonts w:ascii="PMingLiU" w:cs="PMingLiU" w:eastAsia="PMingLiU" w:hAnsi="PMingLiU"/>
          <w:sz w:val="18"/>
          <w:szCs w:val="18"/>
          <w:b w:val="1"/>
          <w:bCs w:val="1"/>
          <w:color w:val="231F20"/>
        </w:rPr>
      </w:pPr>
    </w:p>
    <w:p>
      <w:pPr>
        <w:ind w:left="840" w:right="140" w:hanging="350"/>
        <w:spacing w:after="0" w:line="282" w:lineRule="auto"/>
        <w:tabs>
          <w:tab w:leader="none" w:pos="840" w:val="left"/>
        </w:tabs>
        <w:numPr>
          <w:ilvl w:val="0"/>
          <w:numId w:val="3"/>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We currently compete, and expect to compete in the future, against other companies, some of which have longer operating histories, more established products or greater resources than we do.</w:t>
      </w:r>
    </w:p>
    <w:p>
      <w:pPr>
        <w:spacing w:after="0" w:line="183" w:lineRule="exact"/>
        <w:rPr>
          <w:rFonts w:ascii="PMingLiU" w:cs="PMingLiU" w:eastAsia="PMingLiU" w:hAnsi="PMingLiU"/>
          <w:sz w:val="17"/>
          <w:szCs w:val="17"/>
          <w:b w:val="1"/>
          <w:bCs w:val="1"/>
          <w:color w:val="231F20"/>
        </w:rPr>
      </w:pPr>
    </w:p>
    <w:p>
      <w:pPr>
        <w:ind w:left="840" w:right="140" w:hanging="350"/>
        <w:spacing w:after="0" w:line="233" w:lineRule="auto"/>
        <w:tabs>
          <w:tab w:leader="none" w:pos="840" w:val="left"/>
        </w:tabs>
        <w:numPr>
          <w:ilvl w:val="0"/>
          <w:numId w:val="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To successfully market, sell and lease our products in markets outside of the United States, we must address many international business risks with which we have limited experience.</w:t>
      </w:r>
    </w:p>
    <w:p>
      <w:pPr>
        <w:spacing w:after="0" w:line="217" w:lineRule="exact"/>
        <w:rPr>
          <w:rFonts w:ascii="PMingLiU" w:cs="PMingLiU" w:eastAsia="PMingLiU" w:hAnsi="PMingLiU"/>
          <w:sz w:val="19"/>
          <w:szCs w:val="19"/>
          <w:b w:val="1"/>
          <w:bCs w:val="1"/>
          <w:color w:val="231F20"/>
        </w:rPr>
      </w:pPr>
    </w:p>
    <w:p>
      <w:pPr>
        <w:ind w:left="840" w:right="140" w:hanging="350"/>
        <w:spacing w:after="0" w:line="316" w:lineRule="auto"/>
        <w:tabs>
          <w:tab w:leader="none" w:pos="840" w:val="left"/>
        </w:tabs>
        <w:numPr>
          <w:ilvl w:val="0"/>
          <w:numId w:val="3"/>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Our products and operations are subject to extensive government regulation and oversight both in the United States and abroad, and our failure to comply with applicable requirements could harm our business.</w:t>
      </w:r>
    </w:p>
    <w:p>
      <w:pPr>
        <w:spacing w:after="0" w:line="157" w:lineRule="exact"/>
        <w:rPr>
          <w:rFonts w:ascii="PMingLiU" w:cs="PMingLiU" w:eastAsia="PMingLiU" w:hAnsi="PMingLiU"/>
          <w:sz w:val="16"/>
          <w:szCs w:val="16"/>
          <w:b w:val="1"/>
          <w:bCs w:val="1"/>
          <w:color w:val="231F20"/>
        </w:rPr>
      </w:pPr>
    </w:p>
    <w:p>
      <w:pPr>
        <w:jc w:val="both"/>
        <w:ind w:left="840" w:right="140" w:hanging="350"/>
        <w:spacing w:after="0" w:line="256" w:lineRule="auto"/>
        <w:tabs>
          <w:tab w:leader="none" w:pos="840" w:val="left"/>
        </w:tabs>
        <w:numPr>
          <w:ilvl w:val="0"/>
          <w:numId w:val="3"/>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6</w:t>
      </w:r>
    </w:p>
    <w:p>
      <w:pPr>
        <w:sectPr>
          <w:pgSz w:w="12240" w:h="15840" w:orient="portrait"/>
          <w:cols w:equalWidth="0" w:num="1">
            <w:col w:w="9360"/>
          </w:cols>
          <w:pgMar w:left="1440" w:top="1440" w:right="1440" w:bottom="424" w:gutter="0" w:footer="0" w:header="0"/>
          <w:type w:val="continuous"/>
        </w:sectPr>
      </w:pPr>
    </w:p>
    <w:bookmarkStart w:id="8" w:name="page9"/>
    <w:bookmarkEnd w:id="8"/>
    <w:p>
      <w:pPr>
        <w:spacing w:after="0" w:line="216" w:lineRule="exact"/>
        <w:rPr>
          <w:sz w:val="20"/>
          <w:szCs w:val="20"/>
          <w:color w:val="auto"/>
        </w:rPr>
      </w:pPr>
    </w:p>
    <w:p>
      <w:pPr>
        <w:ind w:left="840" w:hanging="350"/>
        <w:spacing w:after="0"/>
        <w:tabs>
          <w:tab w:leader="none" w:pos="840" w:val="left"/>
        </w:tabs>
        <w:numPr>
          <w:ilvl w:val="0"/>
          <w:numId w:val="4"/>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Our success will depend on our ability to obtain, maintain and protect our intellectual property rights.</w:t>
      </w: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7</w:t>
      </w:r>
    </w:p>
    <w:p>
      <w:pPr>
        <w:sectPr>
          <w:pgSz w:w="12240" w:h="15840" w:orient="portrait"/>
          <w:cols w:equalWidth="0" w:num="1">
            <w:col w:w="9360"/>
          </w:cols>
          <w:pgMar w:left="1440" w:top="1440" w:right="1440" w:bottom="424" w:gutter="0" w:footer="0" w:header="0"/>
          <w:type w:val="continuous"/>
        </w:sectPr>
      </w:pPr>
    </w:p>
    <w:bookmarkStart w:id="9" w:name="page10"/>
    <w:bookmarkEnd w:id="9"/>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PART I</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 Business</w:t>
      </w:r>
    </w:p>
    <w:p>
      <w:pPr>
        <w:spacing w:after="0" w:line="128"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We are a commercial-stage medical device company focused on designing, developing and marketing advanced laser systems for the treatment of cataracts and the management of pre-existing or surgically induced corneal astigmatism. Our current systems, the LENSAR Laser System, or LLS, and ALLY Robotic Cataract Laser System</w:t>
      </w:r>
      <w:r>
        <w:rPr>
          <w:rFonts w:ascii="Arial" w:cs="Arial" w:eastAsia="Arial" w:hAnsi="Arial"/>
          <w:sz w:val="22"/>
          <w:szCs w:val="22"/>
          <w:b w:val="1"/>
          <w:bCs w:val="1"/>
          <w:color w:val="231F20"/>
          <w:vertAlign w:val="superscript"/>
        </w:rPr>
        <w:t>®</w:t>
      </w:r>
      <w:r>
        <w:rPr>
          <w:rFonts w:ascii="Arial" w:cs="Arial" w:eastAsia="Arial" w:hAnsi="Arial"/>
          <w:sz w:val="17"/>
          <w:szCs w:val="17"/>
          <w:b w:val="1"/>
          <w:bCs w:val="1"/>
          <w:color w:val="231F20"/>
        </w:rPr>
        <w:t>, or ALLY System, or collectively, the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laser systems that can be quickly and efficiently integrated into a surgeon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existing practice, is easy to use and provides surgeons the ability to deliver improved visual outcomes with enhanced precision and the ability to do so consistently. The ALLY System combines all of the features from our LLS with a dual-modality laser, integrated in a small, compact cataract treatment system that is designed to allow surgeons to perform sterile cataract surgery in a single operating room. This system is designed to be a significant medical advancement and provide improved efficiency and financial benefit to a surgeon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practice and to ambulatory surgery centers, or ASCs. The ALLY System received clearance from the U.S. Food and Drug Administration, or FDA, in June 2022, and we executed a controlled and targeted initial launch of the ALLY System in August 2022. The ALLY System is available to all U.S. and EU cataract surgeons and has also received regulatory clearance in India, Taiwan, as well as certain other countries.</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Market Overview</w:t>
      </w:r>
    </w:p>
    <w:p>
      <w:pPr>
        <w:spacing w:after="0" w:line="243"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The global market for the treatment of cataracts is characterized by large patient populations with increases driven by the aging population and the availability of new technologies, such as laser systems used during cataract surgery and an influx of new, innovative intraocular lenses, or IOLs, which can improve visual outcomes post-operatively. Cataract surgery is one of the highest volume surgical procedures in the world, and according to the American Academy of Ophthalmology, or AAO, the most common procedure performed by the ophthalmic surgeon. According to the 2025 Cataract Surgical Equipment Market Report, global estimated cataract surgery and refractive lens exchange surgical procedures (cataract surgery) are expected to grow from 33.1 million in 2025 to 39.6 million in 2030. In the United States, cataract surgery is expected to increase from almost 5.1 million procedures in 2025 to approximately 5.9 million in 2030. However, in 2025, only 1 million of the global cataract surgeries were performed using a laser. This is expected to grow to an estimated 1.2 million of the global cataract procedures in 2030. There are approximately 9,419 ophthalmic surgeons in the United States focused on performing cataract procedures.</w:t>
      </w:r>
    </w:p>
    <w:p>
      <w:pPr>
        <w:spacing w:after="0" w:line="31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Cataracts and Cataract Surgery</w:t>
      </w:r>
    </w:p>
    <w:p>
      <w:pPr>
        <w:spacing w:after="0" w:line="243"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A cataract occurs when the normally clear lens of the eye becomes cloudy or opaque, causing a decrease in vision. The clouding of this lens caused by a cataract can cause blurring and distortion of vision, colors that seem faded, glare or halos from lights at night, diminished vision and double vision. Cataracts typically affect both eyes, but it is not uncommon for a cataract in one eye to advance more rapidly. In most cases, the cataract is a naturally occurring process that is age-related, although it can also be caused by heredity, an injury to the eye or after surgery for another eye problem, such as glaucoma. Currently, the only way to treat cataracts is to surgically remove the natural lens of the eye.</w:t>
      </w:r>
    </w:p>
    <w:p>
      <w:pPr>
        <w:spacing w:after="0" w:line="229"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Traditional cataract surgeries are performed by a surgeon using a metal or diamond blade to perform the corneal incisions to enter the eye, and a bent needle to perform the anterior capsulorhexis to provide the surgeon access to the nucleus of the cataract for fragmentation and subsequent removal. Over the last decade, laser systems have been developed to assist surgeons in performing or facilitating these aspects of the cataract procedure, including assessing and fragmenting the cataract. In either case, cataract nucleus disassembly and removal is achieved using a process with ultrasound called phacoemulsification. Currently, Medicare and most commercial third-party payors only cover the cost of traditional cataract surgery and the placement of a monofocal IOL, which may not produce the targeted visual outcome. To achieve their targeted visual outcome, patients may elect to have an advanced procedure that involves use of a laser system and/or implantation of a premium IOL, and/or addresses their pre-existing</w:t>
      </w: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8</w:t>
      </w:r>
    </w:p>
    <w:p>
      <w:pPr>
        <w:sectPr>
          <w:pgSz w:w="12240" w:h="15840" w:orient="portrait"/>
          <w:cols w:equalWidth="0" w:num="1">
            <w:col w:w="9360"/>
          </w:cols>
          <w:pgMar w:left="1440" w:top="1440" w:right="1440" w:bottom="424" w:gutter="0" w:footer="0" w:header="0"/>
          <w:type w:val="continuous"/>
        </w:sectPr>
      </w:pPr>
    </w:p>
    <w:bookmarkStart w:id="10" w:name="page11"/>
    <w:bookmarkEnd w:id="10"/>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astigmatism in which case the patient is responsible for the cost differential between the amount reimbursed by a third-party payor and the cost of the advanced procedure.</w:t>
      </w:r>
    </w:p>
    <w:p>
      <w:pPr>
        <w:spacing w:after="0" w:line="244"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 xml:space="preserve">The majority of patients suffering from cataracts also present with visually significant astigmatism. Astigmatism is an imperfection in the symmetry of the cornea, creating a different, additional focal plane in a specific axis within the cornea. This causes a distortion of the light as it converges on the retina and causes blurry vision. In 2025, Market Scope referenced data from a clinical study of 6,000 patients performed by Warren Hill, MD that estimates that approximately 70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90% of cataract patients present with addressable astigmatism prior to cataract surgery. To reduce the need for prescription distance or reading glasses following cataract surgery, it is important that little or no astigmatism remain. Conventionally, residual post-operative astigmatism has been targeted at less than or equal to 0.5 diopters, the unit measure of the refractive power of a lens. Surgeons may attempt to address low to moderate magnitudes of astigmatism using a procedure called limbal relaxing incisions, or LRIs, or arcuate incisions, or AIs. LRIs or AIs are performed by making two small incisions on the cornea, usually 180 degrees apart that are intended to return the cornea to a rounder, symmetrical shape. Corneal incisions used by surgeons as a means to manage astigmatism that are performed with a laser are referred to as AIs. More recently, and where the magnitude of astigmatism is higher, toric IOLs may be used to both correct the patient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near or far vision and address any pre-existing astigmatism.</w:t>
      </w:r>
    </w:p>
    <w:p>
      <w:pPr>
        <w:spacing w:after="0" w:line="244"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Use of a laser during cataract surgery. In the last 10 to 15 years, special laser systems have been developed to assist surgeons in performing or facilitating the various aspects of cataract procedures. The use of a laser during cataract surgery allows the surgeon to use advanced imaging techniques to design a precise surgical plan and a femtosecond laser, the same type of laser engine used to cut the flaps in LASIK corrective procedures, to make the AIs and perform the capsulorhexis. The intent is to create an incision with a specific location, depth and length that can be performed exactly without the variable of surgeon experience or the individual variances in the anatomy of the patient. The laser can also be used to soften and fragment the nucleus of the cataract before phacoemulsification, which can reduce the amount of phacoemulsification energy required to break up and remove the cataract and reduce the chance of certain complications. After phacoemulsification, the surgeon replaces the natural lens with an IOL and the incision is closed without the need for suture.</w:t>
      </w:r>
    </w:p>
    <w:p>
      <w:pPr>
        <w:spacing w:after="0" w:line="31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Transition to Advanced Refractive Cataract Procedures</w:t>
      </w:r>
    </w:p>
    <w:p>
      <w:pPr>
        <w:spacing w:after="0" w:line="204"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Currently, Medicare and most commercial third-party payors only cover the cost of treating the medical condition of the cataract, which can be accomplished with traditional cataract surgery and the placement of a monofocal IOL. Standard or traditional cataract surgery does not specifically address the outcomes associated with astigmatism and presbyopia, which may be addressed in an advanced refractive procedure involving the use of a laser during cataract surgery for cataract removal and implantation of a premium IOL. However, since the advantages of these advanced refractive cataract procedures are not deemed medically necessary, patients seeking either or both alternatives must pay the difference between the reimbursed amount and the cost of the advanced procedure that includes implantation of a premium IOL.</w:t>
      </w:r>
    </w:p>
    <w:p>
      <w:pPr>
        <w:spacing w:after="0" w:line="21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believe that these advanced procedures that include implantation of a premium IOL offer physicians and patients additional benefits and improved outcomes that justify the additional cost. For example, some of the benefits of using a laser during cataract surgery include:</w:t>
      </w:r>
    </w:p>
    <w:p>
      <w:pPr>
        <w:spacing w:after="0" w:line="217" w:lineRule="exact"/>
        <w:rPr>
          <w:sz w:val="20"/>
          <w:szCs w:val="20"/>
          <w:color w:val="auto"/>
        </w:rPr>
      </w:pPr>
    </w:p>
    <w:p>
      <w:pPr>
        <w:jc w:val="both"/>
        <w:ind w:left="840" w:right="140" w:hanging="350"/>
        <w:spacing w:after="0" w:line="222" w:lineRule="exact"/>
        <w:tabs>
          <w:tab w:leader="none" w:pos="840" w:val="left"/>
        </w:tabs>
        <w:numPr>
          <w:ilvl w:val="0"/>
          <w:numId w:val="5"/>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Improved accuracy. Most laser systems cleared for the treatment of cataracts contain imaging tools that assist the surgeon in modeling the eye and developing a surgical plan for the procedure, including the precise placement and location of the capsulorhexis and identifying the axis of astigmatism in each patient. After the surgeon has developed and chosen the plan to proceed, the system itself can make the appropriate capsulotomy, including the incisions prescribed in the plan, without reliance on the surgeon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manual capabilities to size, shape and locate the capsulorhexis, and appropriately place the AIs to minimize any further inducement of astigmatism. This is intended to optimize reproducibility and precision in the optimal placement of the capsulorhexis or location of the AIs, customized to each patient and IOL selection.</w:t>
      </w:r>
    </w:p>
    <w:p>
      <w:pPr>
        <w:spacing w:after="0" w:line="220" w:lineRule="exact"/>
        <w:rPr>
          <w:rFonts w:ascii="PMingLiU" w:cs="PMingLiU" w:eastAsia="PMingLiU" w:hAnsi="PMingLiU"/>
          <w:sz w:val="16"/>
          <w:szCs w:val="16"/>
          <w:b w:val="1"/>
          <w:bCs w:val="1"/>
          <w:color w:val="231F20"/>
        </w:rPr>
      </w:pPr>
    </w:p>
    <w:p>
      <w:pPr>
        <w:jc w:val="both"/>
        <w:ind w:left="840" w:right="140" w:hanging="350"/>
        <w:spacing w:after="0" w:line="316" w:lineRule="auto"/>
        <w:tabs>
          <w:tab w:leader="none" w:pos="840" w:val="left"/>
        </w:tabs>
        <w:numPr>
          <w:ilvl w:val="0"/>
          <w:numId w:val="5"/>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Reproducibility. Studies have shown that laser capsulotomies are consistently more round and more precise in sizing to enable better centering and capsulorhexis overlap of the IOL and that IOL positioning is an</w:t>
      </w:r>
    </w:p>
    <w:p>
      <w:pPr>
        <w:sectPr>
          <w:pgSz w:w="12240" w:h="15840" w:orient="portrait"/>
          <w:cols w:equalWidth="0" w:num="1">
            <w:col w:w="9360"/>
          </w:cols>
          <w:pgMar w:left="1440" w:top="1440" w:right="14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9</w:t>
      </w:r>
    </w:p>
    <w:p>
      <w:pPr>
        <w:sectPr>
          <w:pgSz w:w="12240" w:h="15840" w:orient="portrait"/>
          <w:cols w:equalWidth="0" w:num="1">
            <w:col w:w="9360"/>
          </w:cols>
          <w:pgMar w:left="1440" w:top="1440" w:right="1440" w:bottom="424" w:gutter="0" w:footer="0" w:header="0"/>
          <w:type w:val="continuous"/>
        </w:sectPr>
      </w:pPr>
    </w:p>
    <w:bookmarkStart w:id="11" w:name="page12"/>
    <w:bookmarkEnd w:id="11"/>
    <w:p>
      <w:pPr>
        <w:spacing w:after="0" w:line="201" w:lineRule="exact"/>
        <w:rPr>
          <w:sz w:val="20"/>
          <w:szCs w:val="20"/>
          <w:color w:val="auto"/>
        </w:rPr>
      </w:pPr>
    </w:p>
    <w:p>
      <w:pPr>
        <w:ind w:left="840" w:right="140"/>
        <w:spacing w:after="0" w:line="239" w:lineRule="auto"/>
        <w:rPr>
          <w:sz w:val="20"/>
          <w:szCs w:val="20"/>
          <w:color w:val="auto"/>
        </w:rPr>
      </w:pPr>
      <w:r>
        <w:rPr>
          <w:rFonts w:ascii="Arial" w:cs="Arial" w:eastAsia="Arial" w:hAnsi="Arial"/>
          <w:sz w:val="19"/>
          <w:szCs w:val="19"/>
          <w:b w:val="1"/>
          <w:bCs w:val="1"/>
          <w:color w:val="231F20"/>
        </w:rPr>
        <w:t>important factor in determining visual outcomes minimizing the variances associated with manual techniques.</w:t>
      </w:r>
    </w:p>
    <w:p>
      <w:pPr>
        <w:spacing w:after="0" w:line="220" w:lineRule="exact"/>
        <w:rPr>
          <w:sz w:val="20"/>
          <w:szCs w:val="20"/>
          <w:color w:val="auto"/>
        </w:rPr>
      </w:pPr>
    </w:p>
    <w:p>
      <w:pPr>
        <w:jc w:val="both"/>
        <w:ind w:left="840" w:right="140" w:hanging="350"/>
        <w:spacing w:after="0" w:line="296" w:lineRule="auto"/>
        <w:tabs>
          <w:tab w:leader="none" w:pos="840" w:val="left"/>
        </w:tabs>
        <w:numPr>
          <w:ilvl w:val="0"/>
          <w:numId w:val="6"/>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Reduced complications and quicker visual recovery. By using a laser to soften and fragment the cataract before phacoemulsification, less phacoemulsification energy is required to emulsify and remove the cataract. This may make the procedure safer to the inner eye and reduce the chance of complications, such as cystoid macular edema, or swelling of the eye. Use of the laser also creates less endothelial cell loss than phacoemulsification alone, contributing to clearer corneas and quicker visual recovery after surgery.</w:t>
      </w:r>
    </w:p>
    <w:p>
      <w:pPr>
        <w:spacing w:after="0" w:line="202"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Typically, patients undergoing an advanced refractive cataract procedure are paying a significant portion of the cost of the surgery out of pocket. As a result, they have heightened expectations for their visual outcomes, normally targeting vision correction within 0.5 diopters of their predicted refractive outcome, sometimes referred to as best uncorrected visual acuity. We believe these procedures and outcomes must appropriately address and manage the correction of the patient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pre-existing astigmatism. Pre-existing astigmatism is frequently not being addressed in the preoperative surgical planning and more frequently is not part of the treatment. In many cases, we believe the failure to manage the astigmatism in such a large percentage of patients is due to the lack of useful technology in surgery. For example, research indicates that for each 1 degree that a toric IOL is off axis, its ability to reduce astigmatism is decreased by approximately 3.3%. To that end, very small errors in the measurements, calculations and treatments used in the cataract procedure can significantly decrease its effectiveness in achieving the targeted visual outcome. We believe this lack of precision can be attributed to one or more of the following limitations of procedures performed with competing laser systems:</w:t>
      </w:r>
    </w:p>
    <w:p>
      <w:pPr>
        <w:spacing w:after="0" w:line="224" w:lineRule="exact"/>
        <w:rPr>
          <w:sz w:val="20"/>
          <w:szCs w:val="20"/>
          <w:color w:val="auto"/>
        </w:rPr>
      </w:pPr>
    </w:p>
    <w:p>
      <w:pPr>
        <w:jc w:val="both"/>
        <w:ind w:left="840" w:right="140" w:hanging="350"/>
        <w:spacing w:after="0" w:line="257" w:lineRule="auto"/>
        <w:tabs>
          <w:tab w:leader="none" w:pos="840" w:val="left"/>
        </w:tabs>
        <w:numPr>
          <w:ilvl w:val="0"/>
          <w:numId w:val="7"/>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Imaging that requires manual inputs. Prior to performing a cataract surgery with most existing laser systems, the surgeon must manually identify and locate the pupil and anterior capsule to place the cursors necessary to perform the capsulorhexis. The result is more likely to be a capsulorhexis that likely is marginally better than a manual surgery by being more concentric and rounder but still reduces the accuracy and reproducibility of the laser to provide useful treatment for a surgeon. In addition, several competing laser systems do not measure automatically for lens tilt and adjust the laser treatment accordingly when fragmenting the natural lens.</w:t>
      </w:r>
    </w:p>
    <w:p>
      <w:pPr>
        <w:spacing w:after="0" w:line="205" w:lineRule="exact"/>
        <w:rPr>
          <w:rFonts w:ascii="PMingLiU" w:cs="PMingLiU" w:eastAsia="PMingLiU" w:hAnsi="PMingLiU"/>
          <w:sz w:val="18"/>
          <w:szCs w:val="18"/>
          <w:b w:val="1"/>
          <w:bCs w:val="1"/>
          <w:color w:val="231F20"/>
        </w:rPr>
      </w:pPr>
    </w:p>
    <w:p>
      <w:pPr>
        <w:jc w:val="both"/>
        <w:ind w:left="840" w:right="140" w:hanging="350"/>
        <w:spacing w:after="0" w:line="222" w:lineRule="exact"/>
        <w:tabs>
          <w:tab w:leader="none" w:pos="840" w:val="left"/>
        </w:tabs>
        <w:numPr>
          <w:ilvl w:val="0"/>
          <w:numId w:val="7"/>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Inaccuracies that appear when managing astigmatism. Once the surgeon performs the appropriate calculations to determine the surgical plan, he or she will mark the eye with an ink marker to identify the proper steep axis of astigmatism used to accurately align the toric, trifocal or toric multifocal IOL. The reliability of these manual marks can be impacted by events as minor as manually transposing data from the office to the surgical record, the thickness of the marker or bleeding of the ink used when mixed with fluids. The accuracy is also impacted by the natural rotation of the patient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s eye when they move from the seated position when the measurements are taken, to a supine position for surgery. This rotation varies per patient, and the manual marking to orient the eye has to be started when the patient is seated and requires other markers before the ink marker. This can increase the cumulative effect of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stackable error,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contributing to a lack of precision in aligning the IOL.</w:t>
      </w:r>
    </w:p>
    <w:p>
      <w:pPr>
        <w:spacing w:after="0" w:line="222" w:lineRule="exact"/>
        <w:rPr>
          <w:rFonts w:ascii="PMingLiU" w:cs="PMingLiU" w:eastAsia="PMingLiU" w:hAnsi="PMingLiU"/>
          <w:sz w:val="17"/>
          <w:szCs w:val="17"/>
          <w:b w:val="1"/>
          <w:bCs w:val="1"/>
          <w:color w:val="231F20"/>
        </w:rPr>
      </w:pPr>
    </w:p>
    <w:p>
      <w:pPr>
        <w:jc w:val="both"/>
        <w:ind w:left="840" w:right="140" w:hanging="350"/>
        <w:spacing w:after="0" w:line="297" w:lineRule="auto"/>
        <w:tabs>
          <w:tab w:leader="none" w:pos="840" w:val="left"/>
        </w:tabs>
        <w:numPr>
          <w:ilvl w:val="0"/>
          <w:numId w:val="7"/>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Inability to integrate with preoperative devices to guide surgical treatment. Surgeons use a variety of different devices such as corneal topographers and imaging to obtain the preoperative measurements and data needed to develop the treatment plan. Most competing laser systems are unable to integrate with many of these devices, leaving surgeons to manually input, set up, and develop the laser treatment plan.</w:t>
      </w:r>
    </w:p>
    <w:p>
      <w:pPr>
        <w:spacing w:after="0" w:line="176" w:lineRule="exact"/>
        <w:rPr>
          <w:rFonts w:ascii="PMingLiU" w:cs="PMingLiU" w:eastAsia="PMingLiU" w:hAnsi="PMingLiU"/>
          <w:sz w:val="16"/>
          <w:szCs w:val="16"/>
          <w:b w:val="1"/>
          <w:bCs w:val="1"/>
          <w:color w:val="231F20"/>
        </w:rPr>
      </w:pPr>
    </w:p>
    <w:p>
      <w:pPr>
        <w:jc w:val="both"/>
        <w:ind w:left="840" w:right="140" w:hanging="350"/>
        <w:spacing w:after="0" w:line="222" w:lineRule="exact"/>
        <w:tabs>
          <w:tab w:leader="none" w:pos="840" w:val="left"/>
        </w:tabs>
        <w:numPr>
          <w:ilvl w:val="0"/>
          <w:numId w:val="7"/>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Deficient cataract density imaging system. Cataracts come in varying densities and lens compositions. These can range from soft, which are more easily removed with less energy, to very hard, which require much more energy, care and time during the phacoemulsification procedure. Many competing laser systems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imaging does not provide useful data and cataract grading systems designed to assist the surgeon in choosing the optimal tissue specific treatments utilizing only the energies and fragmentation necessary to reduce the amount of phacoemulsification required, contributing to less cell loss and quicker visual recoveries.</w:t>
      </w:r>
    </w:p>
    <w:p>
      <w:pPr>
        <w:spacing w:after="0" w:line="244"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As a result, we believe a significant opportunity exists for laser systems that can improve surgeon precision and assist in achieving targeted visual outcomes in patients with astigmatism.</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10</w:t>
      </w:r>
    </w:p>
    <w:p>
      <w:pPr>
        <w:sectPr>
          <w:pgSz w:w="12240" w:h="15840" w:orient="portrait"/>
          <w:cols w:equalWidth="0" w:num="1">
            <w:col w:w="9360"/>
          </w:cols>
          <w:pgMar w:left="1440" w:top="1440" w:right="1440" w:bottom="390" w:gutter="0" w:footer="0" w:header="0"/>
          <w:type w:val="continuous"/>
        </w:sectPr>
      </w:pPr>
    </w:p>
    <w:bookmarkStart w:id="12" w:name="page13"/>
    <w:bookmarkEnd w:id="12"/>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Our Products</w:t>
      </w:r>
    </w:p>
    <w:p>
      <w:pPr>
        <w:spacing w:after="0" w:line="24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believe the inability to achieve the targeted visual outcome is largely due to a failure to appropriately address corneal astigmatism even when using competing laser systems. We believe this lack of precision can be attributed to several limitations of competing laser devices, including imaging systems that require manual inputs, inaccuracies that result from reliance on manually transposing data and manually marking the eye for treatment, and competing systems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inability to use iris registration to integrate with preoperative devices. In addition, these devices may not have the ability to precisely, and in a reproducible basis through the imaging and measurement technology determine the location on optical axis or pupil center based on the surgeon's choice to place the anterior capsulorhexis. This can affect the outcomes due to less certain effective lens position with the IOL implantation. Competing devices also lack a cataract density imaging system, which allows the surgeon to customize the fragmentation and energy settings based on each individual patient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cataract.</w:t>
      </w:r>
    </w:p>
    <w:p>
      <w:pPr>
        <w:spacing w:after="0" w:line="249"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We developed our Systems to provide an alternative laser cataract treatment tool that allows the surgeon to better address astigmatism and improve visual outcomes. Our Systems incorporate a range of proprietary technology features that are designed to provide surgeons the following key benefits:</w:t>
      </w:r>
    </w:p>
    <w:p>
      <w:pPr>
        <w:spacing w:after="0" w:line="201" w:lineRule="exact"/>
        <w:rPr>
          <w:sz w:val="20"/>
          <w:szCs w:val="20"/>
          <w:color w:val="auto"/>
        </w:rPr>
      </w:pPr>
    </w:p>
    <w:p>
      <w:pPr>
        <w:ind w:left="840" w:right="140" w:hanging="350"/>
        <w:spacing w:after="0" w:line="233" w:lineRule="auto"/>
        <w:tabs>
          <w:tab w:leader="none" w:pos="840" w:val="left"/>
        </w:tabs>
        <w:numPr>
          <w:ilvl w:val="0"/>
          <w:numId w:val="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Optimizing Surgeon and Robotic Interaction. Robotic intelligence and precision to help guide and optimize every step of the cataract procedure.</w:t>
      </w:r>
    </w:p>
    <w:p>
      <w:pPr>
        <w:spacing w:after="0" w:line="203" w:lineRule="exact"/>
        <w:rPr>
          <w:sz w:val="20"/>
          <w:szCs w:val="20"/>
          <w:color w:val="auto"/>
        </w:rPr>
      </w:pPr>
    </w:p>
    <w:p>
      <w:pPr>
        <w:jc w:val="both"/>
        <w:ind w:left="1540" w:right="140"/>
        <w:spacing w:after="0" w:line="218" w:lineRule="exact"/>
        <w:rPr>
          <w:sz w:val="20"/>
          <w:szCs w:val="20"/>
          <w:color w:val="auto"/>
        </w:rPr>
      </w:pPr>
      <w:r>
        <w:rPr>
          <w:rFonts w:ascii="Arial" w:cs="Arial" w:eastAsia="Arial" w:hAnsi="Arial"/>
          <w:sz w:val="19"/>
          <w:szCs w:val="19"/>
          <w:b w:val="1"/>
          <w:bCs w:val="1"/>
          <w:color w:val="231F20"/>
        </w:rPr>
        <w:t>Superior docking. The system</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robotics is designed to optimize patient engagement to enhance patient comfort and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-242570</wp:posOffset>
            </wp:positionV>
            <wp:extent cx="62230" cy="63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85" w:lineRule="exact"/>
        <w:rPr>
          <w:sz w:val="20"/>
          <w:szCs w:val="20"/>
          <w:color w:val="auto"/>
        </w:rPr>
      </w:pPr>
    </w:p>
    <w:p>
      <w:pPr>
        <w:jc w:val="both"/>
        <w:ind w:left="1540" w:right="140"/>
        <w:spacing w:after="0" w:line="221" w:lineRule="exact"/>
        <w:rPr>
          <w:sz w:val="20"/>
          <w:szCs w:val="20"/>
          <w:color w:val="auto"/>
        </w:rPr>
      </w:pPr>
      <w:r>
        <w:rPr>
          <w:rFonts w:ascii="Arial" w:cs="Arial" w:eastAsia="Arial" w:hAnsi="Arial"/>
          <w:sz w:val="19"/>
          <w:szCs w:val="19"/>
          <w:b w:val="1"/>
          <w:bCs w:val="1"/>
          <w:color w:val="231F20"/>
        </w:rPr>
        <w:t>Robotic imaging. Our robotic imaging and processing technology collects a broad spectrum of biometric data and then reconstructs and presents a precise, three-dimensional model based on AI of each individual patient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eye that is used to develop and implement the surgeon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procedure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-526415</wp:posOffset>
            </wp:positionV>
            <wp:extent cx="62230" cy="63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85" w:lineRule="exact"/>
        <w:rPr>
          <w:sz w:val="20"/>
          <w:szCs w:val="20"/>
          <w:color w:val="auto"/>
        </w:rPr>
      </w:pPr>
    </w:p>
    <w:p>
      <w:pPr>
        <w:jc w:val="both"/>
        <w:ind w:left="1540" w:right="140"/>
        <w:spacing w:after="0" w:line="261" w:lineRule="auto"/>
        <w:rPr>
          <w:sz w:val="20"/>
          <w:szCs w:val="20"/>
          <w:color w:val="auto"/>
        </w:rPr>
      </w:pPr>
      <w:r>
        <w:rPr>
          <w:rFonts w:ascii="Arial" w:cs="Arial" w:eastAsia="Arial" w:hAnsi="Arial"/>
          <w:sz w:val="18"/>
          <w:szCs w:val="18"/>
          <w:b w:val="1"/>
          <w:bCs w:val="1"/>
          <w:color w:val="231F20"/>
        </w:rPr>
        <w:t>Robotic treatment planning. Using robotic imaging, our system develops and recommends a treatment plan designed to automate and perform various critical steps in the cataract procedure with the goal of providing surgeons with the confidence to perform these advanced procedures that include implantation of a premium IOL.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-539115</wp:posOffset>
            </wp:positionV>
            <wp:extent cx="62230" cy="63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64" w:lineRule="exact"/>
        <w:rPr>
          <w:sz w:val="20"/>
          <w:szCs w:val="20"/>
          <w:color w:val="auto"/>
        </w:rPr>
      </w:pPr>
    </w:p>
    <w:p>
      <w:pPr>
        <w:jc w:val="both"/>
        <w:ind w:left="1540" w:right="140"/>
        <w:spacing w:after="0" w:line="243" w:lineRule="auto"/>
        <w:rPr>
          <w:sz w:val="20"/>
          <w:szCs w:val="20"/>
          <w:color w:val="auto"/>
        </w:rPr>
      </w:pPr>
      <w:r>
        <w:rPr>
          <w:rFonts w:ascii="Arial" w:cs="Arial" w:eastAsia="Arial" w:hAnsi="Arial"/>
          <w:sz w:val="19"/>
          <w:szCs w:val="19"/>
          <w:b w:val="1"/>
          <w:bCs w:val="1"/>
          <w:color w:val="231F20"/>
        </w:rPr>
        <w:t>Robotic precision and reproducibility. The system has multiple robotic features specifically designed to enable precise placement and centration of the IOL in patients in a consistent and reproducible manner that is not possible in manual cataract surgery or using competing laser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-527685</wp:posOffset>
            </wp:positionV>
            <wp:extent cx="62230" cy="63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97" w:lineRule="exact"/>
        <w:rPr>
          <w:sz w:val="20"/>
          <w:szCs w:val="20"/>
          <w:color w:val="auto"/>
        </w:rPr>
      </w:pPr>
    </w:p>
    <w:p>
      <w:pPr>
        <w:jc w:val="both"/>
        <w:ind w:left="840" w:right="140" w:hanging="350"/>
        <w:spacing w:after="0" w:line="220" w:lineRule="exact"/>
        <w:tabs>
          <w:tab w:leader="none" w:pos="840" w:val="left"/>
        </w:tabs>
        <w:numPr>
          <w:ilvl w:val="0"/>
          <w:numId w:val="9"/>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Efficient design. We designed the ergonomics of the system and its wireless capabilities to enable the system to integrate seamlessly into a surgeon</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existing surgical environment. According to Market Scope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s 2025 annual survey, over 75% of U.S. cataract surgeons, indicated the importance of data transfer between diagnostic devices as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required</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to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nice to have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w:t>
      </w:r>
    </w:p>
    <w:p>
      <w:pPr>
        <w:spacing w:after="0" w:line="246"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We believe the cumulative effect of these technologies are advanced laser systems that can be quickly integrated into a surgeon</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existing practice and is easy to use. The Systems System provide surgeons the ability to deliver improved outcomes when addressing astigmatism in connection with cataract removal and to perform the surgery with enhanced precision and reproducibility.</w:t>
      </w:r>
    </w:p>
    <w:p>
      <w:pPr>
        <w:spacing w:after="0" w:line="244"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We use artificial intelligence, AI, specifically machine learning, and automated decision-making technologies, including proprietary AI machine learning algorithms and models, collectively, AI Technologies, throughout our business. For example, we use AI Technologies in our ALLY System to register and analyze patients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eyes and determine eye surface and cataract density, which is designed to helps optimize laser patterns and energy settings in cataract procedures, with the goal of minimizing the overall energy delivered in the eye for quicker visual recovery and better patient outcomes. We are in varying stages of development in relation to our products and internal business processes involving AI Technologies.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11</w:t>
      </w:r>
    </w:p>
    <w:p>
      <w:pPr>
        <w:sectPr>
          <w:pgSz w:w="12240" w:h="15840" w:orient="portrait"/>
          <w:cols w:equalWidth="0" w:num="1">
            <w:col w:w="9360"/>
          </w:cols>
          <w:pgMar w:left="1440" w:top="1440" w:right="1440" w:bottom="390" w:gutter="0" w:footer="0" w:header="0"/>
          <w:type w:val="continuous"/>
        </w:sectPr>
      </w:pPr>
    </w:p>
    <w:bookmarkStart w:id="13" w:name="page14"/>
    <w:bookmarkEnd w:id="13"/>
    <w:p>
      <w:pPr>
        <w:spacing w:after="0" w:line="201"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We are focused on continuous innovation and continue to develop, and further refine, our proprietary, next-generation robotic laser, the ALLY System. Our ALLY System is designed to combine our current core laser technology features with enhanced capabilities into a single small unit that allows surgeons to perform a robotic laser assisted cataract procedure in an operating room. The ALLY System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enhanced features include the ability to perform laser procedures much faster, as well as enabling broader applications due to it being the only commercial robotic laser incorporating a dual-modality laser. Our ALLY System received clearance from the FDA in June 2022, and we executed a controlled and targeted initial launch of the ALLY System beginning in August 2022. The ALLY System is available to all U.S. and EU cataract surgeons and has also received regulatory clearance in India, Taiwan, South Korea, as well as certain other countries.</w:t>
      </w:r>
    </w:p>
    <w:p>
      <w:pPr>
        <w:spacing w:after="0" w:line="243" w:lineRule="exact"/>
        <w:rPr>
          <w:sz w:val="20"/>
          <w:szCs w:val="20"/>
          <w:color w:val="auto"/>
        </w:rPr>
      </w:pPr>
    </w:p>
    <w:p>
      <w:pPr>
        <w:jc w:val="both"/>
        <w:ind w:left="140" w:right="140"/>
        <w:spacing w:after="0" w:line="298" w:lineRule="auto"/>
        <w:rPr>
          <w:sz w:val="20"/>
          <w:szCs w:val="20"/>
          <w:color w:val="auto"/>
        </w:rPr>
      </w:pPr>
      <w:r>
        <w:rPr>
          <w:rFonts w:ascii="Arial" w:cs="Arial" w:eastAsia="Arial" w:hAnsi="Arial"/>
          <w:sz w:val="16"/>
          <w:szCs w:val="16"/>
          <w:b w:val="1"/>
          <w:bCs w:val="1"/>
          <w:color w:val="231F20"/>
        </w:rPr>
        <w:t>Currently, almost all cataract procedures, whether manual or those using a laser, involve the use of a phacoemulsification system to fracture and remove the cataract. For most surgeons that also use a laser during cataract surgery, the laser system is stationed in a separate room from the phacoemulsification system, as the size of most operating rooms will not accommodate placement of all the other necessary equipment, and these two critical pieces of equipment operate independently. This configuration results in significant interruption in the patient flow, by requiring the patient to be moved from one room to the next during the course of the procedure.</w:t>
      </w:r>
    </w:p>
    <w:p>
      <w:pPr>
        <w:spacing w:after="0" w:line="20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have designed our ALLY System to have a small footprint, allowing it to be placed in any operating room or in-office surgery suite, to allow the surgeon to switch seamlessly and quickly between cataract laser and the surgeon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existing phacoemulsification device without moving patients from room-to-room. Importantly, this system was designed with the ergonomics in-mind to be used in the operating room or the in-office surgical suite. The footprint is significantly smaller than current laser systems and only slightly larger than stand-alone phacoemulsification systems. The additional enhancements to our existing laser technology that are incorporated into our ALLY System include a more versatile laser that uses pulse characteristics designed for tissue specific targeting with significantly faster speeds in different applications. Based on studies with ALLY System users, this system provides significant surgical workflow time savings and financial benefit to a surgeon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practice and ASC or hospital.</w:t>
      </w:r>
    </w:p>
    <w:p>
      <w:pPr>
        <w:spacing w:after="0" w:line="24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31F20"/>
        </w:rPr>
        <w:t>We believe several converging marketplace factors will encourage adoption of our ALLY System. These include:</w:t>
      </w:r>
    </w:p>
    <w:p>
      <w:pPr>
        <w:spacing w:after="0" w:line="236" w:lineRule="exact"/>
        <w:rPr>
          <w:sz w:val="20"/>
          <w:szCs w:val="20"/>
          <w:color w:val="auto"/>
        </w:rPr>
      </w:pPr>
    </w:p>
    <w:p>
      <w:pPr>
        <w:jc w:val="both"/>
        <w:ind w:left="840" w:right="140" w:hanging="350"/>
        <w:spacing w:after="0" w:line="277" w:lineRule="auto"/>
        <w:tabs>
          <w:tab w:leader="none" w:pos="840" w:val="left"/>
        </w:tabs>
        <w:numPr>
          <w:ilvl w:val="0"/>
          <w:numId w:val="10"/>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advent of many new types of advanced IOLs with complex optics, developed to correct near and distance vision with astigmatism, and the ability of the ALLY System to assist surgeons in optimizing the accurate positioning using any of these lenses to correct astigmatism for better visual outcomes;</w:t>
      </w:r>
    </w:p>
    <w:p>
      <w:pPr>
        <w:spacing w:after="0" w:line="189" w:lineRule="exact"/>
        <w:rPr>
          <w:rFonts w:ascii="PMingLiU" w:cs="PMingLiU" w:eastAsia="PMingLiU" w:hAnsi="PMingLiU"/>
          <w:sz w:val="17"/>
          <w:szCs w:val="17"/>
          <w:b w:val="1"/>
          <w:bCs w:val="1"/>
          <w:color w:val="231F20"/>
        </w:rPr>
      </w:pPr>
    </w:p>
    <w:p>
      <w:pPr>
        <w:jc w:val="both"/>
        <w:ind w:left="840" w:right="140" w:hanging="350"/>
        <w:spacing w:after="0" w:line="302" w:lineRule="auto"/>
        <w:tabs>
          <w:tab w:leader="none" w:pos="840" w:val="left"/>
        </w:tabs>
        <w:numPr>
          <w:ilvl w:val="0"/>
          <w:numId w:val="10"/>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continued pressure to improve efficiencies driven by the reduction of reimbursement in standard cataract surgery cases coupled with the ability to provide better patient visual outcomes, which we believe will motivate surgeons and patients to seek refractive outcome-based patient-pay procedures; and</w:t>
      </w:r>
    </w:p>
    <w:p>
      <w:pPr>
        <w:spacing w:after="0" w:line="168" w:lineRule="exact"/>
        <w:rPr>
          <w:rFonts w:ascii="PMingLiU" w:cs="PMingLiU" w:eastAsia="PMingLiU" w:hAnsi="PMingLiU"/>
          <w:sz w:val="16"/>
          <w:szCs w:val="16"/>
          <w:b w:val="1"/>
          <w:bCs w:val="1"/>
          <w:color w:val="231F20"/>
        </w:rPr>
      </w:pPr>
    </w:p>
    <w:p>
      <w:pPr>
        <w:jc w:val="both"/>
        <w:ind w:left="840" w:right="140" w:hanging="350"/>
        <w:spacing w:after="0" w:line="275" w:lineRule="auto"/>
        <w:tabs>
          <w:tab w:leader="none" w:pos="840" w:val="left"/>
        </w:tabs>
        <w:numPr>
          <w:ilvl w:val="0"/>
          <w:numId w:val="10"/>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COVID-19 pandemic increased awareness of efficiencies associated with faster patient throughput, less movement from having to use two rooms to complete an advanced cataract procedure, fewer patient encounters to plan, treat and to complete the advanced cataract procedure, placing the system in the ASC, operating room or in-office surgical suite. Early data suggests performing a sterile robotic laser cataract surgery procedure using the ALLY System resulted in up to 17-minute time savings for the surgeon, up to 19-minute time savings for the surgical staff, and up to 51-minute savings for the patient, allowing surgeons to shorten their surgery day or treat more patients.</w:t>
      </w:r>
    </w:p>
    <w:p>
      <w:pPr>
        <w:spacing w:after="0" w:line="177"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According to the 2025 Cataract Surgical Equipment Market Report, there were an estimated 2,085 cataract laser systems installed at the end of 2025, of which 1,960 were in markets that we service. The number of total cataract laser systems installed is expected to grow to over 2,475 devices by 2030.</w:t>
      </w:r>
    </w:p>
    <w:p>
      <w:pPr>
        <w:spacing w:after="0" w:line="184" w:lineRule="exact"/>
        <w:rPr>
          <w:sz w:val="20"/>
          <w:szCs w:val="20"/>
          <w:color w:val="auto"/>
        </w:rPr>
      </w:pPr>
    </w:p>
    <w:p>
      <w:pPr>
        <w:jc w:val="both"/>
        <w:ind w:left="140" w:right="140"/>
        <w:spacing w:after="0" w:line="297" w:lineRule="auto"/>
        <w:rPr>
          <w:sz w:val="20"/>
          <w:szCs w:val="20"/>
          <w:color w:val="auto"/>
        </w:rPr>
      </w:pPr>
      <w:r>
        <w:rPr>
          <w:rFonts w:ascii="Arial" w:cs="Arial" w:eastAsia="Arial" w:hAnsi="Arial"/>
          <w:sz w:val="16"/>
          <w:szCs w:val="16"/>
          <w:b w:val="1"/>
          <w:bCs w:val="1"/>
          <w:color w:val="231F20"/>
        </w:rPr>
        <w:t>To help encourage and facilitate this transition to our ALLY System, we are focused on reducing the cost of the system without compromising the capabilities or performance of the laser. With that in mind, the ALLY System was designed to offer more functionality and better performance than other laser systems. We believe the ALLY System's surgical efficiencies and combined functions could help drive broader penetration into the cataract surgery market and could potentially create a paradigm shift in the treatment of cataracts and management of astigmatism in cataract surgery. The overall cost of the ALLY System, may, however, increase due to, among other factors, pricing increases in component parts for our systems resulting from inflationary pressures and macroeconomic conditions.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12</w:t>
      </w:r>
    </w:p>
    <w:p>
      <w:pPr>
        <w:sectPr>
          <w:pgSz w:w="12240" w:h="15840" w:orient="portrait"/>
          <w:cols w:equalWidth="0" w:num="1">
            <w:col w:w="9360"/>
          </w:cols>
          <w:pgMar w:left="1440" w:top="1440" w:right="1440" w:bottom="390" w:gutter="0" w:footer="0" w:header="0"/>
          <w:type w:val="continuous"/>
        </w:sectPr>
      </w:pPr>
    </w:p>
    <w:bookmarkStart w:id="14" w:name="page15"/>
    <w:bookmarkEnd w:id="14"/>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Our Strengths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We attribute our current and anticipated future success to the following factors:</w:t>
      </w:r>
    </w:p>
    <w:p>
      <w:pPr>
        <w:spacing w:after="0" w:line="219" w:lineRule="exact"/>
        <w:rPr>
          <w:sz w:val="20"/>
          <w:szCs w:val="20"/>
          <w:color w:val="auto"/>
        </w:rPr>
      </w:pPr>
    </w:p>
    <w:p>
      <w:pPr>
        <w:jc w:val="both"/>
        <w:ind w:left="840" w:right="140" w:hanging="350"/>
        <w:spacing w:after="0" w:line="223" w:lineRule="exact"/>
        <w:tabs>
          <w:tab w:leader="none" w:pos="840" w:val="left"/>
        </w:tabs>
        <w:numPr>
          <w:ilvl w:val="0"/>
          <w:numId w:val="11"/>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Disruptive technology platform providing improved visual outcomes. Our systems were built specifically for laser refractive cataract surgery. Central to our systems is our propriety robotic imaging technology, which begins by using Scheimpflug imaging to scan the anterior segment of the eye, collecting a broad spectrum of biometric data. The system then uses a process called wave-tracing to take a series of two-dimensional images derived from the imaging and scanning and, through precision processing of this biometric data using AI, reconstructs a three-dimensional model of each individual patient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eye. The system identifies relevant anatomy and specific measurements within the eye, then recommends a treatment plan for their review and approval. With robotic precision, the laser places the laser pulses necessary to accomplish the desired treatment. Data presented at the 2023 annual meeting of the American Society of Cataract and Refractive Surgeons demonstrated 99% of patients receiving a toric IOL using the ALLY System, and guided by the IntelliAxis Refractive Capsulorhexis feature of the system, achieved refractive correction within 0.5 diopters of target. In addition to improving visual outcomes, our systems are designed to improve the efficiency and simplify the procedure for surgeons by including pre-programmable surgeon preferences, wireless integration with pre-operative diagnostic data, cataract density imaging, and accurate laser incision planning. We believe these features give surgeons an unprecedented reproducibility and ability to optimize their treatments to achieve LASIK-like vision correction while also improving overall efficiency for the surgeon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practice.</w:t>
      </w:r>
    </w:p>
    <w:p>
      <w:pPr>
        <w:spacing w:after="0" w:line="224" w:lineRule="exact"/>
        <w:rPr>
          <w:rFonts w:ascii="PMingLiU" w:cs="PMingLiU" w:eastAsia="PMingLiU" w:hAnsi="PMingLiU"/>
          <w:sz w:val="17"/>
          <w:szCs w:val="17"/>
          <w:b w:val="1"/>
          <w:bCs w:val="1"/>
          <w:color w:val="231F20"/>
        </w:rPr>
      </w:pPr>
    </w:p>
    <w:p>
      <w:pPr>
        <w:jc w:val="both"/>
        <w:ind w:left="840" w:right="140" w:hanging="350"/>
        <w:spacing w:after="0" w:line="275" w:lineRule="auto"/>
        <w:tabs>
          <w:tab w:leader="none" w:pos="840" w:val="left"/>
        </w:tabs>
        <w:numPr>
          <w:ilvl w:val="0"/>
          <w:numId w:val="11"/>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Demonstrated and growing commercial success. We believe our disruptive technology platform has enabled us to rapidly take market share in a highly competitive market. Based on the 2025 Cataract Surgical Equipment Market Report, it was estimated that we achieved 18.0% market share in laser cataract surgery in 2024 in terms of revenue. Additionally, when looking at the average procedures per installed device, each ALLY System averaged 624 procedures in 2025 compared to the estimated industry average of 496 procedures per year per installed device, based on a 2025 Cataract Surgical Equipment Market Report. The following chart shows procedure volume per year from 2021 to 2025:</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Procedures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82550</wp:posOffset>
            </wp:positionV>
            <wp:extent cx="4390390" cy="3467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90390" cy="346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Source: Management.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13</w:t>
      </w:r>
    </w:p>
    <w:p>
      <w:pPr>
        <w:sectPr>
          <w:pgSz w:w="12240" w:h="15840" w:orient="portrait"/>
          <w:cols w:equalWidth="0" w:num="1">
            <w:col w:w="9360"/>
          </w:cols>
          <w:pgMar w:left="1440" w:top="1440" w:right="1440" w:bottom="390" w:gutter="0" w:footer="0" w:header="0"/>
          <w:type w:val="continuous"/>
        </w:sectPr>
      </w:pPr>
    </w:p>
    <w:bookmarkStart w:id="15" w:name="page16"/>
    <w:bookmarkEnd w:id="15"/>
    <w:p>
      <w:pPr>
        <w:spacing w:after="0" w:line="216" w:lineRule="exact"/>
        <w:rPr>
          <w:sz w:val="20"/>
          <w:szCs w:val="20"/>
          <w:color w:val="auto"/>
        </w:rPr>
      </w:pPr>
    </w:p>
    <w:p>
      <w:pPr>
        <w:jc w:val="both"/>
        <w:ind w:left="840" w:right="140" w:hanging="350"/>
        <w:spacing w:after="0" w:line="292" w:lineRule="auto"/>
        <w:tabs>
          <w:tab w:leader="none" w:pos="840" w:val="left"/>
        </w:tabs>
        <w:numPr>
          <w:ilvl w:val="0"/>
          <w:numId w:val="12"/>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Improved visual outcomes that drive more advanced, patient-pay procedures. Standard cataract procedures are generally covered by Medicare and other third-party payors, including commercial health plans. However, based on the 2025 Market Scope Premium Cataract Surgery Market Report, approximately 91% of global patients receiving a standard cataract procedure do not have significant astigmatism addressed surgically and must rely on glasses for distance or near vision. Moreover, surgeon reimbursement for these standard procedures continues to decline. More advanced procedures, such as laser-assisted cataract surgery and the use of toric and multifocal premium IOLs, can address these additional vision challenges but are generally not covered by Medicare or other third-party payors. Accordingly, patients are required to pay the additional cost associated with the use of these advanced technologies. Historically, some patients may have been reluctant to incur the additional cost of a more advanced procedure that includes implantation of a premium IOL, and some surgeons may have been reluctant to recommend these procedures because of concerns that the targeted visual outcome might not be achieved. We believe the clinical data supporting the effectiveness of our laser system in assisting surgeons to achieve desired outcomes will motivate additional patients to seek, and additional surgeons to offer, these more advanced procedures that include implantation of a premium IOL.</w:t>
      </w:r>
    </w:p>
    <w:p>
      <w:pPr>
        <w:spacing w:after="0" w:line="184" w:lineRule="exact"/>
        <w:rPr>
          <w:rFonts w:ascii="PMingLiU" w:cs="PMingLiU" w:eastAsia="PMingLiU" w:hAnsi="PMingLiU"/>
          <w:sz w:val="16"/>
          <w:szCs w:val="16"/>
          <w:b w:val="1"/>
          <w:bCs w:val="1"/>
          <w:color w:val="231F20"/>
        </w:rPr>
      </w:pPr>
    </w:p>
    <w:p>
      <w:pPr>
        <w:jc w:val="both"/>
        <w:ind w:left="840" w:right="140" w:hanging="350"/>
        <w:spacing w:after="0" w:line="294" w:lineRule="auto"/>
        <w:tabs>
          <w:tab w:leader="none" w:pos="840" w:val="left"/>
        </w:tabs>
        <w:numPr>
          <w:ilvl w:val="0"/>
          <w:numId w:val="12"/>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Focus on innovation to facilitate surgeon adoption. Our systems encompass improved innovations such as wireless capability, advanced imaging, iris registration, and other features to improve their effectiveness and enhance efficiency. We have designed the ALLY System to be a compact robotic laser cataract treatment system to operate in an operating room or in-office surgical suite and allow the surgeon to switch seamlessly and quickly between laser and phacoemulsification without moving patients from room-to-room. We believe these innovations, which are intended to improve patient flow and efficiency, have the potential to allow surgeons to perform more premium procedures each surgery day, helping them to meet the expected increase in demand for cataract/refractive lens exchange surgical procedures.</w:t>
      </w:r>
    </w:p>
    <w:p>
      <w:pPr>
        <w:spacing w:after="0" w:line="179" w:lineRule="exact"/>
        <w:rPr>
          <w:rFonts w:ascii="PMingLiU" w:cs="PMingLiU" w:eastAsia="PMingLiU" w:hAnsi="PMingLiU"/>
          <w:sz w:val="16"/>
          <w:szCs w:val="16"/>
          <w:b w:val="1"/>
          <w:bCs w:val="1"/>
          <w:color w:val="231F20"/>
        </w:rPr>
      </w:pPr>
    </w:p>
    <w:p>
      <w:pPr>
        <w:jc w:val="both"/>
        <w:ind w:left="840" w:right="140" w:hanging="350"/>
        <w:spacing w:after="0" w:line="274" w:lineRule="auto"/>
        <w:tabs>
          <w:tab w:leader="none" w:pos="840" w:val="left"/>
        </w:tabs>
        <w:numPr>
          <w:ilvl w:val="0"/>
          <w:numId w:val="12"/>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Innovative intellectual property protected by a comprehensive patent portfolio. As of December 31, 2025, we owned approximately 292 issued patents and 105 pending patent applications globally. This portfolio covers key aspects of our technology, including the proprietary robotic imaging and processing, iris registration and patient interface features of our system. We have also filed and acquired significant patent rights relating to our next generation cataract treatment system. For example, we have approximately 11 pending US patent applications, 19 issued US patents, 60 pending foreign and PCT applications, and 34 issued foreign patents related to integrated systems.</w:t>
      </w:r>
    </w:p>
    <w:p>
      <w:pPr>
        <w:spacing w:after="0" w:line="194" w:lineRule="exact"/>
        <w:rPr>
          <w:rFonts w:ascii="PMingLiU" w:cs="PMingLiU" w:eastAsia="PMingLiU" w:hAnsi="PMingLiU"/>
          <w:sz w:val="17"/>
          <w:szCs w:val="17"/>
          <w:b w:val="1"/>
          <w:bCs w:val="1"/>
          <w:color w:val="231F20"/>
        </w:rPr>
      </w:pPr>
    </w:p>
    <w:p>
      <w:pPr>
        <w:jc w:val="both"/>
        <w:ind w:left="840" w:right="140" w:hanging="350"/>
        <w:spacing w:after="0" w:line="295" w:lineRule="auto"/>
        <w:tabs>
          <w:tab w:leader="none" w:pos="840" w:val="left"/>
        </w:tabs>
        <w:numPr>
          <w:ilvl w:val="0"/>
          <w:numId w:val="12"/>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Proven management team and board of directors. Our senior management team and board of directors consist of seasoned medical device professionals with deep industry experience. Our team has successfully led and managed dynamic growth phases in organizations and commercialized several products specifically in the cataract and refractive surgery field. Members of our team have worked with well-regarded, ophthalmology-focused medical technology companies such as Chiron Corporation, Alcon Inc., Advanced Medical Optics, Inc., Allergan, Inc., Bausch + Lomb and STAAR Surgical.</w:t>
      </w:r>
    </w:p>
    <w:p>
      <w:pPr>
        <w:spacing w:after="0" w:line="203"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While we believe these factors will contribute to further growth and success, we cannot assure you that the market for cataract surgery will continue to grow as we anticipate or that new disruptive technologies will not be introduced to displace our laser systems. Moreover, we must maintain and grow market acceptance for our laser systems and convince physicians and patients that the out-of-pocket costs associated with procedures that use our laser systems will produce their targeted results. If we are unable to accomplish those goals, our business could suffer.</w:t>
      </w:r>
    </w:p>
    <w:p>
      <w:pPr>
        <w:spacing w:after="0" w:line="30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Technology</w:t>
      </w:r>
    </w:p>
    <w:p>
      <w:pPr>
        <w:spacing w:after="0" w:line="128"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Our LLS and ALLY System have been built specifically for refractive cataract surgery, and at the core of our commitment to continuous technological innovation is our focus on providing cataract surgeons the tools to deliver their patients improved outcomes. The key technological features of our system include:</w:t>
      </w:r>
    </w:p>
    <w:p>
      <w:pPr>
        <w:spacing w:after="0" w:line="203" w:lineRule="exact"/>
        <w:rPr>
          <w:sz w:val="20"/>
          <w:szCs w:val="20"/>
          <w:color w:val="auto"/>
        </w:rPr>
      </w:pPr>
    </w:p>
    <w:p>
      <w:pPr>
        <w:jc w:val="both"/>
        <w:ind w:left="840" w:right="140" w:hanging="350"/>
        <w:spacing w:after="0" w:line="282" w:lineRule="auto"/>
        <w:tabs>
          <w:tab w:leader="none" w:pos="840" w:val="left"/>
        </w:tabs>
        <w:numPr>
          <w:ilvl w:val="0"/>
          <w:numId w:val="13"/>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IntelliAxis Refractive Capsulorhexis: Designed to improve precision and accuracy in outcome-based astigmatic cataract procedures, this proprietary technology enables precise marks to be placed on the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14</w:t>
      </w:r>
    </w:p>
    <w:p>
      <w:pPr>
        <w:sectPr>
          <w:pgSz w:w="12240" w:h="15840" w:orient="portrait"/>
          <w:cols w:equalWidth="0" w:num="1">
            <w:col w:w="9360"/>
          </w:cols>
          <w:pgMar w:left="1440" w:top="1440" w:right="1440" w:bottom="390" w:gutter="0" w:footer="0" w:header="0"/>
          <w:type w:val="continuous"/>
        </w:sectPr>
      </w:pPr>
    </w:p>
    <w:bookmarkStart w:id="16" w:name="page17"/>
    <w:bookmarkEnd w:id="16"/>
    <w:p>
      <w:pPr>
        <w:spacing w:after="0" w:line="201" w:lineRule="exact"/>
        <w:rPr>
          <w:sz w:val="20"/>
          <w:szCs w:val="20"/>
          <w:color w:val="auto"/>
        </w:rPr>
      </w:pPr>
    </w:p>
    <w:p>
      <w:pPr>
        <w:ind w:left="840" w:right="140"/>
        <w:spacing w:after="0" w:line="239" w:lineRule="auto"/>
        <w:rPr>
          <w:sz w:val="20"/>
          <w:szCs w:val="20"/>
          <w:color w:val="auto"/>
        </w:rPr>
      </w:pPr>
      <w:r>
        <w:rPr>
          <w:rFonts w:ascii="Arial" w:cs="Arial" w:eastAsia="Arial" w:hAnsi="Arial"/>
          <w:sz w:val="19"/>
          <w:szCs w:val="19"/>
          <w:b w:val="1"/>
          <w:bCs w:val="1"/>
          <w:color w:val="231F20"/>
        </w:rPr>
        <w:t>capsulorhexis on the steep axis using advanced iris registration to guide toric IOL placement and alignment, both during and after the surgical procedure.</w:t>
      </w:r>
    </w:p>
    <w:p>
      <w:pPr>
        <w:spacing w:after="0" w:line="220" w:lineRule="exact"/>
        <w:rPr>
          <w:sz w:val="20"/>
          <w:szCs w:val="20"/>
          <w:color w:val="auto"/>
        </w:rPr>
      </w:pPr>
    </w:p>
    <w:p>
      <w:pPr>
        <w:jc w:val="both"/>
        <w:ind w:left="840" w:right="140" w:hanging="350"/>
        <w:spacing w:after="0" w:line="222" w:lineRule="exact"/>
        <w:tabs>
          <w:tab w:leader="none" w:pos="840" w:val="left"/>
        </w:tabs>
        <w:numPr>
          <w:ilvl w:val="0"/>
          <w:numId w:val="14"/>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Proprietary Robotic Imaging: Our patented robotic imaging technology provides a surgeon with a sophisticated, three-dimensional view of a patient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eye. This enhanced view reflects each patient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own unique eye size and shape, then, using proprietary software it identifies relevant anatomy within the patient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eye, and recommends where to precisely place the laser pulses necessary to accomplish the desired treatment. Surgeons are then able to develop better-informed approaches and subsequent treatment for refractive cataract surgical procedures. This technology also simplifies the procedure for surgeons by including pre-programmable surgeon preferences, wireless integration with pre-operative diagnostic data, cataract density imaging for using the lowest energy needed to treat, and accurate laser incision planning. We believe this improves the efficiency and reproducibility of the procedure for surgeons.</w:t>
      </w:r>
    </w:p>
    <w:p>
      <w:pPr>
        <w:spacing w:after="0" w:line="220" w:lineRule="exact"/>
        <w:rPr>
          <w:rFonts w:ascii="PMingLiU" w:cs="PMingLiU" w:eastAsia="PMingLiU" w:hAnsi="PMingLiU"/>
          <w:sz w:val="16"/>
          <w:szCs w:val="16"/>
          <w:b w:val="1"/>
          <w:bCs w:val="1"/>
          <w:color w:val="231F20"/>
        </w:rPr>
      </w:pPr>
    </w:p>
    <w:p>
      <w:pPr>
        <w:jc w:val="both"/>
        <w:ind w:left="840" w:right="140" w:hanging="350"/>
        <w:spacing w:after="0" w:line="239" w:lineRule="auto"/>
        <w:tabs>
          <w:tab w:leader="none" w:pos="840" w:val="left"/>
        </w:tabs>
        <w:numPr>
          <w:ilvl w:val="0"/>
          <w:numId w:val="1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Wireless Transfer of Pre-Operative Data: Pre-operative diagnostic data can be transferred wirelessly from many preoperative corneal topographers and diagnostic devices to our system, which can guide more precise astigmatism planning and reduce or eliminate risks associated with transcription errors and manually marking the eye.</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20" w:lineRule="exact"/>
        <w:tabs>
          <w:tab w:leader="none" w:pos="840" w:val="left"/>
        </w:tabs>
        <w:numPr>
          <w:ilvl w:val="0"/>
          <w:numId w:val="14"/>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Pre-Operative Data Analysis: With the assistance of our clinical applications and clinical outcomes groups, practices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individualized astigmatism treatment protocols can be refined and customized based on site specific pre-, intra-, and post-operative data, with the objective to help surgeons to deliver incrementally better patient outcomes over time as compared to earlier generations.</w:t>
      </w:r>
    </w:p>
    <w:p>
      <w:pPr>
        <w:spacing w:after="0" w:line="219" w:lineRule="exact"/>
        <w:rPr>
          <w:rFonts w:ascii="PMingLiU" w:cs="PMingLiU" w:eastAsia="PMingLiU" w:hAnsi="PMingLiU"/>
          <w:sz w:val="17"/>
          <w:szCs w:val="17"/>
          <w:b w:val="1"/>
          <w:bCs w:val="1"/>
          <w:color w:val="231F20"/>
        </w:rPr>
      </w:pPr>
    </w:p>
    <w:p>
      <w:pPr>
        <w:jc w:val="both"/>
        <w:ind w:left="840" w:right="140" w:hanging="350"/>
        <w:spacing w:after="0" w:line="222" w:lineRule="exact"/>
        <w:tabs>
          <w:tab w:leader="none" w:pos="840" w:val="left"/>
        </w:tabs>
        <w:numPr>
          <w:ilvl w:val="0"/>
          <w:numId w:val="14"/>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Cataract Density Imaging: Another unique aspect of our AI imaging system is the ability of the system to grade and compare the cataract density and tissue specific areas to treat within the lens nucleus. The benefit of this is the surgeon can customize the treatment and deliver only the energy and fragmentation patterns necessary to optimally treat the cataract based on the System</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recommendation. This not only increases efficiency in removal of the cataract when the surgeon gets to the phacoemulsification, but also provides the surgeon choices in pre-programmed treatment algorithms or their own customized preferences in the energy and fragmentation parameters based on their surgical technique. These can be stored and used each time the system identifies a cataract with similar characteristics.</w:t>
      </w:r>
    </w:p>
    <w:p>
      <w:pPr>
        <w:spacing w:after="0" w:line="223" w:lineRule="exact"/>
        <w:rPr>
          <w:rFonts w:ascii="PMingLiU" w:cs="PMingLiU" w:eastAsia="PMingLiU" w:hAnsi="PMingLiU"/>
          <w:sz w:val="16"/>
          <w:szCs w:val="16"/>
          <w:b w:val="1"/>
          <w:bCs w:val="1"/>
          <w:color w:val="231F20"/>
        </w:rPr>
      </w:pPr>
    </w:p>
    <w:p>
      <w:pPr>
        <w:jc w:val="both"/>
        <w:ind w:left="840" w:right="140" w:hanging="350"/>
        <w:spacing w:after="0" w:line="239" w:lineRule="auto"/>
        <w:tabs>
          <w:tab w:leader="none" w:pos="840" w:val="left"/>
        </w:tabs>
        <w:numPr>
          <w:ilvl w:val="0"/>
          <w:numId w:val="1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Corneal Incision-Only Mode: By allowing a surgeon to perform laser corneal incisions independent of capsulorhexis and fragmentation, the surgeon has greater flexibility to treat a patient who may benefit from post-operative arcuate incisions and may achieve greater efficiency with abbreviated scanning that omits lens boundaries.</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Sales and Distribution</w:t>
      </w:r>
    </w:p>
    <w:p>
      <w:pPr>
        <w:spacing w:after="0" w:line="125"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We have built and are continuing to grow our commercial organization, which includes a direct sales force in the United States and third-party distributors in Europe and Asia, and other targeted international markets. Depending on the dynamics of a particular geographic region, we and our distributors typically market and sell our systems to ASCs, hospitals and physicians. In the United States, we sell our products through a direct sales organization that, as of December 31, 2025, consisted of approximately 70 commercial team professionals, including regional sales managers, clinical applications and outcomes specialists, field service, marketing, technical and customer support personnel. As of December 31, 2025, we had a total of approximately 435 systems installed in a total of 17 countries, with approximately 51% of those systems in the United States where we have a direct sales relationship with our customers, and with Europe and Asia representing our largest markets outside the United States, where we sell our products through distributor relationships. We believe there is significant opportunity for us to expand our presence in these countries and other countries where we have no or only a limited number of installed systems. For the year ended December 31, 2025, one customer accounted for approximately 13% of our revenue and no customer accounted for more than 10% of our accounts receivable, net.</w:t>
      </w:r>
    </w:p>
    <w:p>
      <w:pPr>
        <w:spacing w:after="0" w:line="204"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We have been able to achieve our success to date with a limited number of regional sales managers in the United States and independent distributors in international markets, growing our business substantially year-over-year in terms of both revenues and number of procedures, with the exception of 2020 due to the impact on our operations of</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15</w:t>
      </w:r>
    </w:p>
    <w:p>
      <w:pPr>
        <w:sectPr>
          <w:pgSz w:w="12240" w:h="15840" w:orient="portrait"/>
          <w:cols w:equalWidth="0" w:num="1">
            <w:col w:w="9360"/>
          </w:cols>
          <w:pgMar w:left="1440" w:top="1440" w:right="1440" w:bottom="390" w:gutter="0" w:footer="0" w:header="0"/>
          <w:type w:val="continuous"/>
        </w:sectPr>
      </w:pPr>
    </w:p>
    <w:bookmarkStart w:id="17" w:name="page18"/>
    <w:bookmarkEnd w:id="17"/>
    <w:p>
      <w:pPr>
        <w:spacing w:after="0" w:line="201"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the COVID-19 pandemic. We believe that increasing the size and geographic breadth of our sales and marketing management team and number of regional sales managers in the United States and expanding our network of independent distributors in additional international markets will allow further penetration in the cataract surgery market. To support these commercial efforts, in the United States, we anticipate adding additional field sales professionals, including clinical outcome specialists, and expanding our marketing support and commitment to physician and staff training programs to optimize results and communicate the strengths of our cataract surgery solutions. Outside the United States, we expect to expand the geographical reach of our distributors. We believe the expansion of our domestic and international commercialization efforts will provide us with significant opportunity for future growth as we continue to penetrate existing and new markets. Our ALLY System currently is cleared for marketing in the United States and other countries, and our growth, market presence and ability to sell the ALLY System will depend on, among other factors, whether the ALLY System receives regulatory clearance in other regions outside the United States and the timing of these clearances or certifications. In August 2024, we obtained certification of our ALLY System under the Medical Devices Regulation in the EU, and we have also received regulatory clearance in India, Taiwan, South Korea, and certain other countries.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Manufacturing</w:t>
      </w:r>
    </w:p>
    <w:p>
      <w:pPr>
        <w:spacing w:after="0" w:line="128" w:lineRule="exact"/>
        <w:rPr>
          <w:sz w:val="20"/>
          <w:szCs w:val="20"/>
          <w:color w:val="auto"/>
        </w:rPr>
      </w:pPr>
    </w:p>
    <w:p>
      <w:pPr>
        <w:jc w:val="both"/>
        <w:ind w:left="140" w:right="140"/>
        <w:spacing w:after="0" w:line="275" w:lineRule="auto"/>
        <w:rPr>
          <w:sz w:val="20"/>
          <w:szCs w:val="20"/>
          <w:color w:val="auto"/>
        </w:rPr>
      </w:pPr>
      <w:r>
        <w:rPr>
          <w:rFonts w:ascii="Arial" w:cs="Arial" w:eastAsia="Arial" w:hAnsi="Arial"/>
          <w:sz w:val="17"/>
          <w:szCs w:val="17"/>
          <w:b w:val="1"/>
          <w:bCs w:val="1"/>
          <w:color w:val="231F20"/>
        </w:rPr>
        <w:t>We manufacture our ALLY Systems, and previously manufactured our LLS systems, at a facility in Orlando, Florida. We purchase custom and off-the-shelf components from several suppliers and subject them to stringent quality specifications and processes. Some of the components necessary for the assembly of the ALLY System and maintenance of the LLS are currently provided by single-sourced suppliers (the only approved supply source for us among other sources). We have entered into various purchase orders, as well as a limited number of long-term supply agreements, for the manufacture and supply of certain components. These arrangements commit us to a remaining minimum purchase obligation of approximately $13.9 million as of December 31, 2025. We expect to meet these requirements. We generally do not maintain large volumes of finished goods. We currently have and intend to have long-term supply agreements or sufficient supply of raw material inventory to adequately source the expected near-term demand of our ALLY System. We strive to maintain enough inventory of our various component parts to avoid the impact of any supply chain disruptions.</w:t>
      </w:r>
    </w:p>
    <w:p>
      <w:pPr>
        <w:spacing w:after="0" w:line="33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Intellectual Property</w:t>
      </w:r>
    </w:p>
    <w:p>
      <w:pPr>
        <w:spacing w:after="0" w:line="125"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We seek patent and trademark protection for our key technology, products and product improvements, both in the United States and in select foreign countries. We plan to continue to enforce and defend our patent and trademark rights. While our patents protect, among other things, the aspects of our technology that provide us with a competitive advantage,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218"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We own numerous issued patents and pending patent applications. As of December 31, 2025, we owned approximately 76 U.S. patents, 26 pending U.S. patent applications, 216 issued foreign patents, and 79 pending foreign and Patent Cooperation Treaty applications. Our patents are expected to expire between 2026 and 2040, with some design patents expiring in 2046. We do not believe that the expiration of any individual patent will have a material adverse effect on our business, financial condition or results of operations. We have 216 issued foreign patents in a total of 15 countries and regions, including China, Macau, Taiwan, Germany, France, Spain, United Kingdom, Italy, Australia, European Unitary Patent and the European Patent Office. Our patents contain a broad range of claims related to devices and methods for performing cataract surgery using, among other things, refractive corrections, lens targeting and positioning and we believe provide significant protection for our current commercialized products.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Our material registered and unregistered trademarks include: LENSAR, ALLY Robotic Cataract Laser System,</w:t>
      </w:r>
    </w:p>
    <w:p>
      <w:pPr>
        <w:spacing w:after="0" w:line="28"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INTELLIAXIS, INTELLIAXIS-C, INTELLIAXIS-L, INTELLIAXIS REFRACTIVE CAPSULORHEXIS, STREAMLINE, ALLY Robotic Cataract Laser System, ALLY Robotic Cataract Laser System logo, Robotic Laser Cataract Surgery, the Robotic Laser Cataract Surgery logo, and LENSDOCTOR SOFTWARE.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16</w:t>
      </w:r>
    </w:p>
    <w:p>
      <w:pPr>
        <w:sectPr>
          <w:pgSz w:w="12240" w:h="15840" w:orient="portrait"/>
          <w:cols w:equalWidth="0" w:num="1">
            <w:col w:w="9360"/>
          </w:cols>
          <w:pgMar w:left="1440" w:top="1440" w:right="1440" w:bottom="390" w:gutter="0" w:footer="0" w:header="0"/>
          <w:type w:val="continuous"/>
        </w:sectPr>
      </w:pPr>
    </w:p>
    <w:bookmarkStart w:id="18" w:name="page19"/>
    <w:bookmarkEnd w:id="18"/>
    <w:p>
      <w:pPr>
        <w:spacing w:after="0" w:line="201" w:lineRule="exact"/>
        <w:rPr>
          <w:sz w:val="20"/>
          <w:szCs w:val="20"/>
          <w:color w:val="auto"/>
        </w:rPr>
      </w:pPr>
    </w:p>
    <w:p>
      <w:pPr>
        <w:jc w:val="both"/>
        <w:ind w:left="140" w:right="140"/>
        <w:spacing w:after="0" w:line="298" w:lineRule="auto"/>
        <w:rPr>
          <w:sz w:val="20"/>
          <w:szCs w:val="20"/>
          <w:color w:val="auto"/>
        </w:rPr>
      </w:pPr>
      <w:r>
        <w:rPr>
          <w:rFonts w:ascii="Arial" w:cs="Arial" w:eastAsia="Arial" w:hAnsi="Arial"/>
          <w:sz w:val="16"/>
          <w:szCs w:val="16"/>
          <w:b w:val="1"/>
          <w:bCs w:val="1"/>
          <w:color w:val="231F20"/>
        </w:rPr>
        <w:t>Our intellectual property portfolio further secures a premier technology position for the development and commercialization of devices that incorporate both a phacoemulsification system and a laser, such as our ALLY System. In addition to patent applications we have filed related to our Systems, we have pursued and consummated agreements with third parties to acquire patent rights, which provide important exclusivity with respect to our development and commercialization of our ALLY System. Our business plan includes aggressively pursuing additional patent rights related to the ALLY System, and we expect to continue to add to our current portfolio.</w:t>
      </w:r>
    </w:p>
    <w:p>
      <w:pPr>
        <w:spacing w:after="0" w:line="31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Competition</w:t>
      </w:r>
    </w:p>
    <w:p>
      <w:pPr>
        <w:spacing w:after="0" w:line="125"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We participate in the highly competitive global market for treatments for cataracts. We face significant competition from large multinational medical device companies as well as smaller, emerging players focused on product innovation. In providing surgical solutions for cataract patients, our primary competitors are Alcon Inc.; Bausch + Lomb, a division of Bausch Health Companies Inc.; Carl Zeiss AG; AMO, a division of Johnson &amp; Johnson; and Ziemer Ophthalmic Systems AG, each of which has its own cataract lasers. Additionally, we are aware of a French based company, KERANOVA S.A., that is working to develop a product that, if they receive commercial clearance for their device in the future, could potentially be another competitor.</w:t>
      </w:r>
    </w:p>
    <w:p>
      <w:pPr>
        <w:spacing w:after="0" w:line="21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These competitors are focused on bringing new technologies to market and acquiring products and technologies that directly compete with our products or have potential product advantages that could render our products obsolete or noncompetitive. Bausch + Lomb announced, in November 2025, that they anticipate launching a second-generation femtosecond laser in the second half of 2026. The next-gen laser, SeeLyra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is said to feature live optical coherence tomography guidance and soft docking. Although not all the features are known currently, this will be the first second-generation laser expected to compete with the ALLY System.</w:t>
      </w:r>
    </w:p>
    <w:p>
      <w:pPr>
        <w:spacing w:after="0" w:line="246"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Many of these competitors are large public companies or divisions of publicly-traded companies and have several competitive advantages, including:</w:t>
      </w:r>
    </w:p>
    <w:p>
      <w:pPr>
        <w:spacing w:after="0" w:line="201" w:lineRule="exact"/>
        <w:rPr>
          <w:sz w:val="20"/>
          <w:szCs w:val="20"/>
          <w:color w:val="auto"/>
        </w:rPr>
      </w:pPr>
    </w:p>
    <w:p>
      <w:pPr>
        <w:ind w:left="840" w:hanging="350"/>
        <w:spacing w:after="0"/>
        <w:tabs>
          <w:tab w:leader="none" w:pos="840" w:val="left"/>
        </w:tabs>
        <w:numPr>
          <w:ilvl w:val="0"/>
          <w:numId w:val="1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greater financial and human resources for product development and sales and marketing;</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significantly greater name recognition;</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their own IOLs;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longer operating histories; and</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more established sales and marketing programs and distribution networks.</w:t>
      </w:r>
    </w:p>
    <w:p>
      <w:pPr>
        <w:spacing w:after="0" w:line="243"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Because of the size of the cataract market, we expect that companies will continue to dedicate significant resources to developing and commercializing competing products, and we anticipate that our current marketed products and any future products will be subject to intense competition. We believe that the principal competitive factors in our market include:</w:t>
      </w:r>
    </w:p>
    <w:p>
      <w:pPr>
        <w:spacing w:after="0" w:line="197" w:lineRule="exact"/>
        <w:rPr>
          <w:sz w:val="20"/>
          <w:szCs w:val="20"/>
          <w:color w:val="auto"/>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improved outcomes for patients;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acceptance by surgeons;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ease of use and reliability;</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product price and availability of reimbursement;</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product bundling and multiple product purchasing agreements;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technical leadership;</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effective marketing and distribution; and</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speed to market.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17</w:t>
      </w:r>
    </w:p>
    <w:p>
      <w:pPr>
        <w:sectPr>
          <w:pgSz w:w="12240" w:h="15840" w:orient="portrait"/>
          <w:cols w:equalWidth="0" w:num="1">
            <w:col w:w="9360"/>
          </w:cols>
          <w:pgMar w:left="1440" w:top="1440" w:right="1440" w:bottom="390" w:gutter="0" w:footer="0" w:header="0"/>
          <w:type w:val="continuous"/>
        </w:sectPr>
      </w:pPr>
    </w:p>
    <w:bookmarkStart w:id="19" w:name="page20"/>
    <w:bookmarkEnd w:id="19"/>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Regulation</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United States</w:t>
      </w:r>
    </w:p>
    <w:p>
      <w:pPr>
        <w:spacing w:after="0" w:line="125"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We manufacture and market medical devices and, therefore, are subject to extensive regulation by the FDA and other federal and state authorities in the United States, as well as comparable authorities in foreign jurisdictions. Our products are subject to regulation in the United States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FDA Premarket Clearance and Approval Requirements</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Under the FDCA, medical devices are classified into one of three classes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Class I, Class II or Class III</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depending on the degree of risk associated with each medical device and the extent of control needed to ensure safety and effectiveness. Class I devices are those for which safety and effectiveness can be assured by adherence to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general controls for medical devices, or General Controls, which include compliance with the applicable portions of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Quality Management System Regulation, or QMSR,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 Class II devices are subject to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General Controls, and any other special controls as deemed necessary by FDA to ensure the safety and effectiveness of the device. Premarket review and clearance by the FDA for Class II devices is accomplished through the 510(k) premarket notification procedure, unless an exemption applies. A Class III product is a product which has a new intended use or uses advanced technology that is not substantially equivalent to that of a legally marketed device. The safety and effectiveness of Class III devices cannot be assured solely by the General Controls and the other requirements described above. These devices almost always require formal clinical studies to demonstrate safety and effectiveness. Our currently marketed medical device products are Class II medical devices subject to 510(k) clearance.</w:t>
      </w:r>
    </w:p>
    <w:p>
      <w:pPr>
        <w:spacing w:after="0" w:line="36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510(k) Clearance Marketing Pathway</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 xml:space="preserve">When a 510(k) is required, the manufacturer must submit to the FDA a premarket notification submission demonstrating that the device is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substantially equivalent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to a predicate device already on the market. A predicate device is a legally marketed device that is not subject to premarket approval, i.e., a device that was legally marketed prior to May 28, 1976 (pre-amendments device) and for which a premarket approval application, or PMA, is not required, a device that has been reclassified from Class III to Class II or I, or a device that was found substantially equivalent through the 510(k) process.</w:t>
      </w:r>
    </w:p>
    <w:p>
      <w:pPr>
        <w:spacing w:after="0" w:line="24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If the FDA agrees that the device is substantially equivalent to a predicate device, it will grant clearance to commercially market the device in the U.S.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s 510(k) clearance process usually takes from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In reviewing a pre-market notification, the FDA may request additional information, including clinical data, which may significantly prolong the review process. If the FDA determines that the device, or its intended use, is not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substantially equivalent,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the FDA may deny the request for clearance.</w:t>
      </w:r>
    </w:p>
    <w:p>
      <w:pPr>
        <w:spacing w:after="0" w:line="249" w:lineRule="exact"/>
        <w:rPr>
          <w:sz w:val="20"/>
          <w:szCs w:val="20"/>
          <w:color w:val="auto"/>
        </w:rPr>
      </w:pPr>
    </w:p>
    <w:p>
      <w:pPr>
        <w:jc w:val="both"/>
        <w:ind w:left="140" w:right="120"/>
        <w:spacing w:after="0" w:line="221" w:lineRule="exact"/>
        <w:rPr>
          <w:sz w:val="20"/>
          <w:szCs w:val="20"/>
          <w:color w:val="auto"/>
        </w:rPr>
      </w:pPr>
      <w:r>
        <w:rPr>
          <w:rFonts w:ascii="Arial" w:cs="Arial" w:eastAsia="Arial" w:hAnsi="Arial"/>
          <w:sz w:val="16"/>
          <w:szCs w:val="16"/>
          <w:b w:val="1"/>
          <w:bCs w:val="1"/>
          <w:color w:val="231F20"/>
        </w:rPr>
        <w:t>After a device receives 510(k) clearance, any subsequent modification of the device that could significantly affect its safety or effectiveness, or that would constitute a major change in its intended use, will require a new 510(k) clearance or could require pre-market approval. The FDA requires each manufacturer to make this determination initially, but the FDA may review any such decision and may disagree with a manufacturer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determination. If the FDA disagrees with a manufacturer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determination, the FDA may require the manufacturer to cease marketing or recall the modified device, or both, until 510(k) clearance or pre-market approval is obtained.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18</w:t>
      </w:r>
    </w:p>
    <w:p>
      <w:pPr>
        <w:sectPr>
          <w:pgSz w:w="12240" w:h="15840" w:orient="portrait"/>
          <w:cols w:equalWidth="0" w:num="1">
            <w:col w:w="9360"/>
          </w:cols>
          <w:pgMar w:left="1440" w:top="1440" w:right="1440" w:bottom="390" w:gutter="0" w:footer="0" w:header="0"/>
          <w:type w:val="continuous"/>
        </w:sectPr>
      </w:pPr>
    </w:p>
    <w:bookmarkStart w:id="20" w:name="page21"/>
    <w:bookmarkEnd w:id="20"/>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FDA PMA Approval Process</w:t>
      </w:r>
    </w:p>
    <w:p>
      <w:pPr>
        <w:spacing w:after="0" w:line="128" w:lineRule="exact"/>
        <w:rPr>
          <w:sz w:val="20"/>
          <w:szCs w:val="20"/>
          <w:color w:val="auto"/>
        </w:rPr>
      </w:pPr>
    </w:p>
    <w:p>
      <w:pPr>
        <w:jc w:val="both"/>
        <w:ind w:left="140" w:right="140"/>
        <w:spacing w:after="0" w:line="275" w:lineRule="auto"/>
        <w:rPr>
          <w:sz w:val="20"/>
          <w:szCs w:val="20"/>
          <w:color w:val="auto"/>
        </w:rPr>
      </w:pPr>
      <w:r>
        <w:rPr>
          <w:rFonts w:ascii="Arial" w:cs="Arial" w:eastAsia="Arial" w:hAnsi="Arial"/>
          <w:sz w:val="17"/>
          <w:szCs w:val="17"/>
          <w:b w:val="1"/>
          <w:bCs w:val="1"/>
          <w:color w:val="231F20"/>
        </w:rPr>
        <w:t>Products that are classified as Class III are subject to the requirement for the FDA to approve a PMA for the device. A PMA application, which is intended to demonstrate that a device is safe and effective, must be supported by extensive data, including extensive technical and manufacturing data and data from preclinical studies and human clinical trials. 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QMSR, which imposes stringent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supplements are required for significant modifications to the manufacturing process, labeling of the product and design of a device that is approved through the PMA process. PMA supplements often require submission of the same type of information as an original PMA, except that the supplement is limited to information needed to support any changes from the device covered by the original PMA, and may not require as extensive clinical data or the convening of an advisory panel.</w:t>
      </w:r>
    </w:p>
    <w:p>
      <w:pPr>
        <w:spacing w:after="0" w:line="215"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A clinical trial is typically required to support a PMA application and is sometimes required for a 510(k) pre-market notification. Clinical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Post-Market Regulation</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After a device is cleared or approved for marketing, numerous and pervasive FDA and other regulatory requirements continue to apply. These include establishment registration and device listing with the FDA; compliance with medical device reporting regulations, which require that manufacturers report to the FDA if their device may have caused or contributed to a death or serious injury or malfunctioned in a way that would likely cause or contribute to a death or serious injury if it were to recur; and compliance with corrections and removal reporting regulations, which require that manufacturers report to the FDA field corrections and product recalls or removals if undertaken to reduce a risk to health posed by the device or to remedy a violation of the FDCA that may present a risk to health. The FDA and the Federal Trade Commission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FTC</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Many regulatory jurisdictions outside of the United States have similar regulations to which we are subject.</w:t>
      </w:r>
    </w:p>
    <w:p>
      <w:pPr>
        <w:spacing w:after="0" w:line="251"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We are also required to register with the FDA as a medical device manufacturer. As such, our manufacturing sites are subject to periodic inspection by the FDA for compliance with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QMSR. These regulations cover the methods and the facilities and controls for the design, manufacture, testing, production, processes, controls, quality assurance, labeling, packaging, distribution, installation and servicing of finished devices intended for human use.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19</w:t>
      </w:r>
    </w:p>
    <w:p>
      <w:pPr>
        <w:sectPr>
          <w:pgSz w:w="12240" w:h="15840" w:orient="portrait"/>
          <w:cols w:equalWidth="0" w:num="1">
            <w:col w:w="9360"/>
          </w:cols>
          <w:pgMar w:left="1440" w:top="1440" w:right="1440" w:bottom="390" w:gutter="0" w:footer="0" w:header="0"/>
          <w:type w:val="continuous"/>
        </w:sectPr>
      </w:pPr>
    </w:p>
    <w:bookmarkStart w:id="21" w:name="page22"/>
    <w:bookmarkEnd w:id="21"/>
    <w:p>
      <w:pPr>
        <w:spacing w:after="0" w:line="201"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The QMSR also requires, among other things, maintenance of a medical device file. As a manufacturer, we are subject to periodic scheduled or unscheduled inspections by the FDA. Our failure to maintain compliance with the QMSR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via voluntary or mandatory device recalls.</w:t>
      </w:r>
    </w:p>
    <w:p>
      <w:pPr>
        <w:spacing w:after="0" w:line="21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200" w:lineRule="exact"/>
        <w:rPr>
          <w:sz w:val="20"/>
          <w:szCs w:val="20"/>
          <w:color w:val="auto"/>
        </w:rPr>
      </w:pPr>
    </w:p>
    <w:p>
      <w:pPr>
        <w:ind w:left="840" w:hanging="350"/>
        <w:spacing w:after="0"/>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warning letters, untitled letters, fines, injunctions, consent decrees and civil penalties;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recalls, withdrawals, or administrative detention or seizure of our products;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operating restrictions or partial suspension or total shutdown of production;</w:t>
      </w:r>
    </w:p>
    <w:p>
      <w:pPr>
        <w:spacing w:after="0" w:line="218" w:lineRule="exact"/>
        <w:rPr>
          <w:rFonts w:ascii="PMingLiU" w:cs="PMingLiU" w:eastAsia="PMingLiU" w:hAnsi="PMingLiU"/>
          <w:sz w:val="19"/>
          <w:szCs w:val="19"/>
          <w:b w:val="1"/>
          <w:bCs w:val="1"/>
          <w:color w:val="231F20"/>
        </w:rPr>
      </w:pPr>
    </w:p>
    <w:p>
      <w:pPr>
        <w:ind w:left="840" w:right="140" w:hanging="350"/>
        <w:spacing w:after="0" w:line="232" w:lineRule="auto"/>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refusing or delaying requests for 510(k) marketing clearance or PMA approvals of new products or modified products;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withdrawing 510(k) clearances or PMA approvals that have already been granted;</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refusal to grant export approvals for our products; or</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criminal prosecution.</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Requirements for Surgical Lasers as Radiation Emitting Products</w:t>
      </w:r>
    </w:p>
    <w:p>
      <w:pPr>
        <w:spacing w:after="0" w:line="125"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In addition to the requirements that apply to medical devices, our devices must also comply with an independent set of requirements that apply to radiation emitting electronic products, which includes lasers. Under the electronic product radiation control provisions of the FDCA, the FDA has established regulations specifying certain requirements for different types of radiation emitting electronic products. Among other requirements, manufacturers of surgical lasers must comply with FDA regulations that establish performance standards for laser products and require that manufacturers of products subject to performance standards submit reports to FDA demonstrating compliance. Unless otherwise exempted, manufacturers of certain radiation emitting devices must submit certain reports to FDA, including for new and modified products, for product defects, and annual reports, and comply with recordkeeping requirements. FDA regulations also provide specific certification and labeling requirements, and the labels for these products must contain certain information, such as warnings, declarations, and instructions for use.</w:t>
      </w:r>
    </w:p>
    <w:p>
      <w:pPr>
        <w:spacing w:after="0" w:line="31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Outside the United States</w:t>
      </w:r>
    </w:p>
    <w:p>
      <w:pPr>
        <w:spacing w:after="0" w:line="128"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 order for us to market our products in countries outside the United States, we must obtain regulatory approvals, clearances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which are substantially longer than the U.S. process. Failure to obtain regulatory authorizations, certifications or approvals in a timely manner and to meet all local requirements including language and specific safety standards in any foreign country in which we plan to market our products could prevent us from marketing products in such countries or subject us to sanctions and fines.</w:t>
      </w:r>
    </w:p>
    <w:p>
      <w:pPr>
        <w:spacing w:after="0" w:line="21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EU has adopted specific directives and regulations regulating the design, manufacture, clinical investigations, conformity assessment, labeling and vigilance reporting for medical devices.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20</w:t>
      </w:r>
    </w:p>
    <w:p>
      <w:pPr>
        <w:sectPr>
          <w:pgSz w:w="12240" w:h="15840" w:orient="portrait"/>
          <w:cols w:equalWidth="0" w:num="1">
            <w:col w:w="9360"/>
          </w:cols>
          <w:pgMar w:left="1440" w:top="1440" w:right="1440" w:bottom="390" w:gutter="0" w:footer="0" w:header="0"/>
          <w:type w:val="continuous"/>
        </w:sectPr>
      </w:pPr>
    </w:p>
    <w:bookmarkStart w:id="22" w:name="page23"/>
    <w:bookmarkEnd w:id="22"/>
    <w:p>
      <w:pPr>
        <w:spacing w:after="0" w:line="20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Until May 25, 2021, medical devices were regulated by Council Directive 93/42/EEC, or the EU Medical Devices Directive, which has been repealed and replaced by Regulation (EU) No 2017/745, or the EU Medical Devices Regulation. Some of our current certificates have been granted under the EU Medical Devices Directive. In accordance with the EU Medical Devices Regulation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with regard to registration of economic operators and of devices, post-market surveillance and vigilance requirements.</w:t>
      </w:r>
    </w:p>
    <w:p>
      <w:pPr>
        <w:spacing w:after="0" w:line="24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Pursuing marketing of medical devices in the EU will notably require that our devices be certified under the new regime set forth in the EU Medical Devices Regulation.</w:t>
      </w:r>
    </w:p>
    <w:p>
      <w:pPr>
        <w:spacing w:after="0" w:line="24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In the EU, there is currently no premarket government review of medical devices. However, the EU requires that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where applicable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general safety and performance requirements as a practical matter as it creates a rebuttable presumption that the device satisfies that general safety and performance requirements.</w:t>
      </w:r>
    </w:p>
    <w:p>
      <w:pPr>
        <w:spacing w:after="0" w:line="253"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Compliance with the general safety and performance requirements of the EU Medical Devices Regulation is a prerequisite for European conformity marking, or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where the manufacturer can issue an EU declaration of conformity based on a self-assessment of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technical dossiers and the manufacturer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quality system (notified body must presume that quality systems which implement the relevant harmonized standards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which is ISO 13485:2016 for Medical Devices Quality Management Systems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conform to these requirements).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4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21</w:t>
      </w:r>
    </w:p>
    <w:p>
      <w:pPr>
        <w:sectPr>
          <w:pgSz w:w="12240" w:h="15840" w:orient="portrait"/>
          <w:cols w:equalWidth="0" w:num="1">
            <w:col w:w="9360"/>
          </w:cols>
          <w:pgMar w:left="1440" w:top="1440" w:right="1440" w:bottom="390" w:gutter="0" w:footer="0" w:header="0"/>
          <w:type w:val="continuous"/>
        </w:sectPr>
      </w:pPr>
    </w:p>
    <w:bookmarkStart w:id="23" w:name="page24"/>
    <w:bookmarkEnd w:id="23"/>
    <w:p>
      <w:pPr>
        <w:spacing w:after="0" w:line="201" w:lineRule="exact"/>
        <w:rPr>
          <w:sz w:val="20"/>
          <w:szCs w:val="20"/>
          <w:color w:val="auto"/>
        </w:rPr>
      </w:pPr>
    </w:p>
    <w:p>
      <w:pPr>
        <w:jc w:val="both"/>
        <w:ind w:left="140" w:right="140"/>
        <w:spacing w:after="0" w:line="225" w:lineRule="exact"/>
        <w:rPr>
          <w:sz w:val="20"/>
          <w:szCs w:val="20"/>
          <w:color w:val="auto"/>
        </w:rPr>
      </w:pPr>
      <w:r>
        <w:rPr>
          <w:rFonts w:ascii="Arial" w:cs="Arial" w:eastAsia="Arial" w:hAnsi="Arial"/>
          <w:sz w:val="16"/>
          <w:szCs w:val="16"/>
          <w:b w:val="1"/>
          <w:bCs w:val="1"/>
          <w:color w:val="231F20"/>
        </w:rPr>
        <w:t xml:space="preserve">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as applicable, each package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on May 28, 2026 (for the four first modules related to (i) economic actor and (ii) UDI/devices registrations, (iii) notified bodies and certificates, and (iv) market surveillance).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200" w:lineRule="exact"/>
        <w:rPr>
          <w:sz w:val="20"/>
          <w:szCs w:val="20"/>
          <w:color w:val="auto"/>
        </w:rPr>
      </w:pPr>
    </w:p>
    <w:p>
      <w:pPr>
        <w:spacing w:after="0" w:line="234"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All manufacturers placing medical devices into the market in the EU must comply with the EU Medical Device Vigilance System which has been reinforced by the EU Medical Devices Regulation.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and/or performance of a device on the market (e.g., inadequacy in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reported to the relevant authorities of the EU member states, and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205" w:lineRule="exact"/>
        <w:rPr>
          <w:sz w:val="20"/>
          <w:szCs w:val="20"/>
          <w:color w:val="auto"/>
        </w:rPr>
      </w:pPr>
    </w:p>
    <w:p>
      <w:pPr>
        <w:jc w:val="both"/>
        <w:ind w:left="140" w:right="140"/>
        <w:spacing w:after="0" w:line="281" w:lineRule="auto"/>
        <w:rPr>
          <w:sz w:val="20"/>
          <w:szCs w:val="20"/>
          <w:color w:val="auto"/>
        </w:rPr>
      </w:pPr>
      <w:r>
        <w:rPr>
          <w:rFonts w:ascii="Arial" w:cs="Arial" w:eastAsia="Arial" w:hAnsi="Arial"/>
          <w:sz w:val="17"/>
          <w:szCs w:val="17"/>
          <w:b w:val="1"/>
          <w:bCs w:val="1"/>
          <w:color w:val="231F20"/>
        </w:rPr>
        <w:t>Manufacturers (and authorized representatives) must also have available within their organization at least one person responsible for regulatory compliance, or PRRC, who possesses the requisite expertise in the field of medical devices. The PRRC is responsible for all aspects of compliance with the requirements of the EU Medical Devices Regulation and in particular compliance with post-market surveillance and vigilance requirements.</w:t>
      </w:r>
    </w:p>
    <w:p>
      <w:pPr>
        <w:spacing w:after="0" w:line="210"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The advertising and promotion of medical devices is subject to some general principles set forth in the EU legislation.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41"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observations and to implement corrective and preventive actions, as appropriate. Regulatory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22</w:t>
      </w:r>
    </w:p>
    <w:p>
      <w:pPr>
        <w:sectPr>
          <w:pgSz w:w="12240" w:h="15840" w:orient="portrait"/>
          <w:cols w:equalWidth="0" w:num="1">
            <w:col w:w="9360"/>
          </w:cols>
          <w:pgMar w:left="1440" w:top="1440" w:right="1440" w:bottom="390" w:gutter="0" w:footer="0" w:header="0"/>
          <w:type w:val="continuous"/>
        </w:sectPr>
      </w:pPr>
    </w:p>
    <w:bookmarkStart w:id="24" w:name="page25"/>
    <w:bookmarkEnd w:id="24"/>
    <w:p>
      <w:pPr>
        <w:spacing w:after="0" w:line="20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24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aforementioned EU rules are generally applicable in the European Economic Area, or EEA, which consists of the 27 EU member states plus Norway, Liechtenstein and Iceland.</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Brexit and the UK Regulatory Framework</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Since January 1, 2021, the Medicines and Healthcare products Regulatory Agency, or MHRA, has become the sovereign regulatory authority responsible for the Great Britain (i.e., England, Wales, and Scotland) medical device market and the EU regulatory regime for medical devices no longer applies in Great Britain. Under the terms of the Ireland/Northern Ireland Protocol, the EU regulatory requirements continue to apply to medical devices placed on the Northern Ireland market. Consequently, the regulatory framework for medical devices in Great Britain continues to be broadly based on the requirements of the EU Medical Devices Directive as implemented into national law by the Medical Devices Regulation 2002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UK Medical Devices Regulations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w:t>
      </w:r>
    </w:p>
    <w:p>
      <w:pPr>
        <w:spacing w:after="0" w:line="244" w:lineRule="exact"/>
        <w:rPr>
          <w:sz w:val="20"/>
          <w:szCs w:val="20"/>
          <w:color w:val="auto"/>
        </w:rPr>
      </w:pPr>
    </w:p>
    <w:p>
      <w:pPr>
        <w:jc w:val="both"/>
        <w:ind w:left="140" w:right="140"/>
        <w:spacing w:after="0" w:line="291" w:lineRule="auto"/>
        <w:rPr>
          <w:sz w:val="20"/>
          <w:szCs w:val="20"/>
          <w:color w:val="auto"/>
        </w:rPr>
      </w:pPr>
      <w:r>
        <w:rPr>
          <w:rFonts w:ascii="Arial" w:cs="Arial" w:eastAsia="Arial" w:hAnsi="Arial"/>
          <w:sz w:val="16"/>
          <w:szCs w:val="16"/>
          <w:b w:val="1"/>
          <w:bCs w:val="1"/>
          <w:color w:val="231F20"/>
        </w:rPr>
        <w:t>Furthermore, on June 16, 2025, an amendment to UK Medical Devices Regulations became applicable which aims to clarify and strengthen the post-market surveillance requirements for medical devices in Great Britain. This amendment also aims to facilitate greater traceability of incidents and trends enabling the MHRA to act swiftly</w:t>
      </w:r>
    </w:p>
    <w:p>
      <w:pPr>
        <w:jc w:val="both"/>
        <w:ind w:left="140" w:right="140"/>
        <w:spacing w:after="0" w:line="222" w:lineRule="exact"/>
        <w:rPr>
          <w:sz w:val="20"/>
          <w:szCs w:val="20"/>
          <w:color w:val="auto"/>
        </w:rPr>
      </w:pPr>
      <w:r>
        <w:rPr>
          <w:rFonts w:ascii="Arial" w:cs="Arial" w:eastAsia="Arial" w:hAnsi="Arial"/>
          <w:sz w:val="16"/>
          <w:szCs w:val="16"/>
          <w:b w:val="1"/>
          <w:bCs w:val="1"/>
          <w:color w:val="231F20"/>
        </w:rPr>
        <w:t xml:space="preserve">when needed to address safety </w:t>
      </w:r>
      <w:r>
        <w:rPr>
          <w:sz w:val="1"/>
          <w:szCs w:val="1"/>
          <w:color w:val="auto"/>
        </w:rPr>
        <w:drawing>
          <wp:inline distT="0" distB="0" distL="0" distR="0">
            <wp:extent cx="100330" cy="1123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0330" cy="112395"/>
                    </a:xfrm>
                    <a:prstGeom prst="rect">
                      <a:avLst/>
                    </a:prstGeom>
                    <a:noFill/>
                    <a:ln>
                      <a:noFill/>
                    </a:ln>
                  </pic:spPr>
                </pic:pic>
              </a:graphicData>
            </a:graphic>
          </wp:inline>
        </w:drawing>
        <w:drawing>
          <wp:inline distT="0" distB="0" distL="0" distR="0">
            <wp:extent cx="128905" cy="8318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83185"/>
                    </a:xfrm>
                    <a:prstGeom prst="rect">
                      <a:avLst/>
                    </a:prstGeom>
                    <a:noFill/>
                    <a:ln>
                      <a:noFill/>
                    </a:ln>
                  </pic:spPr>
                </pic:pic>
              </a:graphicData>
            </a:graphic>
          </wp:inline>
        </w:drawing>
        <w:drawing>
          <wp:inline distT="0" distB="0" distL="0" distR="0">
            <wp:extent cx="120015" cy="831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3185"/>
                    </a:xfrm>
                    <a:prstGeom prst="rect">
                      <a:avLst/>
                    </a:prstGeom>
                    <a:noFill/>
                    <a:ln>
                      <a:noFill/>
                    </a:ln>
                  </pic:spPr>
                </pic:pic>
              </a:graphicData>
            </a:graphic>
          </wp:inline>
        </w:drawing>
        <w:drawing>
          <wp:inline distT="0" distB="0" distL="0" distR="0">
            <wp:extent cx="136525" cy="8318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6525" cy="83185"/>
                    </a:xfrm>
                    <a:prstGeom prst="rect">
                      <a:avLst/>
                    </a:prstGeom>
                    <a:noFill/>
                    <a:ln>
                      <a:noFill/>
                    </a:ln>
                  </pic:spPr>
                </pic:pic>
              </a:graphicData>
            </a:graphic>
          </wp:inline>
        </w:drawing>
        <w:drawing>
          <wp:inline distT="0" distB="0" distL="0" distR="0">
            <wp:extent cx="81915" cy="11239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915" cy="112395"/>
                    </a:xfrm>
                    <a:prstGeom prst="rect">
                      <a:avLst/>
                    </a:prstGeom>
                    <a:noFill/>
                    <a:ln>
                      <a:noFill/>
                    </a:ln>
                  </pic:spPr>
                </pic:pic>
              </a:graphicData>
            </a:graphic>
          </wp:inline>
        </w:drawing>
      </w:r>
      <w:r>
        <w:rPr>
          <w:rFonts w:ascii="Arial" w:cs="Arial" w:eastAsia="Arial" w:hAnsi="Arial"/>
          <w:sz w:val="16"/>
          <w:szCs w:val="16"/>
          <w:b w:val="1"/>
          <w:bCs w:val="1"/>
          <w:color w:val="231F20"/>
        </w:rPr>
        <w:t xml:space="preserve"> support the entire health system in better protecting patients. In addition, the MHRA launched a consultation from November 14, 2024 to January 5, 2025 on proposals to update the pre-market requirements for medical devices in Great Britain, covering four topics, namely (1) a new international reliance scheme to enable swifter market access for certain devices that have already been approved in a comparable regulator country; (2) the new UK Conformity Assessed, or UKCA, mark and, in particular, proposals to remove the requirement to place such UKCA marking on devices; (3) conformity assessment procedures for in vitro diagnostic devices; and (4) maintaining in UK law certain pieces of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assimilated</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EU law. This consultation builds on the MHRA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previous consultation between September and November 2021, and the UK government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response to that consultation which was published on June 26, 2022. On July 22, 2025, the MHRA published a response to the consultation confirming that it will incorporate feedback to this consultation into new legislation on pre-market requirements for medical devices in Great Britain. A draft of the new legislation is expected this year and aims to enable greater international collaboration and practices, with more patient-centered, proportionate requirements for medical devices which are responsive to technological advances.</w:t>
      </w:r>
    </w:p>
    <w:p>
      <w:pPr>
        <w:spacing w:after="0" w:line="252"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 xml:space="preserve">Under the UK Medical Devices Regulations, in order to be lawfully placed on the Great Britain market, certain medical devices need to be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UKCA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June 30, 2030.</w:t>
      </w:r>
    </w:p>
    <w:p>
      <w:pPr>
        <w:spacing w:after="0" w:line="246"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In addition, all medical devices must be registered with the MHRA prior to being placed on the market. Additionally, manufacturers based outside the UK need to appoint a UK Responsible Person to register devices with the MHRA.</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Other Healthcare Laws</w:t>
      </w:r>
    </w:p>
    <w:p>
      <w:pPr>
        <w:spacing w:after="0" w:line="128"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Although none of the procedures performed using our products are currently covered by any government or commercial third-party payors, applicable agencies and regulators may nonetheless interpret that we are subject to numerous state and federal healthcare fraud and abuse laws, including anti-kickback, false claims and transparency laws with respect to payments and other transfers of value made to physicians and other licensed healthcare professionals, that are intended to reduce waste, fraud and abuse in the health care industry and analogous state laws that may apply to healthcare items and services by any payors including private insurers and self-pay patients. These laws are broad, subject to evolving interpretations and vigorously enforced against medical device manufacturers and have resulted in manufacturers paying significant fines and penalties and being subject to stringent corrective action plans and reporting obligations. We must operate our business within the requirements of these laws and, if we were accused of violating them, could be forced to expend significant resources on investigation, remediation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23</w:t>
      </w:r>
    </w:p>
    <w:p>
      <w:pPr>
        <w:sectPr>
          <w:pgSz w:w="12240" w:h="15840" w:orient="portrait"/>
          <w:cols w:equalWidth="0" w:num="1">
            <w:col w:w="9360"/>
          </w:cols>
          <w:pgMar w:left="1440" w:top="1440" w:right="1440" w:bottom="390" w:gutter="0" w:footer="0" w:header="0"/>
          <w:type w:val="continuous"/>
        </w:sectPr>
      </w:pPr>
    </w:p>
    <w:bookmarkStart w:id="25" w:name="page26"/>
    <w:bookmarkEnd w:id="25"/>
    <w:p>
      <w:pPr>
        <w:spacing w:after="0" w:line="201"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and monetary penalties. Companies targeted in such prosecutions have paid substantial fines in the hundreds of millions of dollars or more, have been forced to implement extensive corrective action plans, can be excluded from federal health care programs and become subject to substantial civil and criminal penalties, and have often become subject to consent decrees, settlement agreements or corporate integrity agreements severely restricting the manner in which they conduct their business.</w:t>
      </w:r>
    </w:p>
    <w:p>
      <w:pPr>
        <w:spacing w:after="0" w:line="2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Because we have commercial operations overseas, we are also subject to the Foreign Corrupt Practices Act, or FCPA, and other countries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anti-corruption/anti-bribery regimes, such as the U.K. Bribery Act. The FCPA prohibits, among other things, improper payments or offers of payments to foreign governments and their officials for the purpose of obtaining or retaining business. Safeguards we implement to discourage improper payments or offers of payments by our employees, consultants, sales agents or distributors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24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Many foreign countries have similar laws relating to healthcare fraud and abuse. Foreign laws and regulations may vary greatly from country to country. For example, 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4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 xml:space="preserve">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Sunshine Acts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which impose reporting and transparency requirements (often on an annual basis), similar to the requirements in the United States, on medical device manufacturers. Certain countries also mandate implementation of commercial compliance programs.</w:t>
      </w:r>
    </w:p>
    <w:p>
      <w:pPr>
        <w:spacing w:after="0" w:line="24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aforementioned EU rules are generally applicable in the EEA.</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Reimbursement and Patient Payment</w:t>
      </w:r>
    </w:p>
    <w:p>
      <w:pPr>
        <w:spacing w:after="0" w:line="125"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In the United States and markets in other countries, patients who are prescribed treatments for their conditions and providers performing the prescribed services generally rely on third-party payors to reimburse all or part of the associated healthcare costs. Third-party payors, including government authorities, managed care plans, private health insurers and other organizations, generally only cover the cost of treating the medical condition of the cataract, which can be treated with traditional cataract surgery and the placement of a basic monofocal IOL. In the United States and other countries, patients generally may elect and pay out-of-pocket for advanced technologies such as laser assisted cataract surgery and premium IOLs to further refine and correct their vision beyond what is possible from a basic traditional cataract surgery treatment.</w:t>
      </w:r>
    </w:p>
    <w:p>
      <w:pPr>
        <w:spacing w:after="0" w:line="214"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To date the reimbursement to the facility or physician from third-party payors has been intended to cover the cost of a basic traditional cataract surgery treatment, as well as the overhead cost associated with the facility where the procedure is performed. We have not historically directly billed any third-party payors; instead, we receive payment from the physician practice, hospital or other facility that uses our devices, who in turn receive additional payment from their patients who have elected a premium procedure.</w:t>
      </w:r>
    </w:p>
    <w:p>
      <w:pPr>
        <w:spacing w:after="0" w:line="228"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With respect to our LLS and ALLY System, surgeons typically charge the patient a separate out-of-pocket fee for procedures using our device. The use of advanced IOLs designed to improve vision is also not reimbursed by Medicare beyond the standard reimbursement for a basic monofocal IOL and physicians charge the patient for the difference between the lower reimbursed amount and the cost of the advanced IOL. Surgeons typically offer the option of an advanced IOL to patients explaining that it is not covered by Medicare and will be an out-of-pocket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24</w:t>
      </w:r>
    </w:p>
    <w:p>
      <w:pPr>
        <w:sectPr>
          <w:pgSz w:w="12240" w:h="15840" w:orient="portrait"/>
          <w:cols w:equalWidth="0" w:num="1">
            <w:col w:w="9360"/>
          </w:cols>
          <w:pgMar w:left="1440" w:top="1440" w:right="1440" w:bottom="390" w:gutter="0" w:footer="0" w:header="0"/>
          <w:type w:val="continuous"/>
        </w:sectPr>
      </w:pPr>
    </w:p>
    <w:bookmarkStart w:id="26" w:name="page27"/>
    <w:bookmarkEnd w:id="26"/>
    <w:p>
      <w:pPr>
        <w:spacing w:after="0" w:line="201"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expense. Use of our LLS and ALLY System is often accompanied by the implantation of an advanced IOL. We believe that the ability of our LLS and ALLY System, when used with advanced IOLs to optimize vision results, will encourage surgeons to perform the procedure and their patients to pay the additional out-of-pocket costs.</w:t>
      </w:r>
    </w:p>
    <w:p>
      <w:pPr>
        <w:spacing w:after="0" w:line="32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Healthcare Reform</w:t>
      </w:r>
    </w:p>
    <w:p>
      <w:pPr>
        <w:spacing w:after="0" w:line="125"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ALLY System or other products we may develop in the future, if cleared. The cost containment measures that payors and providers are instituting, and the effect of any healthcare reform initiative implemented in the future could impact our revenue from the sale of our products.</w:t>
      </w:r>
    </w:p>
    <w:p>
      <w:pPr>
        <w:spacing w:after="0" w:line="219"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The implementation of the Affordable Care Act, or the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spacing w:after="0" w:line="245" w:lineRule="exact"/>
        <w:rPr>
          <w:sz w:val="20"/>
          <w:szCs w:val="20"/>
          <w:color w:val="auto"/>
        </w:rPr>
      </w:pPr>
    </w:p>
    <w:p>
      <w:pPr>
        <w:jc w:val="both"/>
        <w:ind w:left="140" w:right="140"/>
        <w:spacing w:after="0" w:line="297" w:lineRule="auto"/>
        <w:rPr>
          <w:sz w:val="20"/>
          <w:szCs w:val="20"/>
          <w:color w:val="auto"/>
        </w:rPr>
      </w:pPr>
      <w:r>
        <w:rPr>
          <w:rFonts w:ascii="Arial" w:cs="Arial" w:eastAsia="Arial" w:hAnsi="Arial"/>
          <w:sz w:val="16"/>
          <w:szCs w:val="16"/>
          <w:b w:val="1"/>
          <w:bCs w:val="1"/>
          <w:color w:val="231F20"/>
        </w:rPr>
        <w:t>Moreover, other legislative changes have been proposed and adopted since the ACA was enacted. For example, the Budget Control Act of 2011, among other things, included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202"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 xml:space="preserve">More recently, the One Big Beautiful Bill Act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OBBBA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was signed into law in July 2025, which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244"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25"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For EU member states, in December 2021, Regulation No 2021/2282 on Health Technology Assessment, or HTA, amending Directive 2011/24/EU, was adopted. The Regulation entered into force in January 2022 and has been applicable since January 2025, with phased implementation based on the type of product i.e.,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25</w:t>
      </w:r>
    </w:p>
    <w:p>
      <w:pPr>
        <w:sectPr>
          <w:pgSz w:w="12240" w:h="15840" w:orient="portrait"/>
          <w:cols w:equalWidth="0" w:num="1">
            <w:col w:w="9360"/>
          </w:cols>
          <w:pgMar w:left="1440" w:top="1440" w:right="1440" w:bottom="390" w:gutter="0" w:footer="0" w:header="0"/>
          <w:type w:val="continuous"/>
        </w:sectPr>
      </w:pPr>
    </w:p>
    <w:bookmarkStart w:id="27" w:name="page28"/>
    <w:bookmarkEnd w:id="27"/>
    <w:p>
      <w:pPr>
        <w:spacing w:after="0" w:line="201" w:lineRule="exact"/>
        <w:rPr>
          <w:sz w:val="20"/>
          <w:szCs w:val="20"/>
          <w:color w:val="auto"/>
        </w:rPr>
      </w:pPr>
    </w:p>
    <w:p>
      <w:pPr>
        <w:jc w:val="both"/>
        <w:ind w:left="140" w:right="140"/>
        <w:spacing w:after="0" w:line="281" w:lineRule="auto"/>
        <w:rPr>
          <w:sz w:val="20"/>
          <w:szCs w:val="20"/>
          <w:color w:val="auto"/>
        </w:rPr>
      </w:pPr>
      <w:r>
        <w:rPr>
          <w:rFonts w:ascii="Arial" w:cs="Arial" w:eastAsia="Arial" w:hAnsi="Arial"/>
          <w:sz w:val="17"/>
          <w:szCs w:val="17"/>
          <w:b w:val="1"/>
          <w:bCs w:val="1"/>
          <w:color w:val="231F20"/>
        </w:rPr>
        <w:t>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3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Data Privacy and Security</w:t>
      </w:r>
    </w:p>
    <w:p>
      <w:pPr>
        <w:spacing w:after="0" w:line="125"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Human Capital</w:t>
      </w:r>
    </w:p>
    <w:p>
      <w:pPr>
        <w:spacing w:after="0" w:line="128"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We are committed to revolutionizing refractive eye surgery. As a global leader in next generation, robotic laser for cataract surgery, our success depends on talented and motivated individuals who share our passion for making a difference in patients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lives. We pride ourselves on having a highly collaborative, innovative environment where initiatives and teamwork are valued, and individual efforts are recognized. Together, we are one team, one vision.</w:t>
      </w:r>
    </w:p>
    <w:p>
      <w:pPr>
        <w:spacing w:after="0" w:line="20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As of December 31, 2025, we had approximately 150 employees that support our manufacturing, research and development, commercial and administrative functions. Primarily all of our workforce is based at our corporate headquarters in Orlando, Florida except for our commercial organization, which is spread throughout the United States based upon geographic responsibility.</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 managing our business, we utilize a variety of human capital measures and objectives, including:</w:t>
      </w:r>
    </w:p>
    <w:p>
      <w:pPr>
        <w:spacing w:after="0" w:line="219" w:lineRule="exact"/>
        <w:rPr>
          <w:sz w:val="20"/>
          <w:szCs w:val="20"/>
          <w:color w:val="auto"/>
        </w:rPr>
      </w:pPr>
    </w:p>
    <w:p>
      <w:pPr>
        <w:jc w:val="both"/>
        <w:ind w:left="840" w:right="140" w:hanging="350"/>
        <w:spacing w:after="0" w:line="221" w:lineRule="exact"/>
        <w:tabs>
          <w:tab w:leader="none" w:pos="840" w:val="left"/>
        </w:tabs>
        <w:numPr>
          <w:ilvl w:val="0"/>
          <w:numId w:val="1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Hiring Strategies: We compete for highly skilled and talented individuals within the market. We promote hiring from within, and we source from outside to bring in new talent when necessary. We strive to have an inclusive workforce, and ultimately the respective hiring team</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goal is to choose the best candidate for each role.</w:t>
      </w:r>
    </w:p>
    <w:p>
      <w:pPr>
        <w:spacing w:after="0" w:line="216" w:lineRule="exact"/>
        <w:rPr>
          <w:rFonts w:ascii="PMingLiU" w:cs="PMingLiU" w:eastAsia="PMingLiU" w:hAnsi="PMingLiU"/>
          <w:sz w:val="19"/>
          <w:szCs w:val="19"/>
          <w:b w:val="1"/>
          <w:bCs w:val="1"/>
          <w:color w:val="231F20"/>
        </w:rPr>
      </w:pPr>
    </w:p>
    <w:p>
      <w:pPr>
        <w:jc w:val="both"/>
        <w:ind w:left="840" w:right="140" w:hanging="350"/>
        <w:spacing w:after="0" w:line="277" w:lineRule="auto"/>
        <w:tabs>
          <w:tab w:leader="none" w:pos="842" w:val="left"/>
        </w:tabs>
        <w:numPr>
          <w:ilvl w:val="0"/>
          <w:numId w:val="18"/>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Retention and Stability: We take pride in the stability and dedication of our workforce. Over 35% of employees have been with the Company five or more years, and over 20% have been with the Company 10 or more years. In 2025, we experienced a full-time employee turnover rate of approximately 10%.</w:t>
      </w:r>
    </w:p>
    <w:p>
      <w:pPr>
        <w:spacing w:after="0" w:line="189" w:lineRule="exact"/>
        <w:rPr>
          <w:rFonts w:ascii="PMingLiU" w:cs="PMingLiU" w:eastAsia="PMingLiU" w:hAnsi="PMingLiU"/>
          <w:sz w:val="17"/>
          <w:szCs w:val="17"/>
          <w:b w:val="1"/>
          <w:bCs w:val="1"/>
          <w:color w:val="231F20"/>
        </w:rPr>
      </w:pPr>
    </w:p>
    <w:p>
      <w:pPr>
        <w:jc w:val="both"/>
        <w:ind w:left="840" w:right="140" w:hanging="350"/>
        <w:spacing w:after="0" w:line="293" w:lineRule="auto"/>
        <w:tabs>
          <w:tab w:leader="none" w:pos="840" w:val="left"/>
        </w:tabs>
        <w:numPr>
          <w:ilvl w:val="0"/>
          <w:numId w:val="18"/>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Culture: We value our employees and the individual and collective contributions employees make to the Company. We believe work-life balance is integral to our employees performing at their best. Given our smaller business orientation, we require individual employees to have broader skillsets and enthusiastic and collaborative dedication to our team-based working groups. We offer development opportunities that align with professional and personal goals. We aim to have quarterly Company-wide meetings to keep employees informed on Company updates and performance, as well as to celebrate corporate milestones and individual years of service achievements. In addition to social activities scheduled throughout the year, we typically have an annual corporate event to bring all employees together for team building. To provide work/life support and resources for employees, we provide access to two Employee Assistance Programs.</w:t>
      </w:r>
    </w:p>
    <w:p>
      <w:pPr>
        <w:spacing w:after="0" w:line="181" w:lineRule="exact"/>
        <w:rPr>
          <w:rFonts w:ascii="PMingLiU" w:cs="PMingLiU" w:eastAsia="PMingLiU" w:hAnsi="PMingLiU"/>
          <w:sz w:val="16"/>
          <w:szCs w:val="16"/>
          <w:b w:val="1"/>
          <w:bCs w:val="1"/>
          <w:color w:val="231F20"/>
        </w:rPr>
      </w:pPr>
    </w:p>
    <w:p>
      <w:pPr>
        <w:jc w:val="both"/>
        <w:ind w:left="840" w:right="140" w:hanging="350"/>
        <w:spacing w:after="0" w:line="316" w:lineRule="auto"/>
        <w:tabs>
          <w:tab w:leader="none" w:pos="838" w:val="left"/>
        </w:tabs>
        <w:numPr>
          <w:ilvl w:val="0"/>
          <w:numId w:val="18"/>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Competitive Pay and Benefits: Our compensation programs are designed to align the compensation of our employees with our corporate performance and to provide the proper incentives to attract, retain, and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26</w:t>
      </w:r>
    </w:p>
    <w:p>
      <w:pPr>
        <w:sectPr>
          <w:pgSz w:w="12240" w:h="15840" w:orient="portrait"/>
          <w:cols w:equalWidth="0" w:num="1">
            <w:col w:w="9360"/>
          </w:cols>
          <w:pgMar w:left="1440" w:top="1440" w:right="1440" w:bottom="390" w:gutter="0" w:footer="0" w:header="0"/>
          <w:type w:val="continuous"/>
        </w:sectPr>
      </w:pPr>
    </w:p>
    <w:bookmarkStart w:id="28" w:name="page29"/>
    <w:bookmarkEnd w:id="28"/>
    <w:p>
      <w:pPr>
        <w:spacing w:after="0" w:line="201" w:lineRule="exact"/>
        <w:rPr>
          <w:sz w:val="20"/>
          <w:szCs w:val="20"/>
          <w:color w:val="auto"/>
        </w:rPr>
      </w:pPr>
    </w:p>
    <w:p>
      <w:pPr>
        <w:ind w:left="840" w:right="140"/>
        <w:spacing w:after="0" w:line="295" w:lineRule="auto"/>
        <w:rPr>
          <w:sz w:val="20"/>
          <w:szCs w:val="20"/>
          <w:color w:val="auto"/>
        </w:rPr>
      </w:pPr>
      <w:r>
        <w:rPr>
          <w:rFonts w:ascii="Arial" w:cs="Arial" w:eastAsia="Arial" w:hAnsi="Arial"/>
          <w:sz w:val="17"/>
          <w:szCs w:val="17"/>
          <w:b w:val="1"/>
          <w:bCs w:val="1"/>
          <w:color w:val="231F20"/>
        </w:rPr>
        <w:t>motivate employees to achieve superior results. The structure of our compensation programs is intended to balance incentive earnings for both short-term and long-term performance. Specifically:</w:t>
      </w:r>
    </w:p>
    <w:p>
      <w:pPr>
        <w:spacing w:after="0" w:line="160" w:lineRule="exact"/>
        <w:rPr>
          <w:sz w:val="20"/>
          <w:szCs w:val="20"/>
          <w:color w:val="auto"/>
        </w:rPr>
      </w:pPr>
    </w:p>
    <w:p>
      <w:pPr>
        <w:ind w:left="1880" w:right="140" w:hanging="342"/>
        <w:spacing w:after="0" w:line="239" w:lineRule="auto"/>
        <w:tabs>
          <w:tab w:leader="none" w:pos="1882" w:val="left"/>
        </w:tabs>
        <w:numPr>
          <w:ilvl w:val="0"/>
          <w:numId w:val="19"/>
        </w:numPr>
        <w:rPr>
          <w:rFonts w:ascii="Arial" w:cs="Arial" w:eastAsia="Arial" w:hAnsi="Arial"/>
          <w:sz w:val="19"/>
          <w:szCs w:val="19"/>
          <w:b w:val="1"/>
          <w:bCs w:val="1"/>
          <w:color w:val="231F20"/>
        </w:rPr>
      </w:pPr>
      <w:r>
        <w:rPr>
          <w:rFonts w:ascii="Arial" w:cs="Arial" w:eastAsia="Arial" w:hAnsi="Arial"/>
          <w:sz w:val="19"/>
          <w:szCs w:val="19"/>
          <w:b w:val="1"/>
          <w:bCs w:val="1"/>
          <w:color w:val="231F20"/>
        </w:rPr>
        <w:t>We provide employee wages that we believe are competitive and consistent with employee positions, skill levels, experience, knowledge and geographic location.</w:t>
      </w:r>
    </w:p>
    <w:p>
      <w:pPr>
        <w:spacing w:after="0" w:line="205" w:lineRule="exact"/>
        <w:rPr>
          <w:rFonts w:ascii="Arial" w:cs="Arial" w:eastAsia="Arial" w:hAnsi="Arial"/>
          <w:sz w:val="19"/>
          <w:szCs w:val="19"/>
          <w:b w:val="1"/>
          <w:bCs w:val="1"/>
          <w:color w:val="231F20"/>
        </w:rPr>
      </w:pPr>
    </w:p>
    <w:p>
      <w:pPr>
        <w:jc w:val="both"/>
        <w:ind w:left="1880" w:right="140" w:hanging="342"/>
        <w:spacing w:after="0" w:line="242" w:lineRule="auto"/>
        <w:tabs>
          <w:tab w:leader="none" w:pos="1882" w:val="left"/>
        </w:tabs>
        <w:numPr>
          <w:ilvl w:val="0"/>
          <w:numId w:val="19"/>
        </w:numPr>
        <w:rPr>
          <w:rFonts w:ascii="Arial" w:cs="Arial" w:eastAsia="Arial" w:hAnsi="Arial"/>
          <w:sz w:val="19"/>
          <w:szCs w:val="19"/>
          <w:b w:val="1"/>
          <w:bCs w:val="1"/>
          <w:color w:val="231F20"/>
        </w:rPr>
      </w:pPr>
      <w:r>
        <w:rPr>
          <w:rFonts w:ascii="Arial" w:cs="Arial" w:eastAsia="Arial" w:hAnsi="Arial"/>
          <w:sz w:val="19"/>
          <w:szCs w:val="19"/>
          <w:b w:val="1"/>
          <w:bCs w:val="1"/>
          <w:color w:val="231F20"/>
        </w:rPr>
        <w:t>We have also engaged outside compensation and benefits consulting firms to help independently evaluate the effectiveness of our executive and benefit programs and to provide benchmarking against our peers within the industry.</w:t>
      </w:r>
    </w:p>
    <w:p>
      <w:pPr>
        <w:spacing w:after="0" w:line="203" w:lineRule="exact"/>
        <w:rPr>
          <w:rFonts w:ascii="Arial" w:cs="Arial" w:eastAsia="Arial" w:hAnsi="Arial"/>
          <w:sz w:val="19"/>
          <w:szCs w:val="19"/>
          <w:b w:val="1"/>
          <w:bCs w:val="1"/>
          <w:color w:val="231F20"/>
        </w:rPr>
      </w:pPr>
    </w:p>
    <w:p>
      <w:pPr>
        <w:jc w:val="both"/>
        <w:ind w:left="1880" w:right="140" w:hanging="342"/>
        <w:spacing w:after="0" w:line="221" w:lineRule="exact"/>
        <w:tabs>
          <w:tab w:leader="none" w:pos="1882" w:val="left"/>
        </w:tabs>
        <w:numPr>
          <w:ilvl w:val="0"/>
          <w:numId w:val="19"/>
        </w:numPr>
        <w:rPr>
          <w:rFonts w:ascii="Arial" w:cs="Arial" w:eastAsia="Arial" w:hAnsi="Arial"/>
          <w:sz w:val="19"/>
          <w:szCs w:val="19"/>
          <w:b w:val="1"/>
          <w:bCs w:val="1"/>
          <w:color w:val="231F20"/>
        </w:rPr>
      </w:pPr>
      <w:r>
        <w:rPr>
          <w:rFonts w:ascii="Arial" w:cs="Arial" w:eastAsia="Arial" w:hAnsi="Arial"/>
          <w:sz w:val="19"/>
          <w:szCs w:val="19"/>
          <w:b w:val="1"/>
          <w:bCs w:val="1"/>
          <w:color w:val="231F20"/>
        </w:rPr>
        <w:t>We look to align our executives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long-term equity compensation with our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interests. In addition, we currently provide equity benefits to all employees to encourage Company ownership and align all employee interests with that of our stockholders. We believe this incentivizes the entire employee base in relation to the successful achievement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goals.</w:t>
      </w:r>
    </w:p>
    <w:p>
      <w:pPr>
        <w:spacing w:after="0" w:line="203" w:lineRule="exact"/>
        <w:rPr>
          <w:rFonts w:ascii="Arial" w:cs="Arial" w:eastAsia="Arial" w:hAnsi="Arial"/>
          <w:sz w:val="19"/>
          <w:szCs w:val="19"/>
          <w:b w:val="1"/>
          <w:bCs w:val="1"/>
          <w:color w:val="231F20"/>
        </w:rPr>
      </w:pPr>
    </w:p>
    <w:p>
      <w:pPr>
        <w:ind w:left="1880" w:right="140" w:hanging="342"/>
        <w:spacing w:after="0" w:line="329" w:lineRule="auto"/>
        <w:tabs>
          <w:tab w:leader="none" w:pos="1882" w:val="left"/>
        </w:tabs>
        <w:numPr>
          <w:ilvl w:val="0"/>
          <w:numId w:val="19"/>
        </w:numPr>
        <w:rPr>
          <w:rFonts w:ascii="Arial" w:cs="Arial" w:eastAsia="Arial" w:hAnsi="Arial"/>
          <w:sz w:val="16"/>
          <w:szCs w:val="16"/>
          <w:b w:val="1"/>
          <w:bCs w:val="1"/>
          <w:color w:val="231F20"/>
        </w:rPr>
      </w:pPr>
      <w:r>
        <w:rPr>
          <w:rFonts w:ascii="Arial" w:cs="Arial" w:eastAsia="Arial" w:hAnsi="Arial"/>
          <w:sz w:val="16"/>
          <w:szCs w:val="16"/>
          <w:b w:val="1"/>
          <w:bCs w:val="1"/>
          <w:color w:val="231F20"/>
        </w:rPr>
        <w:t>Annual increases and incentive compensation are based on merit, which is communicated to employees at the time of hiring and documented through our talent management process.</w:t>
      </w:r>
    </w:p>
    <w:p>
      <w:pPr>
        <w:spacing w:after="0" w:line="136" w:lineRule="exact"/>
        <w:rPr>
          <w:rFonts w:ascii="Arial" w:cs="Arial" w:eastAsia="Arial" w:hAnsi="Arial"/>
          <w:sz w:val="16"/>
          <w:szCs w:val="16"/>
          <w:b w:val="1"/>
          <w:bCs w:val="1"/>
          <w:color w:val="231F20"/>
        </w:rPr>
      </w:pPr>
    </w:p>
    <w:p>
      <w:pPr>
        <w:jc w:val="both"/>
        <w:ind w:left="1880" w:right="140" w:hanging="342"/>
        <w:spacing w:after="0" w:line="243" w:lineRule="auto"/>
        <w:tabs>
          <w:tab w:leader="none" w:pos="1882" w:val="left"/>
        </w:tabs>
        <w:numPr>
          <w:ilvl w:val="0"/>
          <w:numId w:val="19"/>
        </w:numPr>
        <w:rPr>
          <w:rFonts w:ascii="Arial" w:cs="Arial" w:eastAsia="Arial" w:hAnsi="Arial"/>
          <w:sz w:val="19"/>
          <w:szCs w:val="19"/>
          <w:b w:val="1"/>
          <w:bCs w:val="1"/>
          <w:color w:val="231F20"/>
        </w:rPr>
      </w:pPr>
      <w:r>
        <w:rPr>
          <w:rFonts w:ascii="Arial" w:cs="Arial" w:eastAsia="Arial" w:hAnsi="Arial"/>
          <w:sz w:val="19"/>
          <w:szCs w:val="19"/>
          <w:b w:val="1"/>
          <w:bCs w:val="1"/>
          <w:color w:val="231F20"/>
        </w:rPr>
        <w:t>All full-time employees are eligible for health insurance, paid and unpaid leaves, a retirement plan with company match and immediate vesting, and disability insurance. The Company also offers a generous holiday schedule and a Company-wide shut down during the December holidays.</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Seasonality</w:t>
      </w:r>
    </w:p>
    <w:p>
      <w:pPr>
        <w:spacing w:after="0" w:line="12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have historically experienced seasonal variations in the sales and leases of our products, with our fourth quarter typically being the strongest and the first quarter being the slowest. We believe these seasonal variations are consistent across our industry.</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Corporate Information</w:t>
      </w:r>
    </w:p>
    <w:p>
      <w:pPr>
        <w:spacing w:after="0" w:line="128"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We were incorporated in the State of Delaware on August 20, 2004 and became a direct, majority-owned subsidiary of PDL BioPharma, Inc., or PDL, in 2017. In October 2020, we completed a spin-off of LENSAR, Inc. from PDL in the form of a dividend involving the distribution of all outstanding shares of our common stock owned by PDL to the holders of PDL common stock, or Spin-Off. Following the completion of the Spin-Off, PDL no longer owns any equity interest in us, and we became an independent public company on October 1, 2020.</w:t>
      </w:r>
    </w:p>
    <w:p>
      <w:pPr>
        <w:spacing w:after="0" w:line="32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Available Information</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We file annual, quarterly and current reports, proxy statements and other information with the U.S. Securities and Exchange Commission, or SEC. Our SEC filings are available to the public over the Internet at the SEC</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website at www.sec.gov. Our SEC filings are also available free of charge under the Investor Relations section of our website at www.lensar.com as soon as reasonably practicable after they are filed with or furnished to the SEC. We may use our website as a distribution channel of material information about the Company. Financial and other important information regarding the Company is routinely posted on and accessible through the Investor Relations sections of our website at www.lensar.com. In addition, you may automatically receive email alerts and other information about the Company when you enroll your email address by under the Investor Email Alerts option on the Investor Relations page of our website at www.lensar.com. Our website and the information available through our website are not incorporated into this Annual Report.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27</w:t>
      </w:r>
    </w:p>
    <w:p>
      <w:pPr>
        <w:sectPr>
          <w:pgSz w:w="12240" w:h="15840" w:orient="portrait"/>
          <w:cols w:equalWidth="0" w:num="1">
            <w:col w:w="9360"/>
          </w:cols>
          <w:pgMar w:left="1440" w:top="1440" w:right="1440" w:bottom="390" w:gutter="0" w:footer="0" w:header="0"/>
          <w:type w:val="continuous"/>
        </w:sectPr>
      </w:pPr>
    </w:p>
    <w:bookmarkStart w:id="29" w:name="page30"/>
    <w:bookmarkEnd w:id="29"/>
    <w:p>
      <w:pPr>
        <w:spacing w:after="0" w:line="196"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1A.</w:t>
      </w:r>
      <w:r>
        <w:rPr>
          <w:sz w:val="20"/>
          <w:szCs w:val="20"/>
          <w:color w:val="auto"/>
        </w:rPr>
        <w:tab/>
      </w:r>
      <w:r>
        <w:rPr>
          <w:rFonts w:ascii="Arial" w:cs="Arial" w:eastAsia="Arial" w:hAnsi="Arial"/>
          <w:sz w:val="17"/>
          <w:szCs w:val="17"/>
          <w:b w:val="1"/>
          <w:bCs w:val="1"/>
          <w:color w:val="231F20"/>
        </w:rPr>
        <w:t>Risk Factors.</w:t>
      </w:r>
    </w:p>
    <w:p>
      <w:pPr>
        <w:spacing w:after="0" w:line="128"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Investing in our common stock involves a high degree of risk. You should carefully consider the risks described below, as well as the other information in this Annual Report, including our audited financial statements and the related notes,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32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Risks Related to the Terminated Merger Agreement</w:t>
      </w:r>
    </w:p>
    <w:p>
      <w:pPr>
        <w:spacing w:after="0" w:line="128"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9"/>
          <w:szCs w:val="19"/>
          <w:b w:val="1"/>
          <w:bCs w:val="1"/>
          <w:color w:val="231F20"/>
        </w:rPr>
        <w:t>The announcement of the termination of the Merger Agreement could negatively impact our business, financial condition, results of operations or our stock price.</w:t>
      </w:r>
    </w:p>
    <w:p>
      <w:pPr>
        <w:spacing w:after="0" w:line="101"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Our announcement of having entered into the Agreement and Plan of Merger, dated as of March 23, 2025, by and among the Company, Alcon Research, LLC, a Delaware limited liability company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Alcon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and VMI Option Merger Sub, Inc., a Delaware corporation and a wholly owned subsidiary of Alcon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Merger Sub</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has caused, and may continue to cause, a material disruption to our business. We also announced that the Merger Agreement has been terminated by us and Alcon, as described below. We are subject to several risks as a result of the announcement and termination of the Merger Agreement, including, but not limited to, the following:</w:t>
      </w:r>
    </w:p>
    <w:p>
      <w:pPr>
        <w:spacing w:after="0" w:line="221" w:lineRule="exact"/>
        <w:rPr>
          <w:sz w:val="20"/>
          <w:szCs w:val="20"/>
          <w:color w:val="auto"/>
        </w:rPr>
      </w:pPr>
    </w:p>
    <w:p>
      <w:pPr>
        <w:jc w:val="both"/>
        <w:ind w:left="1080" w:right="140" w:hanging="466"/>
        <w:spacing w:after="0" w:line="220" w:lineRule="exact"/>
        <w:tabs>
          <w:tab w:leader="none" w:pos="1080" w:val="left"/>
        </w:tabs>
        <w:numPr>
          <w:ilvl w:val="0"/>
          <w:numId w:val="20"/>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 xml:space="preserve">certain costs related to the Merger Agreement and the transactions contemplated thereunder (collectively,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Merger</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including the fees and/or expenses of our legal, accounting and financial advisors that must be paid despite the Merger not being completed;</w:t>
      </w:r>
    </w:p>
    <w:p>
      <w:pPr>
        <w:spacing w:after="0" w:line="219" w:lineRule="exact"/>
        <w:rPr>
          <w:rFonts w:ascii="PMingLiU" w:cs="PMingLiU" w:eastAsia="PMingLiU" w:hAnsi="PMingLiU"/>
          <w:sz w:val="18"/>
          <w:szCs w:val="18"/>
          <w:b w:val="1"/>
          <w:bCs w:val="1"/>
          <w:color w:val="231F20"/>
        </w:rPr>
      </w:pPr>
    </w:p>
    <w:p>
      <w:pPr>
        <w:ind w:left="1080" w:right="140" w:hanging="466"/>
        <w:spacing w:after="0" w:line="253" w:lineRule="auto"/>
        <w:tabs>
          <w:tab w:leader="none" w:pos="1080" w:val="left"/>
        </w:tabs>
        <w:numPr>
          <w:ilvl w:val="0"/>
          <w:numId w:val="20"/>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our inability to retain existing key employees or hire new capable employees, given the uncertainty regarding our future, in order to execute on our continuing business operations;</w:t>
      </w:r>
    </w:p>
    <w:p>
      <w:pPr>
        <w:spacing w:after="0" w:line="204" w:lineRule="exact"/>
        <w:rPr>
          <w:rFonts w:ascii="PMingLiU" w:cs="PMingLiU" w:eastAsia="PMingLiU" w:hAnsi="PMingLiU"/>
          <w:sz w:val="18"/>
          <w:szCs w:val="18"/>
          <w:b w:val="1"/>
          <w:bCs w:val="1"/>
          <w:color w:val="231F20"/>
        </w:rPr>
      </w:pPr>
    </w:p>
    <w:p>
      <w:pPr>
        <w:ind w:left="1080" w:right="140" w:hanging="466"/>
        <w:spacing w:after="0" w:line="233" w:lineRule="auto"/>
        <w:tabs>
          <w:tab w:leader="none" w:pos="1080" w:val="left"/>
        </w:tabs>
        <w:numPr>
          <w:ilvl w:val="0"/>
          <w:numId w:val="2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failure to complete the Merger may result in negative publicity and/or a negative impression of us in the investment community or business community generally;</w:t>
      </w:r>
    </w:p>
    <w:p>
      <w:pPr>
        <w:spacing w:after="0" w:line="214" w:lineRule="exact"/>
        <w:rPr>
          <w:rFonts w:ascii="PMingLiU" w:cs="PMingLiU" w:eastAsia="PMingLiU" w:hAnsi="PMingLiU"/>
          <w:sz w:val="19"/>
          <w:szCs w:val="19"/>
          <w:b w:val="1"/>
          <w:bCs w:val="1"/>
          <w:color w:val="231F20"/>
        </w:rPr>
      </w:pPr>
    </w:p>
    <w:p>
      <w:pPr>
        <w:ind w:left="1080" w:hanging="466"/>
        <w:spacing w:after="0"/>
        <w:tabs>
          <w:tab w:leader="none" w:pos="1080" w:val="left"/>
        </w:tabs>
        <w:numPr>
          <w:ilvl w:val="0"/>
          <w:numId w:val="20"/>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difficulties maintaining relationships with collaborators, vendors, and other business partners;</w:t>
      </w:r>
    </w:p>
    <w:p>
      <w:pPr>
        <w:spacing w:after="0" w:line="216" w:lineRule="exact"/>
        <w:rPr>
          <w:rFonts w:ascii="PMingLiU" w:cs="PMingLiU" w:eastAsia="PMingLiU" w:hAnsi="PMingLiU"/>
          <w:sz w:val="18"/>
          <w:szCs w:val="18"/>
          <w:b w:val="1"/>
          <w:bCs w:val="1"/>
          <w:color w:val="231F20"/>
        </w:rPr>
      </w:pPr>
    </w:p>
    <w:p>
      <w:pPr>
        <w:jc w:val="both"/>
        <w:ind w:left="1080" w:right="140" w:hanging="466"/>
        <w:spacing w:after="0" w:line="237" w:lineRule="auto"/>
        <w:tabs>
          <w:tab w:leader="none" w:pos="1080" w:val="left"/>
        </w:tabs>
        <w:numPr>
          <w:ilvl w:val="0"/>
          <w:numId w:val="2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third parties may determine to terminate and/or attempt to renegotiate their relationship with us as a result of the Merger or the termination of the Merger Agreement, whether pursuant to the terms of their existing agreements with us or otherwise; and</w:t>
      </w:r>
    </w:p>
    <w:p>
      <w:pPr>
        <w:spacing w:after="0" w:line="219" w:lineRule="exact"/>
        <w:rPr>
          <w:rFonts w:ascii="PMingLiU" w:cs="PMingLiU" w:eastAsia="PMingLiU" w:hAnsi="PMingLiU"/>
          <w:sz w:val="19"/>
          <w:szCs w:val="19"/>
          <w:b w:val="1"/>
          <w:bCs w:val="1"/>
          <w:color w:val="231F20"/>
        </w:rPr>
      </w:pPr>
    </w:p>
    <w:p>
      <w:pPr>
        <w:ind w:left="1080" w:right="140" w:hanging="466"/>
        <w:spacing w:after="0" w:line="233" w:lineRule="auto"/>
        <w:tabs>
          <w:tab w:leader="none" w:pos="1080" w:val="left"/>
        </w:tabs>
        <w:numPr>
          <w:ilvl w:val="0"/>
          <w:numId w:val="2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could be subject to further litigation related to the Merger, including the failure to complete the Merger.</w:t>
      </w:r>
    </w:p>
    <w:p>
      <w:pPr>
        <w:spacing w:after="0" w:line="359"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may experience shareholder litigation related to the termination of the Merger Agreement, which could result in payment of damages.</w:t>
      </w:r>
    </w:p>
    <w:p>
      <w:pPr>
        <w:spacing w:after="0" w:line="129"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In connection with the Merger, certain purported stockholders of the Company have sent demand letters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Demands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alleging deficiencies and/or omissions regarding the disclosures made in the preliminary proxy statement filed by the Company with the SEC on May 7, 2025 or the definitive proxy statement filed by the Company with the SEC on May 19, 2025. The purported stockholders may not view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cooperative actions in response to the Demands, such as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additional disclosure filed with the SEC on June 25, 2025, as sufficient. In addition, we have received a demand from a purported stockholder seeking to inspect certain corporate books and records, in order to investigate, among other things, purported breaches of fiduciary duty by members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board of directors in connection with the Merger. The same stockholder filed a verified complaint to compel the inspection of books and records in the Delaware Court of Chancery. These actions could have the effect of increasing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costs, diverting our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attention and resources, delaying or adversely affecting the Merger or resulting in the payment of damages, which could result in a material adverse effect on our business, financial condition and results of operations.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28</w:t>
      </w:r>
    </w:p>
    <w:p>
      <w:pPr>
        <w:sectPr>
          <w:pgSz w:w="12240" w:h="15840" w:orient="portrait"/>
          <w:cols w:equalWidth="0" w:num="1">
            <w:col w:w="9360"/>
          </w:cols>
          <w:pgMar w:left="1440" w:top="1440" w:right="1440" w:bottom="390" w:gutter="0" w:footer="0" w:header="0"/>
          <w:type w:val="continuous"/>
        </w:sectPr>
      </w:pPr>
    </w:p>
    <w:bookmarkStart w:id="30" w:name="page31"/>
    <w:bookmarkEnd w:id="30"/>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Risks Related to Our Business</w:t>
      </w:r>
    </w:p>
    <w:p>
      <w:pPr>
        <w:spacing w:after="0" w:line="128" w:lineRule="exact"/>
        <w:rPr>
          <w:sz w:val="20"/>
          <w:szCs w:val="20"/>
          <w:color w:val="auto"/>
        </w:rPr>
      </w:pPr>
    </w:p>
    <w:p>
      <w:pPr>
        <w:ind w:left="140" w:right="660"/>
        <w:spacing w:after="0" w:line="239" w:lineRule="auto"/>
        <w:rPr>
          <w:sz w:val="20"/>
          <w:szCs w:val="20"/>
          <w:color w:val="auto"/>
        </w:rPr>
      </w:pPr>
      <w:r>
        <w:rPr>
          <w:rFonts w:ascii="Arial" w:cs="Arial" w:eastAsia="Arial" w:hAnsi="Arial"/>
          <w:sz w:val="19"/>
          <w:szCs w:val="19"/>
          <w:b w:val="1"/>
          <w:bCs w:val="1"/>
          <w:color w:val="231F20"/>
        </w:rPr>
        <w:t>Our results have been in the past, and could be in the future, adversely affected by economic uncertainty or deteriorations in economic conditions.</w:t>
      </w:r>
    </w:p>
    <w:p>
      <w:pPr>
        <w:spacing w:after="0" w:line="126"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Global economic uncertainty, including due to factors such as increased inflation, rising interest rates, prolonged government shutdowns, and increased tariffs and other trade barriers,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324"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have experienced and expect to incur operating losses for the near-term future and we cannot assure you that we will be able to generate sufficient revenue to achieve or sustain profitability.</w:t>
      </w:r>
    </w:p>
    <w:p>
      <w:pPr>
        <w:spacing w:after="0" w:line="129"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For the years ended December 31, 2025 and 2024, we had net losses of $34.3 million and $31.4 million, respectively. As of December 31, 2025, we had an accumulated deficit of $177.6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332"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08"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spacing w:after="0" w:line="219"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29</w:t>
      </w:r>
    </w:p>
    <w:p>
      <w:pPr>
        <w:sectPr>
          <w:pgSz w:w="12240" w:h="15840" w:orient="portrait"/>
          <w:cols w:equalWidth="0" w:num="1">
            <w:col w:w="9360"/>
          </w:cols>
          <w:pgMar w:left="1440" w:top="1440" w:right="1440" w:bottom="390" w:gutter="0" w:footer="0" w:header="0"/>
          <w:type w:val="continuous"/>
        </w:sectPr>
      </w:pPr>
    </w:p>
    <w:bookmarkStart w:id="31" w:name="page32"/>
    <w:bookmarkEnd w:id="31"/>
    <w:p>
      <w:pPr>
        <w:spacing w:after="0" w:line="201"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used. Our ability to maintain and increase market acceptance of our products depends on a number of factors, including:</w:t>
      </w:r>
    </w:p>
    <w:p>
      <w:pPr>
        <w:spacing w:after="0" w:line="220" w:lineRule="exact"/>
        <w:rPr>
          <w:sz w:val="20"/>
          <w:szCs w:val="20"/>
          <w:color w:val="auto"/>
        </w:rPr>
      </w:pPr>
    </w:p>
    <w:p>
      <w:pPr>
        <w:ind w:left="840" w:right="140" w:hanging="350"/>
        <w:spacing w:after="0" w:line="253" w:lineRule="auto"/>
        <w:tabs>
          <w:tab w:leader="none" w:pos="840" w:val="left"/>
        </w:tabs>
        <w:numPr>
          <w:ilvl w:val="0"/>
          <w:numId w:val="21"/>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our ability to provide visual outcomes and economic data that show the safety, efficacy, cost effectiveness and other patient benefits from use of our Systems or other future products;</w:t>
      </w:r>
    </w:p>
    <w:p>
      <w:pPr>
        <w:spacing w:after="0" w:line="190"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acceptance by cataract surgeons and others in the medical community of our Systems;</w:t>
      </w:r>
    </w:p>
    <w:p>
      <w:pPr>
        <w:spacing w:after="0" w:line="216"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potential and perceived advantages and disadvantages of our Systems as compared to competing products;</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37" w:lineRule="auto"/>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willingness of patients to pay out-of-pocket for procedures in which our Systems or other future products is used but for which limited reimbursement by third-party payors, including government authorities, is available;</w:t>
      </w:r>
    </w:p>
    <w:p>
      <w:pPr>
        <w:spacing w:after="0" w:line="217"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effectiveness of our sales and marketing efforts, and of those of our international distributors;</w:t>
      </w:r>
    </w:p>
    <w:p>
      <w:pPr>
        <w:spacing w:after="0" w:line="208" w:lineRule="exact"/>
        <w:rPr>
          <w:rFonts w:ascii="PMingLiU" w:cs="PMingLiU" w:eastAsia="PMingLiU" w:hAnsi="PMingLiU"/>
          <w:sz w:val="17"/>
          <w:szCs w:val="17"/>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prevalence and severity of any complications associated with using our Systems;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ease of use, reliability and convenience of our Systems relative to competing products;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competitive response and negative selling efforts from providers of competing products;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quality of outcomes for patients in procedures in which surgeons use our Systems;</w:t>
      </w:r>
    </w:p>
    <w:p>
      <w:pPr>
        <w:spacing w:after="0" w:line="21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the results of clinical trials and post-market clinical studies relating to the use of our Systems;</w:t>
      </w:r>
    </w:p>
    <w:p>
      <w:pPr>
        <w:spacing w:after="0" w:line="201"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technical leadership of our research and development teams;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absence of third-party blocking intellectual property;</w:t>
      </w:r>
    </w:p>
    <w:p>
      <w:pPr>
        <w:spacing w:after="0" w:line="216"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1"/>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our ability to introduce our products to the market with speed and on time with our projected timelines;</w:t>
      </w:r>
    </w:p>
    <w:p>
      <w:pPr>
        <w:spacing w:after="0" w:line="225" w:lineRule="exact"/>
        <w:rPr>
          <w:rFonts w:ascii="PMingLiU" w:cs="PMingLiU" w:eastAsia="PMingLiU" w:hAnsi="PMingLiU"/>
          <w:sz w:val="17"/>
          <w:szCs w:val="17"/>
          <w:b w:val="1"/>
          <w:bCs w:val="1"/>
          <w:color w:val="231F20"/>
        </w:rPr>
      </w:pPr>
    </w:p>
    <w:p>
      <w:pPr>
        <w:ind w:left="840" w:right="140" w:hanging="350"/>
        <w:spacing w:after="0" w:line="233" w:lineRule="auto"/>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pricing pressure, including from larger, well-capitalized and product-diverse competitors, corporate-owned ASCs, group purchasing organizations, and government payors; and</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availability of coverage and adequate reimbursement for procedures using our Systems or other future products from third-party payors, including government authorities.</w:t>
      </w:r>
    </w:p>
    <w:p>
      <w:pPr>
        <w:spacing w:after="0" w:line="244"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Failure to maintain or increase market acceptance would limit our ability to generate revenue and would have a material adverse effect on our business, financial condition and results of operations.</w:t>
      </w:r>
    </w:p>
    <w:p>
      <w:pPr>
        <w:spacing w:after="0" w:line="362"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Our growth depends on our ability to gain regulatory clearances and certifications, as well as our ability to meet production goals for our ALLY System.</w:t>
      </w:r>
    </w:p>
    <w:p>
      <w:pPr>
        <w:spacing w:after="0" w:line="126"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In addition, our ability to meet production goals can also be impacted by supply chain interruptions. If we experience supply chain constraints, we may be unable to deliver ALLY Systems as planned.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30</w:t>
      </w:r>
    </w:p>
    <w:p>
      <w:pPr>
        <w:sectPr>
          <w:pgSz w:w="12240" w:h="15840" w:orient="portrait"/>
          <w:cols w:equalWidth="0" w:num="1">
            <w:col w:w="9360"/>
          </w:cols>
          <w:pgMar w:left="1440" w:top="1440" w:right="1440" w:bottom="390" w:gutter="0" w:footer="0" w:header="0"/>
          <w:type w:val="continuous"/>
        </w:sectPr>
      </w:pPr>
    </w:p>
    <w:bookmarkStart w:id="32" w:name="page33"/>
    <w:bookmarkEnd w:id="32"/>
    <w:p>
      <w:pPr>
        <w:spacing w:after="0" w:line="201"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The success of our ALLY System or any other new product offering or product enhancements we pursue will depend on several factors, including our ability to:</w:t>
      </w:r>
    </w:p>
    <w:p>
      <w:pPr>
        <w:spacing w:after="0" w:line="203" w:lineRule="exact"/>
        <w:rPr>
          <w:sz w:val="20"/>
          <w:szCs w:val="20"/>
          <w:color w:val="auto"/>
        </w:rPr>
      </w:pPr>
    </w:p>
    <w:p>
      <w:pPr>
        <w:ind w:left="840" w:hanging="350"/>
        <w:spacing w:after="0"/>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properly identify and anticipate cataract surgeon and patient needs;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develop and introduce new products and product enhancements in a timely manner;</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exclude competition based on our intellectual property rights;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avoid infringing upon the intellectual property rights of third parties;</w:t>
      </w:r>
    </w:p>
    <w:p>
      <w:pPr>
        <w:spacing w:after="0" w:line="218" w:lineRule="exact"/>
        <w:rPr>
          <w:rFonts w:ascii="PMingLiU" w:cs="PMingLiU" w:eastAsia="PMingLiU" w:hAnsi="PMingLiU"/>
          <w:sz w:val="19"/>
          <w:szCs w:val="19"/>
          <w:b w:val="1"/>
          <w:bCs w:val="1"/>
          <w:color w:val="231F20"/>
        </w:rPr>
      </w:pPr>
    </w:p>
    <w:p>
      <w:pPr>
        <w:ind w:left="840" w:right="140" w:hanging="350"/>
        <w:spacing w:after="0" w:line="232" w:lineRule="auto"/>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demonstrate, if required, the safety and efficacy of new products with data from preclinical studies and clinical trials;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obtain the necessary regulatory clearances, certifications or approvals for expanded indications, new products or product modifications;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be fully FDA (or other regulatory authority)-compliant with manufacturing and marketing of new devices or modified products;</w:t>
      </w:r>
    </w:p>
    <w:p>
      <w:pPr>
        <w:spacing w:after="0" w:line="200"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provide adequate training to potential users of these products;</w:t>
      </w:r>
    </w:p>
    <w:p>
      <w:pPr>
        <w:spacing w:after="0" w:line="218"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receive adequate coverage and reimbursement for procedures performed with our ALLY System or any other products we may develop in the future; and</w:t>
      </w:r>
    </w:p>
    <w:p>
      <w:pPr>
        <w:spacing w:after="0" w:line="200"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develop an effective and dedicated sales and marketing team.</w:t>
      </w:r>
    </w:p>
    <w:p>
      <w:pPr>
        <w:spacing w:after="0" w:line="243"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If we are not successful in expanding our product offering, our ability to increase our revenue may be impaired, which could have a material adverse effect on our business, financial condition and results of operations.</w:t>
      </w:r>
    </w:p>
    <w:p>
      <w:pPr>
        <w:spacing w:after="0" w:line="316"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2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250"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Additionally, weak or uncertain economic conditions may cause individuals to be less willing to pay for advanced cataract procedures. Our Systems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36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24"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In order to generate future sales growth within the United States, we will need to expand the size and geographic scope of our U.S. direct sales organization. Accordingly, our future success will depend largely on our ability to</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31</w:t>
      </w:r>
    </w:p>
    <w:p>
      <w:pPr>
        <w:sectPr>
          <w:pgSz w:w="12240" w:h="15840" w:orient="portrait"/>
          <w:cols w:equalWidth="0" w:num="1">
            <w:col w:w="9360"/>
          </w:cols>
          <w:pgMar w:left="1440" w:top="1440" w:right="1440" w:bottom="390" w:gutter="0" w:footer="0" w:header="0"/>
          <w:type w:val="continuous"/>
        </w:sectPr>
      </w:pPr>
    </w:p>
    <w:bookmarkStart w:id="33" w:name="page34"/>
    <w:bookmarkEnd w:id="33"/>
    <w:p>
      <w:pPr>
        <w:spacing w:after="0" w:line="201"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213"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Additionally, we rely exclusively on a network of independent distributors to generate sales and leases of our Systems as well as purchases of our consumables and licensed applications outside of the United States. For the year ended December 31, 2025, one customer accounted for approximately 13%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demands and we may be unable to find a suitable replacement on a timely basis or on commercially reasonable terms. Any failure to deliver products in a timely manner may damage our reputation and could cause us to lose potential customers.</w:t>
      </w:r>
    </w:p>
    <w:p>
      <w:pPr>
        <w:spacing w:after="0" w:line="369"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Our future capital needs are uncertain, and we may need to raise additional funds in the future, and such funds may not be available on acceptable terms or at all.</w:t>
      </w:r>
    </w:p>
    <w:p>
      <w:pPr>
        <w:spacing w:after="0" w:line="126"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We expect our revenues and expenses to increase in connection with our ongoing activities, particularly as we continue to execute on our business strategy, including investment in our sales and customer support teams. The primary factors determining our cash needs are the funding of operations, which we expect to continue to expand as the business grows, and enhancing our product offerings through research and development, further regulatory clearances and launches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Tariffs have resulted in increased costs on various components within the ALLY System and PIDs. As we have not passed on these additional costs to our customers, we have experienced a negative impact on our gross margin, which may continue to the extent we take this approach in future periods.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212"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As of the date of this Annual Report, we expect our current cash and cash equivalents, together with cash generated from the future sale and lease of our products, to be sufficient to operate our business for at least one year from the date of issuance of the financial statements included in this Annual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83" w:lineRule="exact"/>
        <w:rPr>
          <w:sz w:val="20"/>
          <w:szCs w:val="20"/>
          <w:color w:val="auto"/>
        </w:rPr>
      </w:pPr>
    </w:p>
    <w:p>
      <w:pPr>
        <w:ind w:left="840" w:hanging="350"/>
        <w:spacing w:after="0"/>
        <w:tabs>
          <w:tab w:leader="none" w:pos="840" w:val="left"/>
        </w:tabs>
        <w:numPr>
          <w:ilvl w:val="0"/>
          <w:numId w:val="2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revenue generated by the sale, lease or use of our Systems;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costs associated with expanding our sales and marketing efforts;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32</w:t>
      </w:r>
    </w:p>
    <w:p>
      <w:pPr>
        <w:sectPr>
          <w:pgSz w:w="12240" w:h="15840" w:orient="portrait"/>
          <w:cols w:equalWidth="0" w:num="1">
            <w:col w:w="9360"/>
          </w:cols>
          <w:pgMar w:left="1440" w:top="1440" w:right="1440" w:bottom="390" w:gutter="0" w:footer="0" w:header="0"/>
          <w:type w:val="continuous"/>
        </w:sectPr>
      </w:pPr>
    </w:p>
    <w:bookmarkStart w:id="34" w:name="page35"/>
    <w:bookmarkEnd w:id="34"/>
    <w:p>
      <w:pPr>
        <w:spacing w:after="0" w:line="216" w:lineRule="exact"/>
        <w:rPr>
          <w:sz w:val="20"/>
          <w:szCs w:val="20"/>
          <w:color w:val="auto"/>
        </w:rPr>
      </w:pPr>
    </w:p>
    <w:p>
      <w:pPr>
        <w:ind w:left="840" w:right="140" w:hanging="350"/>
        <w:spacing w:after="0" w:line="282" w:lineRule="auto"/>
        <w:tabs>
          <w:tab w:leader="none" w:pos="840" w:val="left"/>
        </w:tabs>
        <w:numPr>
          <w:ilvl w:val="0"/>
          <w:numId w:val="24"/>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expenses we incur in procuring, manufacturing and selling our Systems, including increased costs, uncertainties, and delays associated with global supply chain disruptions and inflationary pressures;</w:t>
      </w:r>
    </w:p>
    <w:p>
      <w:pPr>
        <w:spacing w:after="0" w:line="183" w:lineRule="exact"/>
        <w:rPr>
          <w:rFonts w:ascii="PMingLiU" w:cs="PMingLiU" w:eastAsia="PMingLiU" w:hAnsi="PMingLiU"/>
          <w:sz w:val="17"/>
          <w:szCs w:val="17"/>
          <w:b w:val="1"/>
          <w:bCs w:val="1"/>
          <w:color w:val="231F20"/>
        </w:rPr>
      </w:pPr>
    </w:p>
    <w:p>
      <w:pPr>
        <w:jc w:val="both"/>
        <w:ind w:left="840" w:right="140" w:hanging="350"/>
        <w:spacing w:after="0" w:line="237" w:lineRule="auto"/>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costs of commercializing the ALLY System, including increased costs associated with supply chain disruptions, inflationary pressures, the impact of increased tariffs or other trade barriers, sales in regions outside the U.S. or other new products or technologies;</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scope, rate of progress and cost of our clinical studies that we are currently conducting or may conduct in the future;</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 and timing of obtaining and maintaining regulatory approval, certification or clearance of our products and planned or future products;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costs associated with any product recall that may occur;</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costs associated with complying with state, federal and foreign laws and regulations;</w:t>
      </w:r>
    </w:p>
    <w:p>
      <w:pPr>
        <w:spacing w:after="0" w:line="218"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 of filing and prosecuting patent applications and defending and enforcing our patent and other intellectual property rights;</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 of defending, in litigation or otherwise, any claims that we infringe third-party patent or other intellectual property rights;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 of enforcing or defending against non-competition claims;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number and timing of acquisitions and other strategic transactions;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costs associated with increased capital expenditures;</w:t>
      </w:r>
    </w:p>
    <w:p>
      <w:pPr>
        <w:spacing w:after="0" w:line="218"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anticipated and unanticipated general and administrative expenses, including expenses related to operating as a public company and insurance expenses; and</w:t>
      </w:r>
    </w:p>
    <w:p>
      <w:pPr>
        <w:spacing w:after="0" w:line="200"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costs associated with any adverse market conditions or other macroeconomic factors.</w:t>
      </w:r>
    </w:p>
    <w:p>
      <w:pPr>
        <w:spacing w:after="0" w:line="24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241"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50.6% of our total outstanding shares of common stock based on our shares outstanding as of December 31, 2025,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Redeemable Convertible Preferred Stock,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33</w:t>
      </w:r>
    </w:p>
    <w:p>
      <w:pPr>
        <w:sectPr>
          <w:pgSz w:w="12240" w:h="15840" w:orient="portrait"/>
          <w:cols w:equalWidth="0" w:num="1">
            <w:col w:w="9360"/>
          </w:cols>
          <w:pgMar w:left="1440" w:top="1440" w:right="1440" w:bottom="390" w:gutter="0" w:footer="0" w:header="0"/>
          <w:type w:val="continuous"/>
        </w:sectPr>
      </w:pPr>
    </w:p>
    <w:bookmarkStart w:id="35" w:name="page36"/>
    <w:bookmarkEnd w:id="35"/>
    <w:p>
      <w:pPr>
        <w:spacing w:after="0" w:line="20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Series A Redeemable Convertible Preferred Stock, and any other repurchase or redemption rights or liquidation preferences we may assign to holders of preferred stock in the future, could affect the residual value of the common stock.</w:t>
      </w:r>
    </w:p>
    <w:p>
      <w:pPr>
        <w:spacing w:after="0" w:line="241"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332"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26"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p>
    <w:p>
      <w:pPr>
        <w:spacing w:after="0" w:line="199"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 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20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In particular, a global semiconductor supply shortage has had, and is continuing to have, wide-ranging effects across multiple industries. According to certain market reports, both China and Taiwan are leading manufacturers of the world</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24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34</w:t>
      </w:r>
    </w:p>
    <w:p>
      <w:pPr>
        <w:sectPr>
          <w:pgSz w:w="12240" w:h="15840" w:orient="portrait"/>
          <w:cols w:equalWidth="0" w:num="1">
            <w:col w:w="9360"/>
          </w:cols>
          <w:pgMar w:left="1440" w:top="1440" w:right="1440" w:bottom="390" w:gutter="0" w:footer="0" w:header="0"/>
          <w:type w:val="continuous"/>
        </w:sectPr>
      </w:pPr>
    </w:p>
    <w:bookmarkStart w:id="36" w:name="page37"/>
    <w:bookmarkEnd w:id="36"/>
    <w:p>
      <w:pPr>
        <w:spacing w:after="0" w:line="201"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spacing w:after="0" w:line="20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We and some of our suppliers and contract facilities are required to comply with regulatory requirements of the FDA (and other regulatory authorities). In particular,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Quality System Regulation, or QSR, which includes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spacing w:after="0" w:line="364"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currently compete, and expect to compete in the future, against other companies, some of which have longer operating histories, more established products or greater resources than we do.</w:t>
      </w:r>
    </w:p>
    <w:p>
      <w:pPr>
        <w:spacing w:after="0" w:line="129"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24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Our primary competitors in providing surgical solutions for cataract patients are Alcon Inc.; Bausch + Lomb Corporation; Johnson &amp; Johnson; Carl Zeiss AG; Zeimer Ophthalmic Systems AG; and KERANOVA S.A. These competitors are focused on bringing new technologies to market and acquiring products and technologies that directly compete with our products or have potential product advantages that could render our products obsolete or noncompetitive. Bausch + Lomb announced, in November 2025, that they anticipate launching a second-generation femtosecond laser in the second half of 2026. The next-gen laser, SeeLyra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is said to feature live optical coherence tomography guidance and soft docking. Although not all the features are known currently, this will be the first second-generation laser expected to compete with the ALLY System.</w:t>
      </w:r>
    </w:p>
    <w:p>
      <w:pPr>
        <w:spacing w:after="0" w:line="24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Many of our current and potential competitors are large publicly traded companies or divisions of publicly-traded companies and have several competitive advantages, including:</w:t>
      </w:r>
    </w:p>
    <w:p>
      <w:pPr>
        <w:spacing w:after="0" w:line="203" w:lineRule="exact"/>
        <w:rPr>
          <w:sz w:val="20"/>
          <w:szCs w:val="20"/>
          <w:color w:val="auto"/>
        </w:rPr>
      </w:pPr>
    </w:p>
    <w:p>
      <w:pPr>
        <w:ind w:left="840" w:hanging="350"/>
        <w:spacing w:after="0"/>
        <w:tabs>
          <w:tab w:leader="none" w:pos="840" w:val="left"/>
        </w:tabs>
        <w:numPr>
          <w:ilvl w:val="0"/>
          <w:numId w:val="2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greater financial and human resources for product development and sales and marketing;</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significantly greater name recognition;</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longer operating histories; and</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more established sales and marketing programs and distribution networks.</w:t>
      </w:r>
    </w:p>
    <w:p>
      <w:pPr>
        <w:spacing w:after="0" w:line="24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In addition, many of our competitors have their own intraocular lens, or IOLs, while we do not, which could put us at a competitive disadvantage. If we are unable to compete effectively in this environment, it could adversely affect our business.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35</w:t>
      </w:r>
    </w:p>
    <w:p>
      <w:pPr>
        <w:sectPr>
          <w:pgSz w:w="12240" w:h="15840" w:orient="portrait"/>
          <w:cols w:equalWidth="0" w:num="1">
            <w:col w:w="9360"/>
          </w:cols>
          <w:pgMar w:left="1440" w:top="1440" w:right="1440" w:bottom="390" w:gutter="0" w:footer="0" w:header="0"/>
          <w:type w:val="continuous"/>
        </w:sectPr>
      </w:pPr>
    </w:p>
    <w:bookmarkStart w:id="37" w:name="page38"/>
    <w:bookmarkEnd w:id="37"/>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To successfully market, sell and lease our products in markets outside of the United States, we must address many international business risks with which we have limited experience.</w:t>
      </w:r>
    </w:p>
    <w:p>
      <w:pPr>
        <w:spacing w:after="0" w:line="129"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We have historically sold our products outside of the United States through a network of independent distributors and intend to increase our international presence in Europe and Asia, as well as other international markets. Our international business operations are subject to a number of risks, including:</w:t>
      </w:r>
    </w:p>
    <w:p>
      <w:pPr>
        <w:spacing w:after="0" w:line="181" w:lineRule="exact"/>
        <w:rPr>
          <w:sz w:val="20"/>
          <w:szCs w:val="20"/>
          <w:color w:val="auto"/>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difficulties in staffing and managing our international operations;</w:t>
      </w:r>
    </w:p>
    <w:p>
      <w:pPr>
        <w:spacing w:after="0" w:line="218" w:lineRule="exact"/>
        <w:rPr>
          <w:rFonts w:ascii="PMingLiU" w:cs="PMingLiU" w:eastAsia="PMingLiU" w:hAnsi="PMingLiU"/>
          <w:sz w:val="19"/>
          <w:szCs w:val="19"/>
          <w:b w:val="1"/>
          <w:bCs w:val="1"/>
          <w:color w:val="231F20"/>
        </w:rPr>
      </w:pPr>
    </w:p>
    <w:p>
      <w:pPr>
        <w:ind w:left="840" w:right="140" w:hanging="350"/>
        <w:spacing w:after="0" w:line="282" w:lineRule="auto"/>
        <w:tabs>
          <w:tab w:leader="none" w:pos="840" w:val="left"/>
        </w:tabs>
        <w:numPr>
          <w:ilvl w:val="0"/>
          <w:numId w:val="26"/>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increased competition as a result of more products and procedures receiving regulatory approval, certification or clearance or otherwise becoming free to market in international markets;</w:t>
      </w:r>
    </w:p>
    <w:p>
      <w:pPr>
        <w:spacing w:after="0" w:line="178" w:lineRule="exact"/>
        <w:rPr>
          <w:rFonts w:ascii="PMingLiU" w:cs="PMingLiU" w:eastAsia="PMingLiU" w:hAnsi="PMingLiU"/>
          <w:sz w:val="17"/>
          <w:szCs w:val="17"/>
          <w:b w:val="1"/>
          <w:bCs w:val="1"/>
          <w:color w:val="231F20"/>
        </w:rPr>
      </w:pPr>
    </w:p>
    <w:p>
      <w:pPr>
        <w:ind w:left="840" w:hanging="350"/>
        <w:spacing w:after="0"/>
        <w:tabs>
          <w:tab w:leader="none" w:pos="840" w:val="left"/>
        </w:tabs>
        <w:numPr>
          <w:ilvl w:val="0"/>
          <w:numId w:val="26"/>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longer accounts receivable payment cycles and difficulties in collecting accounts receivable;</w:t>
      </w:r>
    </w:p>
    <w:p>
      <w:pPr>
        <w:spacing w:after="0" w:line="199"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reduced or varied protection for intellectual property rights in some countries;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tariffs, export restrictions, and other trade barriers, trade regulations, and foreign tax laws;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fluctuations in currency exchange rates;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foreign certification and regulatory clearance or approval requirements;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difficulties in developing effective marketing campaigns in unfamiliar international markets;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customs clearance and shipping delays;</w:t>
      </w:r>
    </w:p>
    <w:p>
      <w:pPr>
        <w:spacing w:after="0" w:line="218"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6"/>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political, social, and economic instability abroad, terrorist attacks, and security concerns in general;</w:t>
      </w:r>
    </w:p>
    <w:p>
      <w:pPr>
        <w:spacing w:after="0" w:line="208" w:lineRule="exact"/>
        <w:rPr>
          <w:rFonts w:ascii="PMingLiU" w:cs="PMingLiU" w:eastAsia="PMingLiU" w:hAnsi="PMingLiU"/>
          <w:sz w:val="17"/>
          <w:szCs w:val="17"/>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preference for locally produced products;</w:t>
      </w:r>
    </w:p>
    <w:p>
      <w:pPr>
        <w:spacing w:after="0" w:line="216" w:lineRule="exact"/>
        <w:rPr>
          <w:rFonts w:ascii="PMingLiU" w:cs="PMingLiU" w:eastAsia="PMingLiU" w:hAnsi="PMingLiU"/>
          <w:sz w:val="19"/>
          <w:szCs w:val="19"/>
          <w:b w:val="1"/>
          <w:bCs w:val="1"/>
          <w:color w:val="231F20"/>
        </w:rPr>
      </w:pPr>
    </w:p>
    <w:p>
      <w:pPr>
        <w:ind w:left="840" w:right="140" w:hanging="350"/>
        <w:spacing w:after="0" w:line="282" w:lineRule="auto"/>
        <w:tabs>
          <w:tab w:leader="none" w:pos="840" w:val="left"/>
        </w:tabs>
        <w:numPr>
          <w:ilvl w:val="0"/>
          <w:numId w:val="26"/>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potentially adverse tax consequences, including the complexities of foreign value-added tax systems, tax inefficiencies related to our corporate structure, and restrictions on the repatriation of earnings;</w:t>
      </w:r>
    </w:p>
    <w:p>
      <w:pPr>
        <w:spacing w:after="0" w:line="178" w:lineRule="exact"/>
        <w:rPr>
          <w:rFonts w:ascii="PMingLiU" w:cs="PMingLiU" w:eastAsia="PMingLiU" w:hAnsi="PMingLiU"/>
          <w:sz w:val="17"/>
          <w:szCs w:val="17"/>
          <w:b w:val="1"/>
          <w:bCs w:val="1"/>
          <w:color w:val="231F20"/>
        </w:rPr>
      </w:pPr>
    </w:p>
    <w:p>
      <w:pPr>
        <w:ind w:left="840" w:hanging="350"/>
        <w:spacing w:after="0"/>
        <w:tabs>
          <w:tab w:leader="none" w:pos="840" w:val="left"/>
        </w:tabs>
        <w:numPr>
          <w:ilvl w:val="0"/>
          <w:numId w:val="26"/>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the burdens of complying with a wide variety of foreign laws and different legal standards; and</w:t>
      </w:r>
    </w:p>
    <w:p>
      <w:pPr>
        <w:spacing w:after="0" w:line="199"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2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increased financial accounting and reporting burdens and complexities.</w:t>
      </w:r>
    </w:p>
    <w:p>
      <w:pPr>
        <w:spacing w:after="0" w:line="24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decision, we have experienced reduced revenue in South Korea, and we expect this trend to continue so long as this decision remains in effect.</w:t>
      </w:r>
    </w:p>
    <w:p>
      <w:pPr>
        <w:spacing w:after="0" w:line="246"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We are exposed to the credit risk of some of our customers, which could result in material losses.</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Customers may lease our Systems or finance the system through the product utilization, and we believe there has been an increase in demand for these types of customer leasing in recent years, especially in the United States. We may experience loss from a customer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36</w:t>
      </w:r>
    </w:p>
    <w:p>
      <w:pPr>
        <w:sectPr>
          <w:pgSz w:w="12240" w:h="15840" w:orient="portrait"/>
          <w:cols w:equalWidth="0" w:num="1">
            <w:col w:w="9360"/>
          </w:cols>
          <w:pgMar w:left="1440" w:top="1440" w:right="1440" w:bottom="390" w:gutter="0" w:footer="0" w:header="0"/>
          <w:type w:val="continuous"/>
        </w:sectPr>
      </w:pPr>
    </w:p>
    <w:bookmarkStart w:id="38" w:name="page39"/>
    <w:bookmarkEnd w:id="38"/>
    <w:p>
      <w:pPr>
        <w:spacing w:after="0" w:line="20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244"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32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We may be unable to accurately forecast customer demand and our inventory levels.</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or otherwise experience impacts to our inventory levels, our excess or obsolete inventory may increase. For example, we have experienced reduced activity by our distributors following the announcement of the Merger, which has resulted in a decrease in our production levels, and expect further negative impact in connection with the termination of the Merger Agreement. Our results could be adversely impacted if our distributors do not resume their sales activity to previous levels, and a significant increase in excess or obsolete inventory would reduce our gross margin and adversely affect our financial results.</w:t>
      </w:r>
    </w:p>
    <w:p>
      <w:pPr>
        <w:spacing w:after="0" w:line="367"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p>
    <w:p>
      <w:pPr>
        <w:spacing w:after="0" w:line="124"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20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 xml:space="preserve">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eligible clinicians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37</w:t>
      </w:r>
    </w:p>
    <w:p>
      <w:pPr>
        <w:sectPr>
          <w:pgSz w:w="12240" w:h="15840" w:orient="portrait"/>
          <w:cols w:equalWidth="0" w:num="1">
            <w:col w:w="9360"/>
          </w:cols>
          <w:pgMar w:left="1440" w:top="1440" w:right="1440" w:bottom="390" w:gutter="0" w:footer="0" w:header="0"/>
          <w:type w:val="continuous"/>
        </w:sectPr>
      </w:pPr>
    </w:p>
    <w:bookmarkStart w:id="39" w:name="page40"/>
    <w:bookmarkEnd w:id="39"/>
    <w:p>
      <w:pPr>
        <w:spacing w:after="0" w:line="201"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207"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204"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34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We provide a limited warranty for our products.</w:t>
      </w:r>
    </w:p>
    <w:p>
      <w:pPr>
        <w:spacing w:after="0" w:line="125"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347"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Product liability suits brought against us could cause us to incur substantial liabilities, limit the selling or leasing of our existing products and interfere with commercialization of any products that we may develop.</w:t>
      </w:r>
    </w:p>
    <w:p>
      <w:pPr>
        <w:spacing w:after="0" w:line="83"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38</w:t>
      </w:r>
    </w:p>
    <w:p>
      <w:pPr>
        <w:sectPr>
          <w:pgSz w:w="12240" w:h="15840" w:orient="portrait"/>
          <w:cols w:equalWidth="0" w:num="1">
            <w:col w:w="9360"/>
          </w:cols>
          <w:pgMar w:left="1440" w:top="1440" w:right="1440" w:bottom="390" w:gutter="0" w:footer="0" w:header="0"/>
          <w:type w:val="continuous"/>
        </w:sectPr>
      </w:pPr>
    </w:p>
    <w:bookmarkStart w:id="40" w:name="page41"/>
    <w:bookmarkEnd w:id="40"/>
    <w:p>
      <w:pPr>
        <w:spacing w:after="0" w:line="20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not have sufficient insurance coverage for all future claims. Product liability claims brought against us in excess of our insurance coverage would likely be paid out of cash reserves, harming our financial condition and results of operations.</w:t>
      </w:r>
    </w:p>
    <w:p>
      <w:pPr>
        <w:spacing w:after="0" w:line="359"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Our insurance policies are expensive and protect us only from some business risks, which leaves us exposed to significant uninsured liabilities.</w:t>
      </w:r>
    </w:p>
    <w:p>
      <w:pPr>
        <w:spacing w:after="0" w:line="127"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attention from our business and might result in adverse publicity, which could result in reduced acceptance of our products in the market, product recalls or market withdrawals.</w:t>
      </w:r>
    </w:p>
    <w:p>
      <w:pPr>
        <w:spacing w:after="0" w:line="245" w:lineRule="exact"/>
        <w:rPr>
          <w:sz w:val="20"/>
          <w:szCs w:val="20"/>
          <w:color w:val="auto"/>
        </w:rPr>
      </w:pPr>
    </w:p>
    <w:p>
      <w:pPr>
        <w:jc w:val="both"/>
        <w:ind w:left="140" w:right="140"/>
        <w:spacing w:after="0" w:line="281" w:lineRule="auto"/>
        <w:rPr>
          <w:sz w:val="20"/>
          <w:szCs w:val="20"/>
          <w:color w:val="auto"/>
        </w:rPr>
      </w:pPr>
      <w:r>
        <w:rPr>
          <w:rFonts w:ascii="Arial" w:cs="Arial" w:eastAsia="Arial" w:hAnsi="Arial"/>
          <w:sz w:val="17"/>
          <w:szCs w:val="17"/>
          <w:b w:val="1"/>
          <w:bCs w:val="1"/>
          <w:color w:val="231F20"/>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210"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33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Our financial results may fluctuate significantly and may not fully reflect the underlying performance of our business.</w:t>
      </w:r>
    </w:p>
    <w:p>
      <w:pPr>
        <w:spacing w:after="0" w:line="126"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w:t>
      </w:r>
    </w:p>
    <w:p>
      <w:pPr>
        <w:spacing w:after="0" w:line="179" w:lineRule="exact"/>
        <w:rPr>
          <w:sz w:val="20"/>
          <w:szCs w:val="20"/>
          <w:color w:val="auto"/>
        </w:rPr>
      </w:pPr>
    </w:p>
    <w:p>
      <w:pPr>
        <w:ind w:left="840" w:hanging="350"/>
        <w:spacing w:after="0"/>
        <w:tabs>
          <w:tab w:leader="none" w:pos="840" w:val="left"/>
        </w:tabs>
        <w:numPr>
          <w:ilvl w:val="0"/>
          <w:numId w:val="27"/>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fluctuations in the demand for the more advanced, patient-pay procedures in which our Systems are used;</w:t>
      </w:r>
    </w:p>
    <w:p>
      <w:pPr>
        <w:spacing w:after="0" w:line="218" w:lineRule="exact"/>
        <w:rPr>
          <w:rFonts w:ascii="PMingLiU" w:cs="PMingLiU" w:eastAsia="PMingLiU" w:hAnsi="PMingLiU"/>
          <w:sz w:val="16"/>
          <w:szCs w:val="16"/>
          <w:b w:val="1"/>
          <w:bCs w:val="1"/>
          <w:color w:val="231F20"/>
        </w:rPr>
      </w:pPr>
    </w:p>
    <w:p>
      <w:pPr>
        <w:ind w:left="840" w:hanging="350"/>
        <w:spacing w:after="0"/>
        <w:tabs>
          <w:tab w:leader="none" w:pos="840" w:val="left"/>
        </w:tabs>
        <w:numPr>
          <w:ilvl w:val="0"/>
          <w:numId w:val="2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adoption of our Systems;</w:t>
      </w:r>
    </w:p>
    <w:p>
      <w:pPr>
        <w:spacing w:after="0" w:line="218"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establish and maintain an effective and dedicated sales organization in the United States and network of independent distributors outside the United States;</w:t>
      </w:r>
    </w:p>
    <w:p>
      <w:pPr>
        <w:spacing w:after="0" w:line="200"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pricing pressure applicable to our products from competitor pricing;</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results of clinical research and studies on our products or competitive products;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mix of sales and leases of our Systems;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39</w:t>
      </w:r>
    </w:p>
    <w:p>
      <w:pPr>
        <w:sectPr>
          <w:pgSz w:w="12240" w:h="15840" w:orient="portrait"/>
          <w:cols w:equalWidth="0" w:num="1">
            <w:col w:w="9360"/>
          </w:cols>
          <w:pgMar w:left="1440" w:top="1440" w:right="1440" w:bottom="390" w:gutter="0" w:footer="0" w:header="0"/>
          <w:type w:val="continuous"/>
        </w:sectPr>
      </w:pPr>
    </w:p>
    <w:bookmarkStart w:id="41" w:name="page42"/>
    <w:bookmarkEnd w:id="41"/>
    <w:p>
      <w:pPr>
        <w:spacing w:after="0" w:line="216" w:lineRule="exact"/>
        <w:rPr>
          <w:sz w:val="20"/>
          <w:szCs w:val="20"/>
          <w:color w:val="auto"/>
        </w:rPr>
      </w:pPr>
    </w:p>
    <w:p>
      <w:pPr>
        <w:ind w:left="840" w:right="140" w:hanging="350"/>
        <w:spacing w:after="0" w:line="233" w:lineRule="auto"/>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timing of delivery of Systems, new product offerings, acquisitions, licenses or other significant events by us or our competitors;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decisions by surgeons, hospitals and ASCs to defer acquisitions of Systems in anticipation of the introduction of new products or product enhancements by us or our competitors;</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sampling by and additional training requirements for cataract surgeons upon the commercialization of a new product by us or one of our competitors;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regulatory approvals, clearances or certifications and legislative changes affecting the products we may offer or those of our competitors;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interruption in the manufacturing or distribution of our Systems;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delays in, or failure of, component and raw material deliveries by our suppliers;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ability of our suppliers to timely provide us with an adequate supply of components;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effect of competing technological, industry and market developments; and</w:t>
      </w:r>
    </w:p>
    <w:p>
      <w:pPr>
        <w:spacing w:after="0" w:line="218"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8"/>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changes in our ability to obtain regulatory clearance, certification or approval for our product candidates.</w:t>
      </w:r>
    </w:p>
    <w:p>
      <w:pPr>
        <w:spacing w:after="0" w:line="262"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340"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If we fail to manage our anticipated growth effectively, or are unable to increase or maintain our manufacturing capacity, we may not be able to meet customer demand for our products and our business could suffer.</w:t>
      </w:r>
    </w:p>
    <w:p>
      <w:pPr>
        <w:spacing w:after="0" w:line="83"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We have experienced significant period-to-period growth in our business and we must continue to grow in order to meet our business and financial objectives. However, continued growth may create numerous challenges, including:</w:t>
      </w:r>
    </w:p>
    <w:p>
      <w:pPr>
        <w:spacing w:after="0" w:line="131" w:lineRule="exact"/>
        <w:rPr>
          <w:sz w:val="20"/>
          <w:szCs w:val="20"/>
          <w:color w:val="auto"/>
        </w:rPr>
      </w:pPr>
    </w:p>
    <w:p>
      <w:pPr>
        <w:ind w:left="840" w:hanging="350"/>
        <w:spacing w:after="0"/>
        <w:tabs>
          <w:tab w:leader="none" w:pos="84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new and increased responsibilities for our management team;</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increased pressure on our operating, financial and reporting systems;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increased pressure to anticipate and satisfy market demand;</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additional manufacturing capacity requirements;</w:t>
      </w:r>
    </w:p>
    <w:p>
      <w:pPr>
        <w:spacing w:after="0" w:line="218"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strain on our ability to source a larger supply of components, including as a result of ongoing supply chain issues, in order to meet our required specifications on a timely basis;</w:t>
      </w:r>
    </w:p>
    <w:p>
      <w:pPr>
        <w:spacing w:after="0" w:line="217"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29"/>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management of an increasing number of relationships with our customers, suppliers and other third parties;</w:t>
      </w:r>
    </w:p>
    <w:p>
      <w:pPr>
        <w:spacing w:after="0" w:line="233" w:lineRule="exact"/>
        <w:rPr>
          <w:rFonts w:ascii="PMingLiU" w:cs="PMingLiU" w:eastAsia="PMingLiU" w:hAnsi="PMingLiU"/>
          <w:sz w:val="16"/>
          <w:szCs w:val="16"/>
          <w:b w:val="1"/>
          <w:bCs w:val="1"/>
          <w:color w:val="231F20"/>
        </w:rPr>
      </w:pPr>
    </w:p>
    <w:p>
      <w:pPr>
        <w:ind w:left="840" w:hanging="350"/>
        <w:spacing w:after="0"/>
        <w:tabs>
          <w:tab w:leader="none" w:pos="840" w:val="left"/>
        </w:tabs>
        <w:numPr>
          <w:ilvl w:val="0"/>
          <w:numId w:val="29"/>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entry into new international territories with unfamiliar regulations and business approaches; and</w:t>
      </w:r>
    </w:p>
    <w:p>
      <w:pPr>
        <w:spacing w:after="0" w:line="201"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need to hire, train and manage additional qualified personnel.</w:t>
      </w:r>
    </w:p>
    <w:p>
      <w:pPr>
        <w:spacing w:after="0" w:line="243" w:lineRule="exact"/>
        <w:rPr>
          <w:sz w:val="20"/>
          <w:szCs w:val="20"/>
          <w:color w:val="auto"/>
        </w:rPr>
      </w:pPr>
    </w:p>
    <w:p>
      <w:pPr>
        <w:jc w:val="both"/>
        <w:ind w:left="140" w:right="140"/>
        <w:spacing w:after="0" w:line="298" w:lineRule="auto"/>
        <w:rPr>
          <w:sz w:val="20"/>
          <w:szCs w:val="20"/>
          <w:color w:val="auto"/>
        </w:rPr>
      </w:pPr>
      <w:r>
        <w:rPr>
          <w:rFonts w:ascii="Arial" w:cs="Arial" w:eastAsia="Arial" w:hAnsi="Arial"/>
          <w:sz w:val="16"/>
          <w:szCs w:val="16"/>
          <w:b w:val="1"/>
          <w:bCs w:val="1"/>
          <w:color w:val="231F20"/>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40</w:t>
      </w:r>
    </w:p>
    <w:p>
      <w:pPr>
        <w:sectPr>
          <w:pgSz w:w="12240" w:h="15840" w:orient="portrait"/>
          <w:cols w:equalWidth="0" w:num="1">
            <w:col w:w="9360"/>
          </w:cols>
          <w:pgMar w:left="1440" w:top="1440" w:right="1440" w:bottom="390" w:gutter="0" w:footer="0" w:header="0"/>
          <w:type w:val="continuous"/>
        </w:sectPr>
      </w:pPr>
    </w:p>
    <w:bookmarkStart w:id="42" w:name="page43"/>
    <w:bookmarkEnd w:id="42"/>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our products could decline. If we fail to manage any of the above challenges effectively, our business may be harmed.</w:t>
      </w:r>
    </w:p>
    <w:p>
      <w:pPr>
        <w:spacing w:after="0" w:line="362"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If we choose to acquire new and complementary businesses, products or technologies, we may be unable to complete these acquisitions or to successfully integrate them in a cost-effective and non-disruptive manner.</w:t>
      </w:r>
    </w:p>
    <w:p>
      <w:pPr>
        <w:spacing w:after="0" w:line="81"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31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Our future growth depends on our ability to retain members of our senior management and other key employees.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If we are unable to retain or recruit qualified personnel for growth, our business results could suffer.</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experienced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248"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332"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 xml:space="preserve">We rely significantly on the use of information technology. Cybersecurity risks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any technology failures causing a material disruption to operational technology or cyber-attacks on our systems affecting our ability to protect the integrity and security of confidential customer and employee information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could harm our reputation and/or could disrupt our operations and negatively impact our business.</w:t>
      </w:r>
    </w:p>
    <w:p>
      <w:pPr>
        <w:spacing w:after="0" w:line="128"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personal information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41</w:t>
      </w:r>
    </w:p>
    <w:p>
      <w:pPr>
        <w:sectPr>
          <w:pgSz w:w="12240" w:h="15840" w:orient="portrait"/>
          <w:cols w:equalWidth="0" w:num="1">
            <w:col w:w="9360"/>
          </w:cols>
          <w:pgMar w:left="1440" w:top="1440" w:right="1440" w:bottom="390" w:gutter="0" w:footer="0" w:header="0"/>
          <w:type w:val="continuous"/>
        </w:sectPr>
      </w:pPr>
    </w:p>
    <w:bookmarkStart w:id="43" w:name="page44"/>
    <w:bookmarkEnd w:id="43"/>
    <w:p>
      <w:pPr>
        <w:spacing w:after="0" w:line="201"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 xml:space="preserve">technology systems, and those of our third-party service providers, strategic partners and other contractors or consultants are vulnerable to information security breaches, acts of vandalism, social engineering/phishing, computer viruses and malware (such as ransomware), misconfigurations,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bugs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spacing w:after="0" w:line="245"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spacing w:after="0" w:line="229" w:lineRule="exact"/>
        <w:rPr>
          <w:sz w:val="20"/>
          <w:szCs w:val="20"/>
          <w:color w:val="auto"/>
        </w:rPr>
      </w:pPr>
    </w:p>
    <w:p>
      <w:pPr>
        <w:jc w:val="both"/>
        <w:ind w:left="140" w:right="140"/>
        <w:spacing w:after="0" w:line="291" w:lineRule="auto"/>
        <w:rPr>
          <w:sz w:val="20"/>
          <w:szCs w:val="20"/>
          <w:color w:val="auto"/>
        </w:rPr>
      </w:pPr>
      <w:r>
        <w:rPr>
          <w:rFonts w:ascii="Arial" w:cs="Arial" w:eastAsia="Arial" w:hAnsi="Arial"/>
          <w:sz w:val="16"/>
          <w:szCs w:val="16"/>
          <w:b w:val="1"/>
          <w:bCs w:val="1"/>
          <w:color w:val="231F20"/>
        </w:rPr>
        <w:t>Hackers and data thieves are increasingly sophisticated and operate large-scale and complex automated attacks which may remain undetected for an extended period. Even if identified, we may be unable to adequately investigate, remediate or recover from incidents or breaches due to attackers increasingly using tools and techniques</w:t>
      </w:r>
    </w:p>
    <w:p>
      <w:pPr>
        <w:jc w:val="both"/>
        <w:ind w:left="140" w:right="140" w:firstLine="2"/>
        <w:spacing w:after="0" w:line="223" w:lineRule="exact"/>
        <w:tabs>
          <w:tab w:leader="none" w:pos="305" w:val="left"/>
        </w:tabs>
        <w:numPr>
          <w:ilvl w:val="0"/>
          <w:numId w:val="30"/>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 xml:space="preserve">including artificial intelligence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that are designed to circumvent controls, to avoid detection, and to remove or obfuscate forensic evidence. We and certain of our service providers and customers are from time to time subject to cyberattacks, social engineering/phishing, and other security incidents. While to date no incidents have had a material impact on our operations or financial results, we cannot guarantee that material incidents will not occur in the future. Any information technology system failure, accident or security breach affecting us or third-party systems or Confidential Information could result in interruptions in our operations, damage to our reputation, the loss or misappropriation of Confidential Information, result in key personnel being unable to perform duties or communicate throughout the organization, significant costs associated with the investigation, data restoration and remediation, legal claims or proceedings (such as class actions), and potential notification of the breach to third-parties, including counterparties, governmental authorities, and data subjects, and have other adverse impacts on our business. For example, laws in the EU and the UK may require businesses to provide notice to individuals whose personal information has been disclosed as a result of a data security breach. We may also be contractually required to notify customers or other counterparties of a security incident, including a data security breach.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42</w:t>
      </w:r>
    </w:p>
    <w:p>
      <w:pPr>
        <w:sectPr>
          <w:pgSz w:w="12240" w:h="15840" w:orient="portrait"/>
          <w:cols w:equalWidth="0" w:num="1">
            <w:col w:w="9360"/>
          </w:cols>
          <w:pgMar w:left="1440" w:top="1440" w:right="1440" w:bottom="390" w:gutter="0" w:footer="0" w:header="0"/>
          <w:type w:val="continuous"/>
        </w:sectPr>
      </w:pPr>
    </w:p>
    <w:bookmarkStart w:id="44" w:name="page45"/>
    <w:bookmarkEnd w:id="44"/>
    <w:p>
      <w:pPr>
        <w:spacing w:after="0" w:line="201"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2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do not carry cyber insurance, which may expose us to certain potential losses for damages or result in penalization with fines in an amount exceeding our resources.</w:t>
      </w:r>
    </w:p>
    <w:p>
      <w:pPr>
        <w:spacing w:after="0" w:line="362"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actual or perceived failure to comply with data privacy and security laws and other obligations could have a material adverse effect on our business, results of operations and financial condition.</w:t>
      </w:r>
    </w:p>
    <w:p>
      <w:pPr>
        <w:spacing w:after="0" w:line="127"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0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Our business processes health-related and other personal information. When conducting clinical studies, we face risks associated with collecting trial participants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247"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(collectively, HIPAA), the EU General Data Protection Regulation 2016/679 and applicable national supplementing laws, or EU GDPR, and the UK General Data Protection Regulation and Data Protection Act 2018, or UK GDPR, (collectively, GDPR), and the California Consumer Privacy Act, as amended by the California Privacy Rights Act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43</w:t>
      </w:r>
    </w:p>
    <w:p>
      <w:pPr>
        <w:sectPr>
          <w:pgSz w:w="12240" w:h="15840" w:orient="portrait"/>
          <w:cols w:equalWidth="0" w:num="1">
            <w:col w:w="9360"/>
          </w:cols>
          <w:pgMar w:left="1440" w:top="1440" w:right="1440" w:bottom="390" w:gutter="0" w:footer="0" w:header="0"/>
          <w:type w:val="continuous"/>
        </w:sectPr>
      </w:pPr>
    </w:p>
    <w:bookmarkStart w:id="45" w:name="page46"/>
    <w:bookmarkEnd w:id="45"/>
    <w:p>
      <w:pPr>
        <w:spacing w:after="0" w:line="201"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9"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Furthermore, the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information, fail to implement policies to protect health information or engage in other unfair practices that harm customers. For example, according to the FTC, failing to take appropriate steps to keep consumers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personal information secure can constitute unfair acts or practices in or affecting commerce in violation of Section 5(a) of the Federal Trade Commission Act. The FTC expects a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health-related and other information, through websites or otherwise, and to regulate the presentation of website content.</w:t>
      </w:r>
    </w:p>
    <w:p>
      <w:pPr>
        <w:spacing w:after="0" w:line="252"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 xml:space="preserve">In 2024, the National Security Division of the U.S. Department of Justice (DOJ) issued a new rule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referred to as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Data Security Program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(DSP)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to implement Executive Order 14117 aimed at preventing access to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bulk U.S. sensitive personal data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government-related data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by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countries of concern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(including China, Russia, Iran, North Korea, Cuba, and Venezuela) and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covered persons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(as all such terms are defined in the DSP). Effective as of April 8, 2025, and fully enforceable as of July 9, 2025, the DSP imposes stringent obligations on companies within its scope and prohibits or restricts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covered data transactions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243"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The GDPR comprehensively regulates our use of personal data of individuals from the European Economic Area, or EEA and/or the UK, or in the context of our activities within the EEA and/or the UK, including a principle of accountability and the obligation to demonstrate that appropriate legal bases are in place to justify data processing activities. Additionally, we are subject to laws and regulations regarding cross-border transfers of personal data out of the EEA and the UK. In addition, some of the personal data we process in respect of clinical trial participants is special category or sensitive personal data under the GDPR, and subject to additional compliance obligations and local law derogations. We may be subject to diverging requirements under EU Member State laws and UK law, such as whether consent can be used as the legal basis for processing and the roles, responsibilities, and liabilities as between CROs and sponsors. As these laws develop, we may need to make operational changes to adapt to these diverging rules, which could increase our costs and adversely affect our business,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SCCs, a standard form of contract approved by the European Commission as an adequate personal data transfer mechanism, alone may not necessarily be sufficient in all circumstances and that transfers must be assessed on a case-by-case basis.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44</w:t>
      </w:r>
    </w:p>
    <w:p>
      <w:pPr>
        <w:sectPr>
          <w:pgSz w:w="12240" w:h="15840" w:orient="portrait"/>
          <w:cols w:equalWidth="0" w:num="1">
            <w:col w:w="9360"/>
          </w:cols>
          <w:pgMar w:left="1440" w:top="1440" w:right="1440" w:bottom="390" w:gutter="0" w:footer="0" w:header="0"/>
          <w:type w:val="continuous"/>
        </w:sectPr>
      </w:pPr>
    </w:p>
    <w:bookmarkStart w:id="46" w:name="page47"/>
    <w:bookmarkEnd w:id="46"/>
    <w:p>
      <w:pPr>
        <w:spacing w:after="0" w:line="201"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adversely affect the manner in which we operate our business and could adversely affect our business, operations, and financial condition.</w:t>
      </w:r>
    </w:p>
    <w:p>
      <w:pPr>
        <w:spacing w:after="0" w:line="203"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Failure to comply with the GDPR could result in penalties for noncompliance. Penalties for certain breaches are up to the greater of EUR 20 million/GBP 17.5 million or 4% of our global annual turnover.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21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 xml:space="preserve">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My Health My Data Act,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which broadly defines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consumer health data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spacing w:after="0" w:line="252"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in relation to the operation of our business, a number of which host or otherwise process personal data on our behalf. In some instances, these third parties have experienced immaterial failures to protect data privacy. There can be no assurances that the privacy and security-related measures and safeguards we have put in place in relation to these third parties will be effective to protect us and/or the relevant personal information from the risks associated with the third-party processing, storage, and transmission of such data. Any violation of data or security laws, or of our relevant measures and safeguards, by our third-party processors could have a material adverse effect on our business,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321" w:lineRule="exact"/>
        <w:rPr>
          <w:sz w:val="20"/>
          <w:szCs w:val="20"/>
          <w:color w:val="auto"/>
        </w:rPr>
      </w:pPr>
    </w:p>
    <w:p>
      <w:pPr>
        <w:jc w:val="both"/>
        <w:ind w:left="140" w:right="140"/>
        <w:spacing w:after="0" w:line="265" w:lineRule="auto"/>
        <w:rPr>
          <w:sz w:val="20"/>
          <w:szCs w:val="20"/>
          <w:color w:val="auto"/>
        </w:rPr>
      </w:pPr>
      <w:r>
        <w:rPr>
          <w:rFonts w:ascii="Arial" w:cs="Arial" w:eastAsia="Arial" w:hAnsi="Arial"/>
          <w:sz w:val="18"/>
          <w:szCs w:val="18"/>
          <w:b w:val="1"/>
          <w:bCs w:val="1"/>
          <w:color w:val="231F20"/>
        </w:rPr>
        <w:t>Performance issues, service interruptions or price increases by our shipping carriers could adversely affect our business and harm our reputation and ability to provide our products on a timely basis.</w:t>
      </w:r>
    </w:p>
    <w:p>
      <w:pPr>
        <w:spacing w:after="0" w:line="104"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could be costly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45</w:t>
      </w:r>
    </w:p>
    <w:p>
      <w:pPr>
        <w:sectPr>
          <w:pgSz w:w="12240" w:h="15840" w:orient="portrait"/>
          <w:cols w:equalWidth="0" w:num="1">
            <w:col w:w="9360"/>
          </w:cols>
          <w:pgMar w:left="1440" w:top="1440" w:right="1440" w:bottom="390" w:gutter="0" w:footer="0" w:header="0"/>
          <w:type w:val="continuous"/>
        </w:sectPr>
      </w:pPr>
    </w:p>
    <w:bookmarkStart w:id="47" w:name="page48"/>
    <w:bookmarkEnd w:id="47"/>
    <w:p>
      <w:pPr>
        <w:spacing w:after="0" w:line="201"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Intangible assets on our books may lead to significant impairment charges.</w:t>
      </w:r>
    </w:p>
    <w:p>
      <w:pPr>
        <w:spacing w:after="0" w:line="125"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w:t>
      </w:r>
    </w:p>
    <w:p>
      <w:pPr>
        <w:spacing w:after="0" w:line="243"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Risks Related to Government Regulation</w:t>
      </w:r>
    </w:p>
    <w:p>
      <w:pPr>
        <w:spacing w:after="0" w:line="128"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Our products and operations are subject to extensive government regulation and oversight both in the United States and abroad, and our failure to comply with applicable requirements could harm our business.</w:t>
      </w:r>
    </w:p>
    <w:p>
      <w:pPr>
        <w:spacing w:after="0" w:line="81"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203"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w:t>
      </w:r>
    </w:p>
    <w:p>
      <w:pPr>
        <w:spacing w:after="0" w:line="21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362"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We may not receive, or may be delayed in receiving, the necessary clearances, certifications or approvals for our future products, or modifications to our current products, and failure to timely obtain additional clearances,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46</w:t>
      </w:r>
    </w:p>
    <w:p>
      <w:pPr>
        <w:sectPr>
          <w:pgSz w:w="12240" w:h="15840" w:orient="portrait"/>
          <w:cols w:equalWidth="0" w:num="1">
            <w:col w:w="9360"/>
          </w:cols>
          <w:pgMar w:left="1440" w:top="1440" w:right="1440" w:bottom="390" w:gutter="0" w:footer="0" w:header="0"/>
          <w:type w:val="continuous"/>
        </w:sectPr>
      </w:pPr>
    </w:p>
    <w:bookmarkStart w:id="48" w:name="page49"/>
    <w:bookmarkEnd w:id="48"/>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certifications or approvals for our ALLY System and future products or modifications to our current products would adversely affect our ability to grow our business.</w:t>
      </w:r>
    </w:p>
    <w:p>
      <w:pPr>
        <w:spacing w:after="0" w:line="129"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 xml:space="preserve">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substantially equivalent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to a legally-marketed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predicate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substantially equivalent,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24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46" w:lineRule="exact"/>
        <w:rPr>
          <w:sz w:val="20"/>
          <w:szCs w:val="20"/>
          <w:color w:val="auto"/>
        </w:rPr>
      </w:pPr>
    </w:p>
    <w:p>
      <w:pPr>
        <w:jc w:val="both"/>
        <w:ind w:left="140" w:right="140"/>
        <w:spacing w:after="0" w:line="225" w:lineRule="exact"/>
        <w:rPr>
          <w:sz w:val="20"/>
          <w:szCs w:val="20"/>
          <w:color w:val="auto"/>
        </w:rPr>
      </w:pPr>
      <w:r>
        <w:rPr>
          <w:rFonts w:ascii="Arial" w:cs="Arial" w:eastAsia="Arial" w:hAnsi="Arial"/>
          <w:sz w:val="16"/>
          <w:szCs w:val="16"/>
          <w:b w:val="1"/>
          <w:bCs w:val="1"/>
          <w:color w:val="231F20"/>
        </w:rPr>
        <w:t>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200" w:lineRule="exact"/>
        <w:rPr>
          <w:sz w:val="20"/>
          <w:szCs w:val="20"/>
          <w:color w:val="auto"/>
        </w:rPr>
      </w:pPr>
    </w:p>
    <w:p>
      <w:pPr>
        <w:spacing w:after="0" w:line="230"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47</w:t>
      </w:r>
    </w:p>
    <w:p>
      <w:pPr>
        <w:sectPr>
          <w:pgSz w:w="12240" w:h="15840" w:orient="portrait"/>
          <w:cols w:equalWidth="0" w:num="1">
            <w:col w:w="9360"/>
          </w:cols>
          <w:pgMar w:left="1440" w:top="1440" w:right="1440" w:bottom="390" w:gutter="0" w:footer="0" w:header="0"/>
          <w:type w:val="continuous"/>
        </w:sectPr>
      </w:pPr>
    </w:p>
    <w:bookmarkStart w:id="49" w:name="page50"/>
    <w:bookmarkEnd w:id="49"/>
    <w:p>
      <w:pPr>
        <w:spacing w:after="0" w:line="201"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The FDA, foreign regulatory authorities or notified bodies can delay, limit or deny clearance, certification or approval of a device for many reasons, including:</w:t>
      </w:r>
    </w:p>
    <w:p>
      <w:pPr>
        <w:spacing w:after="0" w:line="220" w:lineRule="exact"/>
        <w:rPr>
          <w:sz w:val="20"/>
          <w:szCs w:val="20"/>
          <w:color w:val="auto"/>
        </w:rPr>
      </w:pPr>
    </w:p>
    <w:p>
      <w:pPr>
        <w:ind w:left="840" w:right="140" w:hanging="350"/>
        <w:spacing w:after="0" w:line="253" w:lineRule="auto"/>
        <w:tabs>
          <w:tab w:leader="none" w:pos="840" w:val="left"/>
        </w:tabs>
        <w:numPr>
          <w:ilvl w:val="0"/>
          <w:numId w:val="31"/>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our inability to demonstrate to the satisfaction of the FDA or the applicable foreign regulatory authority or notified body that our products are safe or effective for their intended uses;</w:t>
      </w:r>
    </w:p>
    <w:p>
      <w:pPr>
        <w:spacing w:after="0" w:line="207" w:lineRule="exact"/>
        <w:rPr>
          <w:rFonts w:ascii="PMingLiU" w:cs="PMingLiU" w:eastAsia="PMingLiU" w:hAnsi="PMingLiU"/>
          <w:sz w:val="18"/>
          <w:szCs w:val="18"/>
          <w:b w:val="1"/>
          <w:bCs w:val="1"/>
          <w:color w:val="231F20"/>
        </w:rPr>
      </w:pPr>
    </w:p>
    <w:p>
      <w:pPr>
        <w:jc w:val="both"/>
        <w:ind w:left="840" w:right="140" w:hanging="350"/>
        <w:spacing w:after="0" w:line="237" w:lineRule="auto"/>
        <w:tabs>
          <w:tab w:leader="none" w:pos="840" w:val="left"/>
        </w:tabs>
        <w:numPr>
          <w:ilvl w:val="0"/>
          <w:numId w:val="3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disagreement of the FDA or the applicable foreign regulatory authority or notified body with the design or implementation of our clinical trials or the interpretation of data from pre-clinical studies or clinical trials;</w:t>
      </w:r>
    </w:p>
    <w:p>
      <w:pPr>
        <w:spacing w:after="0" w:line="21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1"/>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serious and unexpected adverse device effects experienced by participants in our clinical trials;</w:t>
      </w:r>
    </w:p>
    <w:p>
      <w:pPr>
        <w:spacing w:after="0" w:line="218" w:lineRule="exact"/>
        <w:rPr>
          <w:rFonts w:ascii="PMingLiU" w:cs="PMingLiU" w:eastAsia="PMingLiU" w:hAnsi="PMingLiU"/>
          <w:sz w:val="18"/>
          <w:szCs w:val="18"/>
          <w:b w:val="1"/>
          <w:bCs w:val="1"/>
          <w:color w:val="231F20"/>
        </w:rPr>
      </w:pPr>
    </w:p>
    <w:p>
      <w:pPr>
        <w:ind w:left="840" w:right="140" w:hanging="350"/>
        <w:spacing w:after="0" w:line="233" w:lineRule="auto"/>
        <w:tabs>
          <w:tab w:leader="none" w:pos="840" w:val="left"/>
        </w:tabs>
        <w:numPr>
          <w:ilvl w:val="0"/>
          <w:numId w:val="3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data from our pre-clinical studies and clinical trials may be insufficient to support clearance, certification or approval, where required;</w:t>
      </w:r>
    </w:p>
    <w:p>
      <w:pPr>
        <w:spacing w:after="0" w:line="21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1"/>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our inability to demonstrate that the clinical and other benefits of the device outweigh the risks;</w:t>
      </w:r>
    </w:p>
    <w:p>
      <w:pPr>
        <w:spacing w:after="0" w:line="201"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3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manufacturing process or facilities we use may not meet applicable requirements; and</w:t>
      </w:r>
    </w:p>
    <w:p>
      <w:pPr>
        <w:spacing w:after="0" w:line="218" w:lineRule="exact"/>
        <w:rPr>
          <w:rFonts w:ascii="PMingLiU" w:cs="PMingLiU" w:eastAsia="PMingLiU" w:hAnsi="PMingLiU"/>
          <w:sz w:val="19"/>
          <w:szCs w:val="19"/>
          <w:b w:val="1"/>
          <w:bCs w:val="1"/>
          <w:color w:val="231F20"/>
        </w:rPr>
      </w:pPr>
    </w:p>
    <w:p>
      <w:pPr>
        <w:jc w:val="both"/>
        <w:ind w:left="840" w:right="140" w:hanging="350"/>
        <w:spacing w:after="0" w:line="236" w:lineRule="auto"/>
        <w:tabs>
          <w:tab w:leader="none" w:pos="840" w:val="left"/>
        </w:tabs>
        <w:numPr>
          <w:ilvl w:val="0"/>
          <w:numId w:val="3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244" w:lineRule="exact"/>
        <w:rPr>
          <w:sz w:val="20"/>
          <w:szCs w:val="20"/>
          <w:color w:val="auto"/>
        </w:rPr>
      </w:pPr>
    </w:p>
    <w:p>
      <w:pPr>
        <w:jc w:val="both"/>
        <w:ind w:left="140" w:right="140"/>
        <w:spacing w:after="0" w:line="292" w:lineRule="auto"/>
        <w:rPr>
          <w:sz w:val="20"/>
          <w:szCs w:val="20"/>
          <w:color w:val="auto"/>
        </w:rPr>
      </w:pPr>
      <w:r>
        <w:rPr>
          <w:rFonts w:ascii="Arial" w:cs="Arial" w:eastAsia="Arial" w:hAnsi="Arial"/>
          <w:sz w:val="16"/>
          <w:szCs w:val="16"/>
          <w:b w:val="1"/>
          <w:bCs w:val="1"/>
          <w:color w:val="231F20"/>
        </w:rPr>
        <w:t>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219"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48</w:t>
      </w:r>
    </w:p>
    <w:p>
      <w:pPr>
        <w:sectPr>
          <w:pgSz w:w="12240" w:h="15840" w:orient="portrait"/>
          <w:cols w:equalWidth="0" w:num="1">
            <w:col w:w="9360"/>
          </w:cols>
          <w:pgMar w:left="1440" w:top="1440" w:right="1440" w:bottom="390" w:gutter="0" w:footer="0" w:header="0"/>
          <w:type w:val="continuous"/>
        </w:sectPr>
      </w:pPr>
    </w:p>
    <w:bookmarkStart w:id="50" w:name="page51"/>
    <w:bookmarkEnd w:id="50"/>
    <w:p>
      <w:pPr>
        <w:spacing w:after="0" w:line="201"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243" w:lineRule="exact"/>
        <w:rPr>
          <w:sz w:val="20"/>
          <w:szCs w:val="20"/>
          <w:color w:val="auto"/>
        </w:rPr>
      </w:pPr>
    </w:p>
    <w:p>
      <w:pPr>
        <w:jc w:val="both"/>
        <w:ind w:left="140" w:right="140"/>
        <w:spacing w:after="0" w:line="224" w:lineRule="exact"/>
        <w:rPr>
          <w:sz w:val="20"/>
          <w:szCs w:val="20"/>
          <w:color w:val="auto"/>
        </w:rPr>
      </w:pPr>
      <w:r>
        <w:rPr>
          <w:rFonts w:ascii="Arial" w:cs="Arial" w:eastAsia="Arial" w:hAnsi="Arial"/>
          <w:sz w:val="16"/>
          <w:szCs w:val="16"/>
          <w:b w:val="1"/>
          <w:bCs w:val="1"/>
          <w:color w:val="231F20"/>
        </w:rPr>
        <w:t xml:space="preserve">On June 16, 2025, an amendment to the Medical Devices Regulations 2002, or UK Medical Devices Regulations, became applicable which is intended to clarify and strengthen the post-market surveillance requirements for medical devices in Great Britain. It also intends to bring the UK regulatory framework for medical devices, which is based on the EU Medical Devices Directive, into closer alignment with the EU Medical Devices Regulation. In addition, the MHRA launched a consultation from November 14, 2024 to January 5, 2025 on proposals to update the pre-market requirements for medical devices in Great Britain. On July 22, 2025, the MHRA published a response to the consultation confirming that it will incorporate the results of this consultation into new UK legislation on pre-market requirements for medical devices in Great Britain. A draft of the new legislation is expected this year. Under the UK Medical Devices Regulations, in order to be lawfully placed on the Great Britain market, class I (non-sterile, non-measuring or non-re-useable) medical devices need to be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UKCA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self-certified, and other medical devices need to be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UKCA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June 30, 2030. The MHRA has confirmed that it intends to launch a consultation regarding the indefinite recognition of such medical devices in Great Britain which is expected this year. Medical devices also need to bear a physical UKCA mark in order to be lawfully placed on the Great Britain market. However, the MHRA has confirmed in its response to the consultation on pre-market requirements for medical devices in Great Britain that it intends to remove the requirement for a medical device and its labeling (for example packaging and instructions for use) in Great Britain to bear a physical UKCA mark. Instead of requiring a medical device and its labeling to bear a UKCA mark, manufacturers would be required to assign a unique design identification,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UDI</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to a medical device and register the UDI in a publicly accessible database before the medical device is placed on the Great Britain market. If this change is implemented, we may no longer be required to affix the physical UKCA mark to our medical devices, but we may need to assign and affix a UDI, and register the UDI in a publicly accessible database.</w:t>
      </w:r>
    </w:p>
    <w:p>
      <w:pPr>
        <w:spacing w:after="0" w:line="200" w:lineRule="exact"/>
        <w:rPr>
          <w:sz w:val="20"/>
          <w:szCs w:val="20"/>
          <w:color w:val="auto"/>
        </w:rPr>
      </w:pPr>
    </w:p>
    <w:p>
      <w:pPr>
        <w:spacing w:after="0" w:line="356" w:lineRule="exact"/>
        <w:rPr>
          <w:sz w:val="20"/>
          <w:szCs w:val="20"/>
          <w:color w:val="auto"/>
        </w:rPr>
      </w:pPr>
    </w:p>
    <w:p>
      <w:pPr>
        <w:jc w:val="both"/>
        <w:ind w:left="140" w:right="140"/>
        <w:spacing w:after="0" w:line="266" w:lineRule="auto"/>
        <w:rPr>
          <w:sz w:val="20"/>
          <w:szCs w:val="20"/>
          <w:color w:val="auto"/>
        </w:rPr>
      </w:pPr>
      <w:r>
        <w:rPr>
          <w:rFonts w:ascii="Arial" w:cs="Arial" w:eastAsia="Arial" w:hAnsi="Arial"/>
          <w:sz w:val="18"/>
          <w:szCs w:val="18"/>
          <w:b w:val="1"/>
          <w:bCs w:val="1"/>
          <w:color w:val="231F20"/>
        </w:rPr>
        <w:t>Failure to comply with post-marketing regulatory requirements could subject us to enforcement actions, including substantial penalties, and might require us to recall or withdraw a product from the market.</w:t>
      </w:r>
    </w:p>
    <w:p>
      <w:pPr>
        <w:spacing w:after="0" w:line="103"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63" w:lineRule="exact"/>
        <w:rPr>
          <w:sz w:val="20"/>
          <w:szCs w:val="20"/>
          <w:color w:val="auto"/>
        </w:rPr>
      </w:pPr>
    </w:p>
    <w:p>
      <w:pPr>
        <w:ind w:left="840" w:hanging="350"/>
        <w:spacing w:after="0"/>
        <w:tabs>
          <w:tab w:leader="none" w:pos="840" w:val="left"/>
        </w:tabs>
        <w:numPr>
          <w:ilvl w:val="0"/>
          <w:numId w:val="3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untitled letters or warning letters;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fines, injunctions, consent decrees and civil penalties;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recalls, termination of distribution, administrative detention, or seizure of our products;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customer notifications or repair, replacement or refunds;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49</w:t>
      </w:r>
    </w:p>
    <w:p>
      <w:pPr>
        <w:sectPr>
          <w:pgSz w:w="12240" w:h="15840" w:orient="portrait"/>
          <w:cols w:equalWidth="0" w:num="1">
            <w:col w:w="9360"/>
          </w:cols>
          <w:pgMar w:left="1440" w:top="1440" w:right="1440" w:bottom="390" w:gutter="0" w:footer="0" w:header="0"/>
          <w:type w:val="continuous"/>
        </w:sectPr>
      </w:pPr>
    </w:p>
    <w:bookmarkStart w:id="51" w:name="page52"/>
    <w:bookmarkEnd w:id="51"/>
    <w:p>
      <w:pPr>
        <w:spacing w:after="0" w:line="199" w:lineRule="exact"/>
        <w:rPr>
          <w:sz w:val="20"/>
          <w:szCs w:val="20"/>
          <w:color w:val="auto"/>
        </w:rPr>
      </w:pPr>
    </w:p>
    <w:p>
      <w:pPr>
        <w:ind w:left="840" w:hanging="350"/>
        <w:spacing w:after="0"/>
        <w:tabs>
          <w:tab w:leader="none" w:pos="840" w:val="left"/>
        </w:tabs>
        <w:numPr>
          <w:ilvl w:val="0"/>
          <w:numId w:val="3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operating restrictions or partial suspension or total shutdown of production;</w:t>
      </w:r>
    </w:p>
    <w:p>
      <w:pPr>
        <w:spacing w:after="0" w:line="218" w:lineRule="exact"/>
        <w:rPr>
          <w:rFonts w:ascii="PMingLiU" w:cs="PMingLiU" w:eastAsia="PMingLiU" w:hAnsi="PMingLiU"/>
          <w:sz w:val="19"/>
          <w:szCs w:val="19"/>
          <w:b w:val="1"/>
          <w:bCs w:val="1"/>
          <w:color w:val="231F20"/>
        </w:rPr>
      </w:pPr>
    </w:p>
    <w:p>
      <w:pPr>
        <w:ind w:left="840" w:right="140" w:hanging="350"/>
        <w:spacing w:after="0" w:line="316" w:lineRule="auto"/>
        <w:tabs>
          <w:tab w:leader="none" w:pos="840" w:val="left"/>
        </w:tabs>
        <w:numPr>
          <w:ilvl w:val="0"/>
          <w:numId w:val="33"/>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delays in or refusal to grant our requests for future clearances, certifications or approvals (including foreign regulatory approvals) of new products, new intended uses, or modifications to existing products;</w:t>
      </w:r>
    </w:p>
    <w:p>
      <w:pPr>
        <w:spacing w:after="0" w:line="155" w:lineRule="exact"/>
        <w:rPr>
          <w:rFonts w:ascii="PMingLiU" w:cs="PMingLiU" w:eastAsia="PMingLiU" w:hAnsi="PMingLiU"/>
          <w:sz w:val="16"/>
          <w:szCs w:val="16"/>
          <w:b w:val="1"/>
          <w:bCs w:val="1"/>
          <w:color w:val="231F20"/>
        </w:rPr>
      </w:pPr>
    </w:p>
    <w:p>
      <w:pPr>
        <w:ind w:left="840" w:right="140" w:hanging="350"/>
        <w:spacing w:after="0" w:line="233" w:lineRule="auto"/>
        <w:tabs>
          <w:tab w:leader="none" w:pos="840" w:val="left"/>
        </w:tabs>
        <w:numPr>
          <w:ilvl w:val="0"/>
          <w:numId w:val="3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withdrawals or suspensions of our current 510(k) clearances or certifications, resulting in prohibitions on sales of our products;</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FDA refusal to issue certificates to foreign governments needed to export products for sale in other countries; and</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criminal prosecution.</w:t>
      </w:r>
    </w:p>
    <w:p>
      <w:pPr>
        <w:spacing w:after="0" w:line="243" w:lineRule="exact"/>
        <w:rPr>
          <w:sz w:val="20"/>
          <w:szCs w:val="20"/>
          <w:color w:val="auto"/>
        </w:rPr>
      </w:pPr>
    </w:p>
    <w:p>
      <w:pPr>
        <w:jc w:val="both"/>
        <w:ind w:left="140" w:right="140"/>
        <w:spacing w:after="0" w:line="265" w:lineRule="auto"/>
        <w:rPr>
          <w:sz w:val="20"/>
          <w:szCs w:val="20"/>
          <w:color w:val="auto"/>
        </w:rPr>
      </w:pPr>
      <w:r>
        <w:rPr>
          <w:rFonts w:ascii="Arial" w:cs="Arial" w:eastAsia="Arial" w:hAnsi="Arial"/>
          <w:sz w:val="18"/>
          <w:szCs w:val="18"/>
          <w:b w:val="1"/>
          <w:bCs w:val="1"/>
          <w:color w:val="231F20"/>
        </w:rPr>
        <w:t>Any of these sanctions could result in higher than anticipated costs or lower than anticipated sales and have a material adverse effect on our reputation, business, financial condition and results of operations.</w:t>
      </w:r>
    </w:p>
    <w:p>
      <w:pPr>
        <w:spacing w:after="0" w:line="220"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 xml:space="preserve">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PMingLiU" w:cs="PMingLiU" w:eastAsia="PMingLiU" w:hAnsi="PMingLiU"/>
          <w:sz w:val="16"/>
          <w:szCs w:val="16"/>
          <w:b w:val="1"/>
          <w:bCs w:val="1"/>
          <w:color w:val="231F20"/>
        </w:rPr>
        <w:t></w:t>
      </w:r>
    </w:p>
    <w:p>
      <w:pPr>
        <w:spacing w:after="0" w:line="362"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Our products must be manufactured in accordance with federal, state and foreign regulations, and we or any of our suppliers could be forced to recall products or terminate production if we fail to comply with these regulations.</w:t>
      </w:r>
    </w:p>
    <w:p>
      <w:pPr>
        <w:spacing w:after="0" w:line="12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The methods used in, and the facilities used for, the manufacture of our products must comply with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24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(or foreign regulatory authorities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or notified bodies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refusal to grant pending or future clearances, certifications or approvals for our products; clinical holds; refusal to permit the import or export of our products; and criminal prosecution of us or our employees.</w:t>
      </w:r>
    </w:p>
    <w:p>
      <w:pPr>
        <w:spacing w:after="0" w:line="24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50</w:t>
      </w:r>
    </w:p>
    <w:p>
      <w:pPr>
        <w:sectPr>
          <w:pgSz w:w="12240" w:h="15840" w:orient="portrait"/>
          <w:cols w:equalWidth="0" w:num="1">
            <w:col w:w="9360"/>
          </w:cols>
          <w:pgMar w:left="1440" w:top="1440" w:right="1440" w:bottom="390" w:gutter="0" w:footer="0" w:header="0"/>
          <w:type w:val="continuous"/>
        </w:sectPr>
      </w:pPr>
    </w:p>
    <w:bookmarkStart w:id="52" w:name="page53"/>
    <w:bookmarkEnd w:id="52"/>
    <w:p>
      <w:pPr>
        <w:spacing w:after="0" w:line="201"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7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off-label uses.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We cannot, however, prevent a physician from using our devices off-label, when in the physician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244"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31"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attention from our core business, be expensive to defend and result in sizeable damage awards against us that may not be covered by insurance.</w:t>
      </w:r>
    </w:p>
    <w:p>
      <w:pPr>
        <w:spacing w:after="0" w:line="361"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97"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We are subject to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spacing w:after="0" w:line="24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51</w:t>
      </w:r>
    </w:p>
    <w:p>
      <w:pPr>
        <w:sectPr>
          <w:pgSz w:w="12240" w:h="15840" w:orient="portrait"/>
          <w:cols w:equalWidth="0" w:num="1">
            <w:col w:w="9360"/>
          </w:cols>
          <w:pgMar w:left="1440" w:top="1440" w:right="1440" w:bottom="390" w:gutter="0" w:footer="0" w:header="0"/>
          <w:type w:val="continuous"/>
        </w:sectPr>
      </w:pPr>
    </w:p>
    <w:bookmarkStart w:id="53" w:name="page54"/>
    <w:bookmarkEnd w:id="53"/>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deficiencies, packaging defects or other deficiencies or failures to comply with applicable regulations. Product defects or other errors may occur in the future.</w:t>
      </w:r>
    </w:p>
    <w:p>
      <w:pPr>
        <w:spacing w:after="0" w:line="24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Depending on the corrective action we take to redress a product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spacing w:after="0" w:line="244"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347"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If we do not obtain and maintain international regulatory registrations, clearances, certifications or approvals for our products, we will be unable to market and sell our products outside of the United States.</w:t>
      </w:r>
    </w:p>
    <w:p>
      <w:pPr>
        <w:spacing w:after="0" w:line="83"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211"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7"/>
          <w:szCs w:val="17"/>
          <w:b w:val="1"/>
          <w:bCs w:val="1"/>
          <w:color w:val="231F20"/>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329" w:lineRule="exact"/>
        <w:rPr>
          <w:sz w:val="20"/>
          <w:szCs w:val="20"/>
          <w:color w:val="auto"/>
        </w:rPr>
      </w:pPr>
    </w:p>
    <w:p>
      <w:pPr>
        <w:jc w:val="both"/>
        <w:ind w:left="140" w:right="140"/>
        <w:spacing w:after="0" w:line="266" w:lineRule="auto"/>
        <w:rPr>
          <w:sz w:val="20"/>
          <w:szCs w:val="20"/>
          <w:color w:val="auto"/>
        </w:rPr>
      </w:pPr>
      <w:r>
        <w:rPr>
          <w:rFonts w:ascii="Arial" w:cs="Arial" w:eastAsia="Arial" w:hAnsi="Arial"/>
          <w:sz w:val="18"/>
          <w:szCs w:val="18"/>
          <w:b w:val="1"/>
          <w:bCs w:val="1"/>
          <w:color w:val="231F20"/>
        </w:rPr>
        <w:t>The clinical trial process is lengthy and expensive with uncertain outcomes. Results of earlier studies may not be predictive of future clinical trial results, or the safety or efficacy profile for such products.</w:t>
      </w:r>
    </w:p>
    <w:p>
      <w:pPr>
        <w:spacing w:after="0" w:line="105"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241"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The results of preclinical studies and clinical trials of our products conducted to date and ongoing or future studies and trials of our current, planned or future products may not be predictive of the results of later clinical trials, and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52</w:t>
      </w:r>
    </w:p>
    <w:p>
      <w:pPr>
        <w:sectPr>
          <w:pgSz w:w="12240" w:h="15840" w:orient="portrait"/>
          <w:cols w:equalWidth="0" w:num="1">
            <w:col w:w="9360"/>
          </w:cols>
          <w:pgMar w:left="1440" w:top="1440" w:right="1440" w:bottom="390" w:gutter="0" w:footer="0" w:header="0"/>
          <w:type w:val="continuous"/>
        </w:sectPr>
      </w:pPr>
    </w:p>
    <w:bookmarkStart w:id="54" w:name="page55"/>
    <w:bookmarkEnd w:id="54"/>
    <w:p>
      <w:pPr>
        <w:spacing w:after="0" w:line="201"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218"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65" w:lineRule="exact"/>
        <w:rPr>
          <w:sz w:val="20"/>
          <w:szCs w:val="20"/>
          <w:color w:val="auto"/>
        </w:rPr>
      </w:pPr>
    </w:p>
    <w:p>
      <w:pPr>
        <w:jc w:val="both"/>
        <w:ind w:left="840" w:right="140" w:hanging="350"/>
        <w:spacing w:after="0" w:line="239"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regulators and other comparable foreign regulatory authorities may disagree as to the design or implementation of our clinical trials;</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37"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regulators, Institutional Review Boards, or IRBs, or other reviewing bodies may not authorize us or our investigators to commence a clinical trial, or to conduct or continue a clinical trial at a prospective or specific trial site;</w:t>
      </w:r>
    </w:p>
    <w:p>
      <w:pPr>
        <w:spacing w:after="0" w:line="217" w:lineRule="exact"/>
        <w:rPr>
          <w:rFonts w:ascii="PMingLiU" w:cs="PMingLiU" w:eastAsia="PMingLiU" w:hAnsi="PMingLiU"/>
          <w:sz w:val="19"/>
          <w:szCs w:val="19"/>
          <w:b w:val="1"/>
          <w:bCs w:val="1"/>
          <w:color w:val="231F20"/>
        </w:rPr>
      </w:pPr>
    </w:p>
    <w:p>
      <w:pPr>
        <w:jc w:val="both"/>
        <w:ind w:left="840" w:right="140" w:hanging="350"/>
        <w:spacing w:after="0" w:line="237"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219" w:lineRule="exact"/>
        <w:rPr>
          <w:rFonts w:ascii="PMingLiU" w:cs="PMingLiU" w:eastAsia="PMingLiU" w:hAnsi="PMingLiU"/>
          <w:sz w:val="19"/>
          <w:szCs w:val="19"/>
          <w:b w:val="1"/>
          <w:bCs w:val="1"/>
          <w:color w:val="231F20"/>
        </w:rPr>
      </w:pPr>
    </w:p>
    <w:p>
      <w:pPr>
        <w:ind w:left="840" w:right="140" w:hanging="350"/>
        <w:spacing w:after="0" w:line="316" w:lineRule="auto"/>
        <w:tabs>
          <w:tab w:leader="none" w:pos="840" w:val="left"/>
        </w:tabs>
        <w:numPr>
          <w:ilvl w:val="0"/>
          <w:numId w:val="34"/>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clinical trials may produce negative or inconclusive results, and we may decide, or regulators or notified bodies may require us, to conduct additional clinical trials or abandon product development programs;</w:t>
      </w:r>
    </w:p>
    <w:p>
      <w:pPr>
        <w:spacing w:after="0" w:line="155" w:lineRule="exact"/>
        <w:rPr>
          <w:rFonts w:ascii="PMingLiU" w:cs="PMingLiU" w:eastAsia="PMingLiU" w:hAnsi="PMingLiU"/>
          <w:sz w:val="16"/>
          <w:szCs w:val="16"/>
          <w:b w:val="1"/>
          <w:bCs w:val="1"/>
          <w:color w:val="231F20"/>
        </w:rPr>
      </w:pPr>
    </w:p>
    <w:p>
      <w:pPr>
        <w:jc w:val="both"/>
        <w:ind w:left="840" w:right="140" w:hanging="350"/>
        <w:spacing w:after="0" w:line="298" w:lineRule="auto"/>
        <w:tabs>
          <w:tab w:leader="none" w:pos="840" w:val="left"/>
        </w:tabs>
        <w:numPr>
          <w:ilvl w:val="0"/>
          <w:numId w:val="34"/>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5" w:lineRule="exact"/>
        <w:rPr>
          <w:rFonts w:ascii="PMingLiU" w:cs="PMingLiU" w:eastAsia="PMingLiU" w:hAnsi="PMingLiU"/>
          <w:sz w:val="16"/>
          <w:szCs w:val="16"/>
          <w:b w:val="1"/>
          <w:bCs w:val="1"/>
          <w:color w:val="231F20"/>
        </w:rPr>
      </w:pPr>
    </w:p>
    <w:p>
      <w:pPr>
        <w:jc w:val="both"/>
        <w:ind w:left="840" w:right="140" w:hanging="350"/>
        <w:spacing w:after="0" w:line="237"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third-party contractors, including those manufacturing products or conducting clinical trials on our behalf, may fail to comply with regulatory requirements or meet their contractual obligations to us in a timely manner, or at all;</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might have to suspend or terminate clinical trials for various reasons, including a finding that the subjects are being exposed to unacceptable health risks;</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37"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217" w:lineRule="exact"/>
        <w:rPr>
          <w:rFonts w:ascii="PMingLiU" w:cs="PMingLiU" w:eastAsia="PMingLiU" w:hAnsi="PMingLiU"/>
          <w:sz w:val="19"/>
          <w:szCs w:val="19"/>
          <w:b w:val="1"/>
          <w:bCs w:val="1"/>
          <w:color w:val="231F20"/>
        </w:rPr>
      </w:pPr>
    </w:p>
    <w:p>
      <w:pPr>
        <w:jc w:val="both"/>
        <w:ind w:left="840" w:right="140" w:hanging="350"/>
        <w:spacing w:after="0" w:line="237" w:lineRule="auto"/>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cost of clinical trials may be greater than we anticipate;</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clinical sites may not adhere to the clinical protocol or may drop out of a clinical trial;</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53</w:t>
      </w:r>
    </w:p>
    <w:p>
      <w:pPr>
        <w:sectPr>
          <w:pgSz w:w="12240" w:h="15840" w:orient="portrait"/>
          <w:cols w:equalWidth="0" w:num="1">
            <w:col w:w="9360"/>
          </w:cols>
          <w:pgMar w:left="1440" w:top="1440" w:right="1440" w:bottom="390" w:gutter="0" w:footer="0" w:header="0"/>
          <w:type w:val="continuous"/>
        </w:sectPr>
      </w:pPr>
    </w:p>
    <w:bookmarkStart w:id="55" w:name="page56"/>
    <w:bookmarkEnd w:id="55"/>
    <w:p>
      <w:pPr>
        <w:spacing w:after="0" w:line="199" w:lineRule="exact"/>
        <w:rPr>
          <w:sz w:val="20"/>
          <w:szCs w:val="20"/>
          <w:color w:val="auto"/>
        </w:rPr>
      </w:pPr>
    </w:p>
    <w:p>
      <w:pPr>
        <w:ind w:left="840" w:hanging="350"/>
        <w:spacing w:after="0"/>
        <w:tabs>
          <w:tab w:leader="none" w:pos="840" w:val="left"/>
        </w:tabs>
        <w:numPr>
          <w:ilvl w:val="0"/>
          <w:numId w:val="3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may be unable to recruit a sufficient number of clinical trial sites;</w:t>
      </w:r>
    </w:p>
    <w:p>
      <w:pPr>
        <w:spacing w:after="0" w:line="218" w:lineRule="exact"/>
        <w:rPr>
          <w:rFonts w:ascii="PMingLiU" w:cs="PMingLiU" w:eastAsia="PMingLiU" w:hAnsi="PMingLiU"/>
          <w:sz w:val="19"/>
          <w:szCs w:val="19"/>
          <w:b w:val="1"/>
          <w:bCs w:val="1"/>
          <w:color w:val="231F20"/>
        </w:rPr>
      </w:pPr>
    </w:p>
    <w:p>
      <w:pPr>
        <w:jc w:val="both"/>
        <w:ind w:left="840" w:right="140" w:hanging="350"/>
        <w:spacing w:after="0"/>
        <w:tabs>
          <w:tab w:leader="none" w:pos="840" w:val="left"/>
        </w:tabs>
        <w:numPr>
          <w:ilvl w:val="0"/>
          <w:numId w:val="3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218" w:lineRule="exact"/>
        <w:rPr>
          <w:rFonts w:ascii="PMingLiU" w:cs="PMingLiU" w:eastAsia="PMingLiU" w:hAnsi="PMingLiU"/>
          <w:sz w:val="19"/>
          <w:szCs w:val="19"/>
          <w:b w:val="1"/>
          <w:bCs w:val="1"/>
          <w:color w:val="231F20"/>
        </w:rPr>
      </w:pPr>
    </w:p>
    <w:p>
      <w:pPr>
        <w:ind w:left="840" w:right="140" w:hanging="350"/>
        <w:spacing w:after="0" w:line="253" w:lineRule="auto"/>
        <w:tabs>
          <w:tab w:leader="none" w:pos="840" w:val="left"/>
        </w:tabs>
        <w:numPr>
          <w:ilvl w:val="0"/>
          <w:numId w:val="35"/>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approval or certification policies or regulations of FDA or applicable foreign regulatory agencies may change in a manner rendering our clinical data insufficient for certification or approval; and</w:t>
      </w:r>
    </w:p>
    <w:p>
      <w:pPr>
        <w:spacing w:after="0" w:line="206"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35"/>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our current or future products may have undesirable side effects or other unexpected characteristics.</w:t>
      </w:r>
    </w:p>
    <w:p>
      <w:pPr>
        <w:spacing w:after="0" w:line="250"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Any of these occurrences may significantly harm our business, financial condition and prospects. In addition, disruptions related to public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21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and patients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246"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Clinical trials must be conducted in accordance with the laws and regulations of the FDA and other applicable regulatory authorities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246"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54</w:t>
      </w:r>
    </w:p>
    <w:p>
      <w:pPr>
        <w:sectPr>
          <w:pgSz w:w="12240" w:h="15840" w:orient="portrait"/>
          <w:cols w:equalWidth="0" w:num="1">
            <w:col w:w="9360"/>
          </w:cols>
          <w:pgMar w:left="1440" w:top="1440" w:right="1440" w:bottom="390" w:gutter="0" w:footer="0" w:header="0"/>
          <w:type w:val="continuous"/>
        </w:sectPr>
      </w:pPr>
    </w:p>
    <w:bookmarkStart w:id="56" w:name="page57"/>
    <w:bookmarkEnd w:id="56"/>
    <w:p>
      <w:pPr>
        <w:spacing w:after="0" w:line="20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126"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w:t>
      </w:r>
    </w:p>
    <w:p>
      <w:pPr>
        <w:spacing w:after="0" w:line="243" w:lineRule="exact"/>
        <w:rPr>
          <w:sz w:val="20"/>
          <w:szCs w:val="20"/>
          <w:color w:val="auto"/>
        </w:rPr>
      </w:pPr>
    </w:p>
    <w:p>
      <w:pPr>
        <w:jc w:val="both"/>
        <w:ind w:left="140" w:right="140"/>
        <w:spacing w:after="0" w:line="225" w:lineRule="exact"/>
        <w:rPr>
          <w:sz w:val="20"/>
          <w:szCs w:val="20"/>
          <w:color w:val="auto"/>
        </w:rPr>
      </w:pPr>
      <w:r>
        <w:rPr>
          <w:rFonts w:ascii="Arial" w:cs="Arial" w:eastAsia="Arial" w:hAnsi="Arial"/>
          <w:sz w:val="16"/>
          <w:szCs w:val="16"/>
          <w:b w:val="1"/>
          <w:bCs w:val="1"/>
          <w:color w:val="231F20"/>
        </w:rPr>
        <w:t>In addition, FDA regulations and guidance are often revised or reinterpreted by the FDA in ways that may significantly affect our business and our products. For example, on February 2, 2026,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final rule implementing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Quality Management System Regulation, or QMSR, became effective. The QMSR, which replaced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former Quality System Regulation, or QSR, sets forth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existing medical device requirements than with ISO standards. Accordingly, it remains unclear the extent to which the QMSR may impose additional or different regulatory requirements on us that could increase the costs of compliance or otherwise negatively affect our business.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and other regulatory authorities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0" w:lineRule="exact"/>
        <w:rPr>
          <w:sz w:val="20"/>
          <w:szCs w:val="20"/>
          <w:color w:val="auto"/>
        </w:rPr>
      </w:pPr>
    </w:p>
    <w:p>
      <w:pPr>
        <w:spacing w:after="0" w:line="23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These requirements are in active implementation and may change as the European Commission adopts additional implementing acts and considers targeted revisions to related medical device rules. In addition, on December 16, 2025, the European Commission published a targeted revision proposal of the MDR to address structural issues, certification delays, and burdens on Small and medium-sized enterprises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SMEs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The proposal will enter the ordinary legislative procedure and is not expected to be adopted before 2027.</w:t>
      </w:r>
    </w:p>
    <w:p>
      <w:pPr>
        <w:spacing w:after="0" w:line="250"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The modifications brought by this new Regulation may have an effect on the way we intend to develop our business in the EU and EEA. For example, as a result of the transition towards the new regime, notified body review times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55</w:t>
      </w:r>
    </w:p>
    <w:p>
      <w:pPr>
        <w:sectPr>
          <w:pgSz w:w="12240" w:h="15840" w:orient="portrait"/>
          <w:cols w:equalWidth="0" w:num="1">
            <w:col w:w="9360"/>
          </w:cols>
          <w:pgMar w:left="1440" w:top="1440" w:right="1440" w:bottom="390" w:gutter="0" w:footer="0" w:header="0"/>
          <w:type w:val="continuous"/>
        </w:sectPr>
      </w:pPr>
    </w:p>
    <w:bookmarkStart w:id="57" w:name="page58"/>
    <w:bookmarkEnd w:id="57"/>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have lengthened, and product introductions or modifications could be delayed, which could adversely affect our ability to grow our business in a timely manner.</w:t>
      </w:r>
    </w:p>
    <w:p>
      <w:pPr>
        <w:spacing w:after="0" w:line="362" w:lineRule="exact"/>
        <w:rPr>
          <w:sz w:val="20"/>
          <w:szCs w:val="20"/>
          <w:color w:val="auto"/>
        </w:rPr>
      </w:pPr>
    </w:p>
    <w:p>
      <w:pPr>
        <w:jc w:val="both"/>
        <w:ind w:left="140" w:right="140"/>
        <w:spacing w:after="0" w:line="281" w:lineRule="auto"/>
        <w:rPr>
          <w:sz w:val="20"/>
          <w:szCs w:val="20"/>
          <w:color w:val="auto"/>
        </w:rPr>
      </w:pPr>
      <w:r>
        <w:rPr>
          <w:rFonts w:ascii="Arial" w:cs="Arial" w:eastAsia="Arial" w:hAnsi="Arial"/>
          <w:sz w:val="17"/>
          <w:szCs w:val="17"/>
          <w:b w:val="1"/>
          <w:bCs w:val="1"/>
          <w:color w:val="231F20"/>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93"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The ability of the FDA, foreign regulatory agencies and notified bodies to review and clear, certify or approve new products can be affected by a variety of factors, including government budget and funding levels, statutory, regulatory, and policy changes,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foreign regulatory agencies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notified bodies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ability to hire and retain key personnel and accept the payment of user fees, and other events that may otherwise affect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foreign regulatory agencies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notified bodies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ability to conduct their activities.</w:t>
      </w:r>
    </w:p>
    <w:p>
      <w:pPr>
        <w:spacing w:after="0" w:line="249"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7"/>
          <w:szCs w:val="17"/>
          <w:b w:val="1"/>
          <w:bCs w:val="1"/>
          <w:color w:val="231F20"/>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214"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331" w:lineRule="exact"/>
        <w:rPr>
          <w:sz w:val="20"/>
          <w:szCs w:val="20"/>
          <w:color w:val="auto"/>
        </w:rPr>
      </w:pPr>
    </w:p>
    <w:p>
      <w:pPr>
        <w:jc w:val="both"/>
        <w:ind w:left="140" w:right="140"/>
        <w:spacing w:after="0" w:line="263" w:lineRule="auto"/>
        <w:rPr>
          <w:sz w:val="20"/>
          <w:szCs w:val="20"/>
          <w:color w:val="auto"/>
        </w:rPr>
      </w:pPr>
      <w:r>
        <w:rPr>
          <w:rFonts w:ascii="Arial" w:cs="Arial" w:eastAsia="Arial" w:hAnsi="Arial"/>
          <w:sz w:val="18"/>
          <w:szCs w:val="18"/>
          <w:b w:val="1"/>
          <w:bCs w:val="1"/>
          <w:color w:val="231F20"/>
        </w:rPr>
        <w:t>Enacted and future healthcare legislation may increase the difficulty and cost for us to commercialize our ALLY System or other products we may develop in the future and may affect the prices we may set.</w:t>
      </w:r>
    </w:p>
    <w:p>
      <w:pPr>
        <w:spacing w:after="0" w:line="108"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213"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spacing w:after="0" w:line="241"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Moreover, other legislative changes have been proposed and adopted since the ACA was enacted. For example, the Budget Control Act of 2011, among other things, included reductions to Medicare payments to providers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56</w:t>
      </w:r>
    </w:p>
    <w:p>
      <w:pPr>
        <w:sectPr>
          <w:pgSz w:w="12240" w:h="15840" w:orient="portrait"/>
          <w:cols w:equalWidth="0" w:num="1">
            <w:col w:w="9360"/>
          </w:cols>
          <w:pgMar w:left="1440" w:top="1440" w:right="1440" w:bottom="390" w:gutter="0" w:footer="0" w:header="0"/>
          <w:type w:val="continuous"/>
        </w:sectPr>
      </w:pPr>
    </w:p>
    <w:bookmarkStart w:id="58" w:name="page59"/>
    <w:bookmarkEnd w:id="58"/>
    <w:p>
      <w:pPr>
        <w:spacing w:after="0" w:line="201"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 xml:space="preserve">Additionally, the American Taxpayer Relief Act of 2012, among other things, reduced Medicare payments to several providers, including hospitals, and increased the statute of limitations period for the government to recover overpayments to providers from three to five years. More recently, the One Big Beautiful Bill Act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OBBBA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was signed into law in July 2025, which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243"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89"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For EU member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11"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344"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124"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spacing w:after="0" w:line="219" w:lineRule="exact"/>
        <w:rPr>
          <w:sz w:val="20"/>
          <w:szCs w:val="20"/>
          <w:color w:val="auto"/>
        </w:rPr>
      </w:pPr>
    </w:p>
    <w:p>
      <w:pPr>
        <w:jc w:val="both"/>
        <w:ind w:left="840" w:right="140" w:hanging="350"/>
        <w:spacing w:after="0" w:line="294" w:lineRule="auto"/>
        <w:tabs>
          <w:tab w:leader="none" w:pos="840" w:val="left"/>
        </w:tabs>
        <w:numPr>
          <w:ilvl w:val="0"/>
          <w:numId w:val="36"/>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79" w:lineRule="exact"/>
        <w:rPr>
          <w:rFonts w:ascii="PMingLiU" w:cs="PMingLiU" w:eastAsia="PMingLiU" w:hAnsi="PMingLiU"/>
          <w:sz w:val="16"/>
          <w:szCs w:val="16"/>
          <w:b w:val="1"/>
          <w:bCs w:val="1"/>
          <w:color w:val="231F20"/>
        </w:rPr>
      </w:pPr>
    </w:p>
    <w:p>
      <w:pPr>
        <w:jc w:val="both"/>
        <w:ind w:left="840" w:right="140" w:hanging="350"/>
        <w:spacing w:after="0" w:line="298" w:lineRule="auto"/>
        <w:tabs>
          <w:tab w:leader="none" w:pos="840" w:val="left"/>
        </w:tabs>
        <w:numPr>
          <w:ilvl w:val="0"/>
          <w:numId w:val="36"/>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57</w:t>
      </w:r>
    </w:p>
    <w:p>
      <w:pPr>
        <w:sectPr>
          <w:pgSz w:w="12240" w:h="15840" w:orient="portrait"/>
          <w:cols w:equalWidth="0" w:num="1">
            <w:col w:w="9360"/>
          </w:cols>
          <w:pgMar w:left="1440" w:top="1440" w:right="1440" w:bottom="390" w:gutter="0" w:footer="0" w:header="0"/>
          <w:type w:val="continuous"/>
        </w:sectPr>
      </w:pPr>
    </w:p>
    <w:bookmarkStart w:id="59" w:name="page60"/>
    <w:bookmarkEnd w:id="59"/>
    <w:p>
      <w:pPr>
        <w:spacing w:after="0" w:line="201" w:lineRule="exact"/>
        <w:rPr>
          <w:sz w:val="20"/>
          <w:szCs w:val="20"/>
          <w:color w:val="auto"/>
        </w:rPr>
      </w:pPr>
    </w:p>
    <w:p>
      <w:pPr>
        <w:jc w:val="both"/>
        <w:ind w:left="840" w:right="140"/>
        <w:spacing w:after="0" w:line="260" w:lineRule="auto"/>
        <w:rPr>
          <w:sz w:val="20"/>
          <w:szCs w:val="20"/>
          <w:color w:val="auto"/>
        </w:rPr>
      </w:pPr>
      <w:r>
        <w:rPr>
          <w:rFonts w:ascii="Arial" w:cs="Arial" w:eastAsia="Arial" w:hAnsi="Arial"/>
          <w:sz w:val="18"/>
          <w:szCs w:val="18"/>
          <w:b w:val="1"/>
          <w:bCs w:val="1"/>
          <w:color w:val="231F20"/>
        </w:rPr>
        <w:t>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spacing w:after="0" w:line="203" w:lineRule="exact"/>
        <w:rPr>
          <w:sz w:val="20"/>
          <w:szCs w:val="20"/>
          <w:color w:val="auto"/>
        </w:rPr>
      </w:pPr>
    </w:p>
    <w:p>
      <w:pPr>
        <w:jc w:val="both"/>
        <w:ind w:left="840" w:right="140" w:hanging="350"/>
        <w:spacing w:after="0" w:line="221" w:lineRule="exact"/>
        <w:tabs>
          <w:tab w:leader="none" w:pos="840" w:val="left"/>
        </w:tabs>
        <w:numPr>
          <w:ilvl w:val="0"/>
          <w:numId w:val="3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federal Civil Monetary Penalties law, which prohibits, among other things, offering or transferring remuneration to a federal healthcare beneficiary that a person knows or should know is likely to influence the beneficiary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decision to order or receive items or services reimbursable by the government from a particular provider or supplier;</w:t>
      </w:r>
    </w:p>
    <w:p>
      <w:pPr>
        <w:spacing w:after="0" w:line="216" w:lineRule="exact"/>
        <w:rPr>
          <w:rFonts w:ascii="PMingLiU" w:cs="PMingLiU" w:eastAsia="PMingLiU" w:hAnsi="PMingLiU"/>
          <w:sz w:val="19"/>
          <w:szCs w:val="19"/>
          <w:b w:val="1"/>
          <w:bCs w:val="1"/>
          <w:color w:val="231F20"/>
        </w:rPr>
      </w:pPr>
    </w:p>
    <w:p>
      <w:pPr>
        <w:jc w:val="both"/>
        <w:ind w:left="840" w:right="140" w:hanging="350"/>
        <w:spacing w:after="0"/>
        <w:tabs>
          <w:tab w:leader="none" w:pos="840" w:val="left"/>
        </w:tabs>
        <w:numPr>
          <w:ilvl w:val="0"/>
          <w:numId w:val="3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20" w:lineRule="exact"/>
        <w:rPr>
          <w:rFonts w:ascii="PMingLiU" w:cs="PMingLiU" w:eastAsia="PMingLiU" w:hAnsi="PMingLiU"/>
          <w:sz w:val="19"/>
          <w:szCs w:val="19"/>
          <w:b w:val="1"/>
          <w:bCs w:val="1"/>
          <w:color w:val="231F20"/>
        </w:rPr>
      </w:pPr>
    </w:p>
    <w:p>
      <w:pPr>
        <w:jc w:val="both"/>
        <w:ind w:left="840" w:right="140" w:hanging="350"/>
        <w:spacing w:after="0" w:line="222" w:lineRule="exact"/>
        <w:tabs>
          <w:tab w:leader="none" w:pos="840" w:val="left"/>
        </w:tabs>
        <w:numPr>
          <w:ilvl w:val="0"/>
          <w:numId w:val="37"/>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Physician Payments Sunshine Act and its implementing regulations, which require certain manufacturers of drugs, devices, biologics and medical supplies that are reimbursable under Medicare, Medicaid, or the Children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217" w:lineRule="exact"/>
        <w:rPr>
          <w:rFonts w:ascii="PMingLiU" w:cs="PMingLiU" w:eastAsia="PMingLiU" w:hAnsi="PMingLiU"/>
          <w:sz w:val="17"/>
          <w:szCs w:val="17"/>
          <w:b w:val="1"/>
          <w:bCs w:val="1"/>
          <w:color w:val="231F20"/>
        </w:rPr>
      </w:pPr>
    </w:p>
    <w:p>
      <w:pPr>
        <w:jc w:val="both"/>
        <w:ind w:left="840" w:right="140" w:hanging="350"/>
        <w:spacing w:after="0" w:line="222" w:lineRule="exact"/>
        <w:tabs>
          <w:tab w:leader="none" w:pos="840" w:val="left"/>
        </w:tabs>
        <w:numPr>
          <w:ilvl w:val="0"/>
          <w:numId w:val="37"/>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219" w:lineRule="exact"/>
        <w:rPr>
          <w:rFonts w:ascii="PMingLiU" w:cs="PMingLiU" w:eastAsia="PMingLiU" w:hAnsi="PMingLiU"/>
          <w:sz w:val="17"/>
          <w:szCs w:val="17"/>
          <w:b w:val="1"/>
          <w:bCs w:val="1"/>
          <w:color w:val="231F20"/>
        </w:rPr>
      </w:pPr>
    </w:p>
    <w:p>
      <w:pPr>
        <w:ind w:left="840" w:right="140" w:hanging="350"/>
        <w:spacing w:after="0" w:line="233" w:lineRule="auto"/>
        <w:tabs>
          <w:tab w:leader="none" w:pos="840" w:val="left"/>
        </w:tabs>
        <w:numPr>
          <w:ilvl w:val="0"/>
          <w:numId w:val="3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EU and other foreign law equivalents of each of the laws, including reporting requirements detailing interactions with and payments to healthcare providers.</w:t>
      </w:r>
    </w:p>
    <w:p>
      <w:pPr>
        <w:spacing w:after="0" w:line="241"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33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are subject to anti-corruption, anti-bribery and similar laws and any violations by us of such laws could result in fines or other penalties.</w:t>
      </w:r>
    </w:p>
    <w:p>
      <w:pPr>
        <w:spacing w:after="0" w:line="12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A majority of our revenue is derived from operations outside of the United States and is subject to requirements under the U.S. Treasury Department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58</w:t>
      </w:r>
    </w:p>
    <w:p>
      <w:pPr>
        <w:sectPr>
          <w:pgSz w:w="12240" w:h="15840" w:orient="portrait"/>
          <w:cols w:equalWidth="0" w:num="1">
            <w:col w:w="9360"/>
          </w:cols>
          <w:pgMar w:left="1440" w:top="1440" w:right="1440" w:bottom="390" w:gutter="0" w:footer="0" w:header="0"/>
          <w:type w:val="continuous"/>
        </w:sectPr>
      </w:pPr>
    </w:p>
    <w:bookmarkStart w:id="60" w:name="page61"/>
    <w:bookmarkEnd w:id="60"/>
    <w:p>
      <w:pPr>
        <w:spacing w:after="0" w:line="201"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35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12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regulations, including those laws that require the reporting of true, complete and accurate information to the FDA (or foreign regulatory authorities); (ii) manufacturing standards;</w:t>
      </w:r>
    </w:p>
    <w:p>
      <w:pPr>
        <w:spacing w:after="0" w:line="12" w:lineRule="exact"/>
        <w:rPr>
          <w:sz w:val="20"/>
          <w:szCs w:val="20"/>
          <w:color w:val="auto"/>
        </w:rPr>
      </w:pPr>
    </w:p>
    <w:p>
      <w:pPr>
        <w:jc w:val="both"/>
        <w:ind w:left="140" w:right="140" w:firstLine="2"/>
        <w:spacing w:after="0" w:line="275" w:lineRule="auto"/>
        <w:tabs>
          <w:tab w:leader="none" w:pos="517" w:val="left"/>
        </w:tabs>
        <w:numPr>
          <w:ilvl w:val="0"/>
          <w:numId w:val="38"/>
        </w:numPr>
        <w:rPr>
          <w:rFonts w:ascii="Arial" w:cs="Arial" w:eastAsia="Arial" w:hAnsi="Arial"/>
          <w:sz w:val="17"/>
          <w:szCs w:val="17"/>
          <w:b w:val="1"/>
          <w:bCs w:val="1"/>
          <w:color w:val="231F20"/>
        </w:rPr>
      </w:pPr>
      <w:r>
        <w:rPr>
          <w:rFonts w:ascii="Arial" w:cs="Arial" w:eastAsia="Arial" w:hAnsi="Arial"/>
          <w:sz w:val="17"/>
          <w:szCs w:val="17"/>
          <w:b w:val="1"/>
          <w:bCs w:val="1"/>
          <w:color w:val="231F20"/>
        </w:rPr>
        <w:t>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33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Risks Related to Intellectual Property Matters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Our success will depend on our ability to obtain, maintain, and protect our intellectual property rights.</w:t>
      </w:r>
    </w:p>
    <w:p>
      <w:pPr>
        <w:spacing w:after="0" w:line="134"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210"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216" w:lineRule="exact"/>
        <w:rPr>
          <w:sz w:val="20"/>
          <w:szCs w:val="20"/>
          <w:color w:val="auto"/>
        </w:rPr>
      </w:pPr>
    </w:p>
    <w:p>
      <w:pPr>
        <w:jc w:val="both"/>
        <w:ind w:left="140" w:right="140"/>
        <w:spacing w:after="0" w:line="298" w:lineRule="auto"/>
        <w:rPr>
          <w:sz w:val="20"/>
          <w:szCs w:val="20"/>
          <w:color w:val="auto"/>
        </w:rPr>
      </w:pPr>
      <w:r>
        <w:rPr>
          <w:rFonts w:ascii="Arial" w:cs="Arial" w:eastAsia="Arial" w:hAnsi="Arial"/>
          <w:sz w:val="16"/>
          <w:szCs w:val="16"/>
          <w:b w:val="1"/>
          <w:bCs w:val="1"/>
          <w:color w:val="231F20"/>
        </w:rPr>
        <w:t>In addition, our efforts to enter into confidentiality agreements with our employees, consultants, clients and other vendors who have access to our confidential information, our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59</w:t>
      </w:r>
    </w:p>
    <w:p>
      <w:pPr>
        <w:sectPr>
          <w:pgSz w:w="12240" w:h="15840" w:orient="portrait"/>
          <w:cols w:equalWidth="0" w:num="1">
            <w:col w:w="9360"/>
          </w:cols>
          <w:pgMar w:left="1440" w:top="1440" w:right="1440" w:bottom="390" w:gutter="0" w:footer="0" w:header="0"/>
          <w:type w:val="continuous"/>
        </w:sectPr>
      </w:pPr>
    </w:p>
    <w:bookmarkStart w:id="61" w:name="page62"/>
    <w:bookmarkEnd w:id="61"/>
    <w:p>
      <w:pPr>
        <w:spacing w:after="0" w:line="201"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224"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226"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w:t>
      </w:r>
    </w:p>
    <w:p>
      <w:pPr>
        <w:spacing w:after="0" w:line="218"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We own numerous issued patents and pending patent applications. As of December 31, 2025, we owned approximately 76 U.S. patents, 26 pending U.S. patent applications, 216 issued foreign patents, and 79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210"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203"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spacing w:after="0" w:line="214"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60</w:t>
      </w:r>
    </w:p>
    <w:p>
      <w:pPr>
        <w:sectPr>
          <w:pgSz w:w="12240" w:h="15840" w:orient="portrait"/>
          <w:cols w:equalWidth="0" w:num="1">
            <w:col w:w="9360"/>
          </w:cols>
          <w:pgMar w:left="1440" w:top="1440" w:right="1440" w:bottom="390" w:gutter="0" w:footer="0" w:header="0"/>
          <w:type w:val="continuous"/>
        </w:sectPr>
      </w:pPr>
    </w:p>
    <w:bookmarkStart w:id="62" w:name="page63"/>
    <w:bookmarkEnd w:id="62"/>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degree of future protection for our proprietary rights is uncertain, and we cannot ensure that:</w:t>
      </w:r>
    </w:p>
    <w:p>
      <w:pPr>
        <w:spacing w:after="0" w:line="219" w:lineRule="exact"/>
        <w:rPr>
          <w:sz w:val="20"/>
          <w:szCs w:val="20"/>
          <w:color w:val="auto"/>
        </w:rPr>
      </w:pPr>
    </w:p>
    <w:p>
      <w:pPr>
        <w:ind w:left="840" w:right="140" w:hanging="350"/>
        <w:spacing w:after="0" w:line="233" w:lineRule="auto"/>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any of our patents, or any of our pending patent applications, if issued, will include claims having a scope sufficient to protect our products;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any of our pending patent applications will issue as patents;</w:t>
      </w:r>
    </w:p>
    <w:p>
      <w:pPr>
        <w:spacing w:after="0" w:line="216"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will be able to successfully commercialize our products on a substantial scale, if approved, before our relevant patents expire;</w:t>
      </w:r>
    </w:p>
    <w:p>
      <w:pPr>
        <w:spacing w:after="0" w:line="21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9"/>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we were the first to make the inventions covered by each of our patents and pending patent applications;</w:t>
      </w:r>
    </w:p>
    <w:p>
      <w:pPr>
        <w:spacing w:after="0" w:line="218" w:lineRule="exact"/>
        <w:rPr>
          <w:rFonts w:ascii="PMingLiU" w:cs="PMingLiU" w:eastAsia="PMingLiU" w:hAnsi="PMingLiU"/>
          <w:sz w:val="16"/>
          <w:szCs w:val="16"/>
          <w:b w:val="1"/>
          <w:bCs w:val="1"/>
          <w:color w:val="231F20"/>
        </w:rPr>
      </w:pPr>
    </w:p>
    <w:p>
      <w:pPr>
        <w:ind w:left="840" w:hanging="350"/>
        <w:spacing w:after="0"/>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we were the first to file patent applications for these inventions;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others will not develop similar or alternative technologies that do not infringe our patents;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any of our patents will ultimately be found to be valid and enforceable;</w:t>
      </w:r>
    </w:p>
    <w:p>
      <w:pPr>
        <w:spacing w:after="0" w:line="216" w:lineRule="exact"/>
        <w:rPr>
          <w:rFonts w:ascii="PMingLiU" w:cs="PMingLiU" w:eastAsia="PMingLiU" w:hAnsi="PMingLiU"/>
          <w:sz w:val="19"/>
          <w:szCs w:val="19"/>
          <w:b w:val="1"/>
          <w:bCs w:val="1"/>
          <w:color w:val="231F20"/>
        </w:rPr>
      </w:pPr>
    </w:p>
    <w:p>
      <w:pPr>
        <w:ind w:left="840" w:right="140" w:hanging="350"/>
        <w:spacing w:after="0" w:line="282" w:lineRule="auto"/>
        <w:tabs>
          <w:tab w:leader="none" w:pos="840" w:val="left"/>
        </w:tabs>
        <w:numPr>
          <w:ilvl w:val="0"/>
          <w:numId w:val="39"/>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any patents issued to us will provide a basis for an exclusive market for our commercially viable products, will provide us with any competitive advantages or will not be challenged by third parties;</w:t>
      </w:r>
    </w:p>
    <w:p>
      <w:pPr>
        <w:spacing w:after="0" w:line="178" w:lineRule="exact"/>
        <w:rPr>
          <w:rFonts w:ascii="PMingLiU" w:cs="PMingLiU" w:eastAsia="PMingLiU" w:hAnsi="PMingLiU"/>
          <w:sz w:val="17"/>
          <w:szCs w:val="17"/>
          <w:b w:val="1"/>
          <w:bCs w:val="1"/>
          <w:color w:val="231F20"/>
        </w:rPr>
      </w:pPr>
    </w:p>
    <w:p>
      <w:pPr>
        <w:ind w:left="840" w:hanging="350"/>
        <w:spacing w:after="0"/>
        <w:tabs>
          <w:tab w:leader="none" w:pos="840" w:val="left"/>
        </w:tabs>
        <w:numPr>
          <w:ilvl w:val="0"/>
          <w:numId w:val="39"/>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we will develop additional proprietary technologies or products that are separately patentable; or</w:t>
      </w:r>
    </w:p>
    <w:p>
      <w:pPr>
        <w:spacing w:after="0" w:line="199"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3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commercial activities or products will not infringe upon the patents of others.</w:t>
      </w:r>
    </w:p>
    <w:p>
      <w:pPr>
        <w:spacing w:after="0" w:line="243"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322"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9"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risk that the revival can be challenged by third parties in administrative proceedings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61</w:t>
      </w:r>
    </w:p>
    <w:p>
      <w:pPr>
        <w:sectPr>
          <w:pgSz w:w="12240" w:h="15840" w:orient="portrait"/>
          <w:cols w:equalWidth="0" w:num="1">
            <w:col w:w="9360"/>
          </w:cols>
          <w:pgMar w:left="1440" w:top="1440" w:right="1440" w:bottom="390" w:gutter="0" w:footer="0" w:header="0"/>
          <w:type w:val="continuous"/>
        </w:sectPr>
      </w:pPr>
    </w:p>
    <w:bookmarkStart w:id="63" w:name="page64"/>
    <w:bookmarkEnd w:id="63"/>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Changes in patent law could diminish the value of patents in general, thereby impairing our ability to protect our existing and future products.</w:t>
      </w:r>
    </w:p>
    <w:p>
      <w:pPr>
        <w:spacing w:after="0" w:line="129"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31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If we cannot license and maintain rights to use third-party technology on reasonable terms, we may not be able to successfully commercialize our products. Our licensed or acquired technology may lose value or utility or over time.</w:t>
      </w:r>
    </w:p>
    <w:p>
      <w:pPr>
        <w:spacing w:after="0" w:line="12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technology, a dispute with the licensor, or circumstances outside our control. In return for the use of a third party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366"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may become a party to intellectual property litigation or administrative proceedings that could be costly and could interfere with our ability to sell and market our products.</w:t>
      </w:r>
    </w:p>
    <w:p>
      <w:pPr>
        <w:spacing w:after="0" w:line="129"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patent trolls,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have purchased patents and other intellectual property assets for the purpose of making claims of infringement in order to extract settlements. From time to time, we may receive threatening letters, notices or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invitations to license,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or may be the subject of claims that our products and business operations infringe or violate the intellectual property rights of others. These matters can be time consuming and costly to defend in litigation, divert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patent or trademark or of misappropriating a third party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trade secret or such indemnification may be insufficient to fully cover the expenses incurred.</w:t>
      </w:r>
    </w:p>
    <w:p>
      <w:pPr>
        <w:spacing w:after="0" w:line="249"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62</w:t>
      </w:r>
    </w:p>
    <w:p>
      <w:pPr>
        <w:sectPr>
          <w:pgSz w:w="12240" w:h="15840" w:orient="portrait"/>
          <w:cols w:equalWidth="0" w:num="1">
            <w:col w:w="9360"/>
          </w:cols>
          <w:pgMar w:left="1440" w:top="1440" w:right="1440" w:bottom="390" w:gutter="0" w:footer="0" w:header="0"/>
          <w:type w:val="continuous"/>
        </w:sectPr>
      </w:pPr>
    </w:p>
    <w:bookmarkStart w:id="64" w:name="page65"/>
    <w:bookmarkEnd w:id="64"/>
    <w:p>
      <w:pPr>
        <w:spacing w:after="0" w:line="201"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w:t>
      </w:r>
    </w:p>
    <w:p>
      <w:pPr>
        <w:spacing w:after="0" w:line="243"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w:t>
      </w:r>
    </w:p>
    <w:p>
      <w:pPr>
        <w:spacing w:after="0" w:line="21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215" w:lineRule="exact"/>
        <w:rPr>
          <w:sz w:val="20"/>
          <w:szCs w:val="20"/>
          <w:color w:val="auto"/>
        </w:rPr>
      </w:pPr>
    </w:p>
    <w:p>
      <w:pPr>
        <w:ind w:left="840" w:right="140" w:hanging="350"/>
        <w:spacing w:after="0" w:line="233" w:lineRule="auto"/>
        <w:tabs>
          <w:tab w:leader="none" w:pos="840" w:val="left"/>
        </w:tabs>
        <w:numPr>
          <w:ilvl w:val="0"/>
          <w:numId w:val="4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stop making, selling or using products or technologies that allegedly infringe the asserted intellectual property;</w:t>
      </w:r>
    </w:p>
    <w:p>
      <w:pPr>
        <w:spacing w:after="0" w:line="219" w:lineRule="exact"/>
        <w:rPr>
          <w:rFonts w:ascii="PMingLiU" w:cs="PMingLiU" w:eastAsia="PMingLiU" w:hAnsi="PMingLiU"/>
          <w:sz w:val="19"/>
          <w:szCs w:val="19"/>
          <w:b w:val="1"/>
          <w:bCs w:val="1"/>
          <w:color w:val="231F20"/>
        </w:rPr>
      </w:pPr>
    </w:p>
    <w:p>
      <w:pPr>
        <w:ind w:left="840" w:right="140" w:hanging="350"/>
        <w:spacing w:after="0" w:line="252" w:lineRule="auto"/>
        <w:tabs>
          <w:tab w:leader="none" w:pos="840" w:val="left"/>
        </w:tabs>
        <w:numPr>
          <w:ilvl w:val="0"/>
          <w:numId w:val="40"/>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lose the opportunity to license our intellectual property to others or to collect royalty payments based upon successful protection and assertion of our intellectual property rights against others;</w:t>
      </w:r>
    </w:p>
    <w:p>
      <w:pPr>
        <w:spacing w:after="0" w:line="191"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4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incur significant legal expenses;</w:t>
      </w:r>
    </w:p>
    <w:p>
      <w:pPr>
        <w:spacing w:after="0" w:line="216"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pay substantial damages or royalties to the party whose intellectual property rights we may be found to be infringing;</w:t>
      </w:r>
    </w:p>
    <w:p>
      <w:pPr>
        <w:spacing w:after="0" w:line="219" w:lineRule="exact"/>
        <w:rPr>
          <w:rFonts w:ascii="PMingLiU" w:cs="PMingLiU" w:eastAsia="PMingLiU" w:hAnsi="PMingLiU"/>
          <w:sz w:val="19"/>
          <w:szCs w:val="19"/>
          <w:b w:val="1"/>
          <w:bCs w:val="1"/>
          <w:color w:val="231F20"/>
        </w:rPr>
      </w:pPr>
    </w:p>
    <w:p>
      <w:pPr>
        <w:ind w:left="840" w:right="140" w:hanging="350"/>
        <w:spacing w:after="0" w:line="218" w:lineRule="exact"/>
        <w:tabs>
          <w:tab w:leader="none" w:pos="840" w:val="left"/>
        </w:tabs>
        <w:numPr>
          <w:ilvl w:val="0"/>
          <w:numId w:val="4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pay the attorney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fees and costs of litigation to the party whose intellectual property rights we may be found to be infringing;</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redesign those products or technologies that contain the allegedly infringing intellectual property, which could be costly and disruptive, and may be infeasible; and</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37" w:lineRule="auto"/>
        <w:tabs>
          <w:tab w:leader="none" w:pos="840" w:val="left"/>
        </w:tabs>
        <w:numPr>
          <w:ilvl w:val="0"/>
          <w:numId w:val="4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attempt to obtain a license to the relevant intellectual property from third parties, which may not be available on reasonable terms or at all, or from third parties who may attempt to license rights that they do not have.</w:t>
      </w:r>
    </w:p>
    <w:p>
      <w:pPr>
        <w:spacing w:after="0" w:line="244"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63</w:t>
      </w:r>
    </w:p>
    <w:p>
      <w:pPr>
        <w:sectPr>
          <w:pgSz w:w="12240" w:h="15840" w:orient="portrait"/>
          <w:cols w:equalWidth="0" w:num="1">
            <w:col w:w="9360"/>
          </w:cols>
          <w:pgMar w:left="1440" w:top="1440" w:right="1440" w:bottom="390" w:gutter="0" w:footer="0" w:header="0"/>
          <w:type w:val="continuous"/>
        </w:sectPr>
      </w:pPr>
    </w:p>
    <w:bookmarkStart w:id="65" w:name="page66"/>
    <w:bookmarkEnd w:id="65"/>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changes to our products or technologies, we may have to withdraw existing products from the market or may be unable to commercialize one or more of our products.</w:t>
      </w:r>
    </w:p>
    <w:p>
      <w:pPr>
        <w:spacing w:after="0" w:line="24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In addition, we generally indemnify our customers with respect to our products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245"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23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369"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If we are unable to protect the confidentiality of our other proprietary information, our business and competitive position may be harmed.</w:t>
      </w:r>
    </w:p>
    <w:p>
      <w:pPr>
        <w:spacing w:after="0" w:line="126" w:lineRule="exact"/>
        <w:rPr>
          <w:sz w:val="20"/>
          <w:szCs w:val="20"/>
          <w:color w:val="auto"/>
        </w:rPr>
      </w:pPr>
    </w:p>
    <w:p>
      <w:pPr>
        <w:jc w:val="both"/>
        <w:ind w:left="140" w:right="140"/>
        <w:spacing w:after="0" w:line="293" w:lineRule="auto"/>
        <w:rPr>
          <w:sz w:val="20"/>
          <w:szCs w:val="20"/>
          <w:color w:val="auto"/>
        </w:rPr>
      </w:pPr>
      <w:r>
        <w:rPr>
          <w:rFonts w:ascii="Arial" w:cs="Arial" w:eastAsia="Arial" w:hAnsi="Arial"/>
          <w:sz w:val="16"/>
          <w:szCs w:val="16"/>
          <w:b w:val="1"/>
          <w:bCs w:val="1"/>
          <w:color w:val="231F20"/>
        </w:rPr>
        <w:t>In addition to patent protection, we also rely on protection of trade secrets, know-how, and other proprietary information that is not patentable or that we elect not to patent. However, trade secrets can be difficult to protect and 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w:t>
      </w:r>
    </w:p>
    <w:p>
      <w:pPr>
        <w:spacing w:after="0" w:line="212" w:lineRule="exact"/>
        <w:rPr>
          <w:sz w:val="20"/>
          <w:szCs w:val="20"/>
          <w:color w:val="auto"/>
        </w:rPr>
      </w:pPr>
    </w:p>
    <w:p>
      <w:pPr>
        <w:jc w:val="both"/>
        <w:ind w:left="140" w:right="140"/>
        <w:spacing w:after="0" w:line="308" w:lineRule="auto"/>
        <w:rPr>
          <w:sz w:val="20"/>
          <w:szCs w:val="20"/>
          <w:color w:val="auto"/>
        </w:rPr>
      </w:pPr>
      <w:r>
        <w:rPr>
          <w:rFonts w:ascii="Arial" w:cs="Arial" w:eastAsia="Arial" w:hAnsi="Arial"/>
          <w:sz w:val="16"/>
          <w:szCs w:val="16"/>
          <w:b w:val="1"/>
          <w:bCs w:val="1"/>
          <w:color w:val="231F20"/>
        </w:rPr>
        <w:t>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64</w:t>
      </w:r>
    </w:p>
    <w:p>
      <w:pPr>
        <w:sectPr>
          <w:pgSz w:w="12240" w:h="15840" w:orient="portrait"/>
          <w:cols w:equalWidth="0" w:num="1">
            <w:col w:w="9360"/>
          </w:cols>
          <w:pgMar w:left="1440" w:top="1440" w:right="1440" w:bottom="390" w:gutter="0" w:footer="0" w:header="0"/>
          <w:type w:val="continuous"/>
        </w:sectPr>
      </w:pPr>
    </w:p>
    <w:bookmarkStart w:id="66" w:name="page67"/>
    <w:bookmarkEnd w:id="66"/>
    <w:p>
      <w:pPr>
        <w:spacing w:after="0" w:line="201" w:lineRule="exact"/>
        <w:rPr>
          <w:sz w:val="20"/>
          <w:szCs w:val="20"/>
          <w:color w:val="auto"/>
        </w:rPr>
      </w:pPr>
    </w:p>
    <w:p>
      <w:pPr>
        <w:jc w:val="both"/>
        <w:ind w:left="140" w:right="140"/>
        <w:spacing w:after="0" w:line="275" w:lineRule="auto"/>
        <w:rPr>
          <w:sz w:val="20"/>
          <w:szCs w:val="20"/>
          <w:color w:val="auto"/>
        </w:rPr>
      </w:pPr>
      <w:r>
        <w:rPr>
          <w:rFonts w:ascii="Arial" w:cs="Arial" w:eastAsia="Arial" w:hAnsi="Arial"/>
          <w:sz w:val="17"/>
          <w:szCs w:val="17"/>
          <w:b w:val="1"/>
          <w:bCs w:val="1"/>
          <w:color w:val="231F20"/>
        </w:rPr>
        <w:t>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223"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232"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34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We may not be able to protect our intellectual property rights throughout the world.</w:t>
      </w:r>
    </w:p>
    <w:p>
      <w:pPr>
        <w:spacing w:after="0" w:line="125"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209" w:lineRule="exact"/>
        <w:rPr>
          <w:sz w:val="20"/>
          <w:szCs w:val="20"/>
          <w:color w:val="auto"/>
        </w:rPr>
      </w:pPr>
    </w:p>
    <w:p>
      <w:pPr>
        <w:jc w:val="both"/>
        <w:ind w:left="140" w:right="140"/>
        <w:spacing w:after="0" w:line="292" w:lineRule="auto"/>
        <w:rPr>
          <w:sz w:val="20"/>
          <w:szCs w:val="20"/>
          <w:color w:val="auto"/>
        </w:rPr>
      </w:pPr>
      <w:r>
        <w:rPr>
          <w:rFonts w:ascii="Arial" w:cs="Arial" w:eastAsia="Arial" w:hAnsi="Arial"/>
          <w:sz w:val="16"/>
          <w:szCs w:val="16"/>
          <w:b w:val="1"/>
          <w:bCs w:val="1"/>
          <w:color w:val="231F20"/>
        </w:rPr>
        <w:t>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against infringing activities is inadequate. These products or trademarks may compete with our products or trademarks, and our patents, trademarks or 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65</w:t>
      </w:r>
    </w:p>
    <w:p>
      <w:pPr>
        <w:sectPr>
          <w:pgSz w:w="12240" w:h="15840" w:orient="portrait"/>
          <w:cols w:equalWidth="0" w:num="1">
            <w:col w:w="9360"/>
          </w:cols>
          <w:pgMar w:left="1440" w:top="1440" w:right="1440" w:bottom="390" w:gutter="0" w:footer="0" w:header="0"/>
          <w:type w:val="continuous"/>
        </w:sectPr>
      </w:pPr>
    </w:p>
    <w:bookmarkStart w:id="67" w:name="page68"/>
    <w:bookmarkEnd w:id="67"/>
    <w:p>
      <w:pPr>
        <w:spacing w:after="0" w:line="201"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307"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124"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214" w:lineRule="exact"/>
        <w:rPr>
          <w:sz w:val="20"/>
          <w:szCs w:val="20"/>
          <w:color w:val="auto"/>
        </w:rPr>
      </w:pPr>
    </w:p>
    <w:p>
      <w:pPr>
        <w:jc w:val="both"/>
        <w:ind w:left="140" w:right="140"/>
        <w:spacing w:after="0" w:line="275" w:lineRule="auto"/>
        <w:rPr>
          <w:sz w:val="20"/>
          <w:szCs w:val="20"/>
          <w:color w:val="auto"/>
        </w:rPr>
      </w:pPr>
      <w:r>
        <w:rPr>
          <w:rFonts w:ascii="Arial" w:cs="Arial" w:eastAsia="Arial" w:hAnsi="Arial"/>
          <w:sz w:val="17"/>
          <w:szCs w:val="17"/>
          <w:b w:val="1"/>
          <w:bCs w:val="1"/>
          <w:color w:val="231F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336"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failure of third parties to meet their contractual, regulatory, and other obligations could adversely affect our business.</w:t>
      </w:r>
    </w:p>
    <w:p>
      <w:pPr>
        <w:spacing w:after="0" w:line="126"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200" w:lineRule="exact"/>
        <w:rPr>
          <w:sz w:val="20"/>
          <w:szCs w:val="20"/>
          <w:color w:val="auto"/>
        </w:rPr>
      </w:pPr>
    </w:p>
    <w:p>
      <w:pPr>
        <w:ind w:left="840" w:hanging="350"/>
        <w:spacing w:after="0"/>
        <w:tabs>
          <w:tab w:leader="none" w:pos="840" w:val="left"/>
        </w:tabs>
        <w:numPr>
          <w:ilvl w:val="0"/>
          <w:numId w:val="4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they may not perform to our standards or legal requirements;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they may not produce reliable results or products;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they may not perform in a timely manner;</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they may not maintain the confidentiality of our proprietary information;</w:t>
      </w:r>
    </w:p>
    <w:p>
      <w:pPr>
        <w:spacing w:after="0" w:line="216"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disputes may arise with respect to ownership of rights to technology developed with our partners, and those disputes may be resolved against us; and</w:t>
      </w:r>
    </w:p>
    <w:p>
      <w:pPr>
        <w:spacing w:after="0" w:line="21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disagreements could cause delays in, or termination of, the research, development or commercialization of our products or result in litigation or arbitration.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66</w:t>
      </w:r>
    </w:p>
    <w:p>
      <w:pPr>
        <w:sectPr>
          <w:pgSz w:w="12240" w:h="15840" w:orient="portrait"/>
          <w:cols w:equalWidth="0" w:num="1">
            <w:col w:w="9360"/>
          </w:cols>
          <w:pgMar w:left="1440" w:top="1440" w:right="1440" w:bottom="390" w:gutter="0" w:footer="0" w:header="0"/>
          <w:type w:val="continuous"/>
        </w:sectPr>
      </w:pPr>
    </w:p>
    <w:bookmarkStart w:id="68" w:name="page69"/>
    <w:bookmarkEnd w:id="68"/>
    <w:p>
      <w:pPr>
        <w:spacing w:after="0" w:line="201"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35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If our trademarks and trade names are not adequately protected, then we may not be able to build name recognition in our markets and our business may be adversely affected.</w:t>
      </w:r>
    </w:p>
    <w:p>
      <w:pPr>
        <w:spacing w:after="0" w:line="126"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Risks Related to Artificial Intelligence Technologies</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use artificial intelligence technologies in our business, and the deployment, use, and maintenance of these technologies involve significant technological and legal risks.</w:t>
      </w:r>
    </w:p>
    <w:p>
      <w:pPr>
        <w:spacing w:after="0" w:line="127"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develop and use artificial intelligence, or AI, machine learning, and automated decision-making technologies, including proprietary AI and machine learning algorithms and models, or collectively AI Technologies, throughout our business, and are making significant investments in this area.</w:t>
      </w:r>
    </w:p>
    <w:p>
      <w:pPr>
        <w:spacing w:after="0" w:line="241"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6"/>
          <w:szCs w:val="16"/>
          <w:b w:val="1"/>
          <w:bCs w:val="1"/>
          <w:color w:val="231F20"/>
        </w:rPr>
        <w:t>For example, we use AI Technologies in our ALLY System to register and analyze patients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eyes and determine eye surface and cataract density, which helps optimize laser patterns and energy settings in cataract procedures, with the goal of minimizing the overall energy delivered in the eye for quicker visual recovery and better patient outcomes.</w:t>
      </w:r>
    </w:p>
    <w:p>
      <w:pPr>
        <w:spacing w:after="0" w:line="244" w:lineRule="exact"/>
        <w:rPr>
          <w:sz w:val="20"/>
          <w:szCs w:val="20"/>
          <w:color w:val="auto"/>
        </w:rPr>
      </w:pPr>
    </w:p>
    <w:p>
      <w:pPr>
        <w:jc w:val="both"/>
        <w:ind w:left="140" w:right="140"/>
        <w:spacing w:after="0" w:line="297" w:lineRule="auto"/>
        <w:rPr>
          <w:sz w:val="20"/>
          <w:szCs w:val="20"/>
          <w:color w:val="auto"/>
        </w:rPr>
      </w:pPr>
      <w:r>
        <w:rPr>
          <w:rFonts w:ascii="Arial" w:cs="Arial" w:eastAsia="Arial" w:hAnsi="Arial"/>
          <w:sz w:val="16"/>
          <w:szCs w:val="16"/>
          <w:b w:val="1"/>
          <w:bCs w:val="1"/>
          <w:color w:val="231F20"/>
        </w:rPr>
        <w:t>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99"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In particular, if the models underlying our AI Technologies are, for example: incorrectly designed or implemented; trained or reliant on incomplete, inadequate, inaccurate, biased, or otherwise poor quality data, or on data to which we do not have sufficient rights or in relation to which we and/or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214"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67</w:t>
      </w:r>
    </w:p>
    <w:p>
      <w:pPr>
        <w:sectPr>
          <w:pgSz w:w="12240" w:h="15840" w:orient="portrait"/>
          <w:cols w:equalWidth="0" w:num="1">
            <w:col w:w="9360"/>
          </w:cols>
          <w:pgMar w:left="1440" w:top="1440" w:right="1440" w:bottom="390" w:gutter="0" w:footer="0" w:header="0"/>
          <w:type w:val="continuous"/>
        </w:sectPr>
      </w:pPr>
    </w:p>
    <w:bookmarkStart w:id="69" w:name="page70"/>
    <w:bookmarkEnd w:id="69"/>
    <w:p>
      <w:pPr>
        <w:spacing w:after="0" w:line="20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undetected defects, or errors. For instance, the models underlying AI Technologies can experience decay (also known as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model drift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in which their performance and accuracy decrease over time without further human intervention to correct such decay. We may be unsuccessful in our ongoing development and maintenance of these technologies in the face of novel and evolving technical, reputational and market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spacing w:after="0" w:line="362"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505052"/>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spacing w:after="0" w:line="123"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206"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Given the long history of development of AI Technologies, other parties may have (or in the future may obtain) patents or other proprietary rights that would prevent, limit, or interfere with our ability to make or use our proprietary AI Technologies.</w:t>
      </w:r>
    </w:p>
    <w:p>
      <w:pPr>
        <w:spacing w:after="0" w:line="357"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124"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The regulatory framework for AI Technologies is rapidly evolving as many federal, state, and foreign government bodies and agencies have introduced or are currently considering additional laws and regulations. Additionally, existing laws and regulations may be enjoined in judicial proceedings from being enforced or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p>
    <w:p>
      <w:pPr>
        <w:spacing w:after="0" w:line="20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Already, certain existing legal regimes (e.g., relating to data privacy) regulate certain aspects of AI Technologies, and new laws regulating AI Technologies have either entered into force in the United States and the EU in 2025 or are expected to enter into force in 2026. U.S. legislation related to AI Technologies has also been introduced at the federal level and has been passed or proposed at the state level. For example, the California Privacy Protection Agency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new regulations under the CCPA regarding the use of automated decision-making went into effect on January 1, 2026. California also enacted seventeen new laws in 2024 that further regulate the use of AI Technologies and provide consumers with additional protections around companies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use of AI Technologies, such as requiring companies to disclose certain uses of generative AI. Other states have also passed AI-focused legislation, such as Colorado</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Artificial Intelligence Act, which will require developers and deployers of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high-risk</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AI systems to implement certain safeguards against algorithmic discrimination, Utah</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Artificial Intelligence Policy Act, which establishes disclosure requirements and accountability measures for the use of generative AI in certain consumer interactions, and Texas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Responsible AI Governance Act, which prohibits specified harmful uses of AI, including behavioral manipulation and unlawful discrimination. Such additional regulations, and uncertainty around whether they will survive legal challenges or how they will be enforced, may impact our ability to develop, use, procure and commercialize AI Technologies in the future.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68</w:t>
      </w:r>
    </w:p>
    <w:p>
      <w:pPr>
        <w:sectPr>
          <w:pgSz w:w="12240" w:h="15840" w:orient="portrait"/>
          <w:cols w:equalWidth="0" w:num="1">
            <w:col w:w="9360"/>
          </w:cols>
          <w:pgMar w:left="1440" w:top="1440" w:right="1440" w:bottom="390" w:gutter="0" w:footer="0" w:header="0"/>
          <w:type w:val="continuous"/>
        </w:sectPr>
      </w:pPr>
    </w:p>
    <w:bookmarkStart w:id="70" w:name="page71"/>
    <w:bookmarkEnd w:id="70"/>
    <w:p>
      <w:pPr>
        <w:spacing w:after="0" w:line="20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In the United States, the Trump administration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federal government may seek to preempt state laws when they seek to govern certain topics involving AI, as evidenced by the Trump administration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Ensuring a National Policy Framework for Artificial Intelligence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Executive Order signed on December 11, 2025. This order calls for federal standards and legislation that would preempt conflicting state AI regulations and create a federal litigation task force focused on challenging state AI laws in court. The Trump administration may continue to implement new or rescind existing federal orders and/or administrative policies relating to AI Technologies. Any such changes at the federal level could require us to expend significant resources to modify our products, services, or operations to ensure compliance or remain competitive.</w:t>
      </w:r>
    </w:p>
    <w:p>
      <w:pPr>
        <w:spacing w:after="0" w:line="249" w:lineRule="exact"/>
        <w:rPr>
          <w:sz w:val="20"/>
          <w:szCs w:val="20"/>
          <w:color w:val="auto"/>
        </w:rPr>
      </w:pPr>
    </w:p>
    <w:p>
      <w:pPr>
        <w:jc w:val="both"/>
        <w:ind w:left="140" w:right="140"/>
        <w:spacing w:after="0" w:line="224" w:lineRule="exact"/>
        <w:rPr>
          <w:sz w:val="20"/>
          <w:szCs w:val="20"/>
          <w:color w:val="auto"/>
        </w:rPr>
      </w:pPr>
      <w:r>
        <w:rPr>
          <w:rFonts w:ascii="Arial" w:cs="Arial" w:eastAsia="Arial" w:hAnsi="Arial"/>
          <w:sz w:val="16"/>
          <w:szCs w:val="16"/>
          <w:b w:val="1"/>
          <w:bCs w:val="1"/>
          <w:color w:val="231F20"/>
        </w:rPr>
        <w:t>In Europe, on August 1, 2024, the EU Artificial Intelligence Act, or the EU AI Act, entered into force, and establishes a comprehensive, risk-based governance framework for AI in the EU market. The majority of the substantive requirements are expected to apply from August 2, 2026. Although the European Commission has proposed an extension to December 2, 2027, such extension is not yet finalized or effective.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requirements around automated decision making and introduced uncertainty in the interpretation of these rules. Specifically, the CJEU has expanded the scope for automated decision making under the GDPR by finding that automated decision-making activities can fall within the GDPR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200" w:lineRule="exact"/>
        <w:rPr>
          <w:sz w:val="20"/>
          <w:szCs w:val="20"/>
          <w:color w:val="auto"/>
        </w:rPr>
      </w:pPr>
    </w:p>
    <w:p>
      <w:pPr>
        <w:spacing w:after="0" w:line="238"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It is possible that further new laws and regulations will be adopted in the United States and in other non-U.S. jurisdictions, or that existing laws and regulations, including competition and antitrust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or to adjust our business plans based on changes to how such laws are enforced, including adapting to loosened regulation to remain competitive,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Risks Related to Owning Our Common Stock</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The large number of shares eligible for public sale could depress the market price of our common stock.</w:t>
      </w:r>
    </w:p>
    <w:p>
      <w:pPr>
        <w:spacing w:after="0" w:line="131"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69</w:t>
      </w:r>
    </w:p>
    <w:p>
      <w:pPr>
        <w:sectPr>
          <w:pgSz w:w="12240" w:h="15840" w:orient="portrait"/>
          <w:cols w:equalWidth="0" w:num="1">
            <w:col w:w="9360"/>
          </w:cols>
          <w:pgMar w:left="1440" w:top="1440" w:right="1440" w:bottom="390" w:gutter="0" w:footer="0" w:header="0"/>
          <w:type w:val="continuous"/>
        </w:sectPr>
      </w:pPr>
    </w:p>
    <w:bookmarkStart w:id="71" w:name="page72"/>
    <w:bookmarkEnd w:id="71"/>
    <w:p>
      <w:pPr>
        <w:spacing w:after="0" w:line="201"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50.6% of our total outstanding shares of common stock based on our shares outstanding as of December 31, 2025,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spacing w:after="0" w:line="209"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p>
    <w:p>
      <w:pPr>
        <w:spacing w:after="0" w:line="356"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 xml:space="preserve">We are a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smaller reporting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and we cannot be certain if the reduced disclosure requirements applicable to us will make our common stock less attractive to investors.</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We are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smaller reporting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46" w:lineRule="exact"/>
        <w:rPr>
          <w:sz w:val="20"/>
          <w:szCs w:val="20"/>
          <w:color w:val="auto"/>
        </w:rPr>
      </w:pPr>
    </w:p>
    <w:p>
      <w:pPr>
        <w:jc w:val="both"/>
        <w:ind w:left="140" w:right="140"/>
        <w:spacing w:after="0" w:line="238" w:lineRule="auto"/>
        <w:rPr>
          <w:sz w:val="20"/>
          <w:szCs w:val="20"/>
          <w:color w:val="auto"/>
        </w:rPr>
      </w:pPr>
      <w:r>
        <w:rPr>
          <w:rFonts w:ascii="Arial" w:cs="Arial" w:eastAsia="Arial" w:hAnsi="Arial"/>
          <w:sz w:val="19"/>
          <w:szCs w:val="19"/>
          <w:b w:val="1"/>
          <w:bCs w:val="1"/>
          <w:color w:val="231F20"/>
        </w:rPr>
        <w:t>If some investors find our common stock less attractive as a result, there may be a less active trading market for our common stock and our stock price may decline or become more volatile.</w:t>
      </w:r>
    </w:p>
    <w:p>
      <w:pPr>
        <w:spacing w:after="0" w:line="361"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We have issued shares of redeemable convertible preferred stock, and may in the future issue additional shares of preferred stock, with terms that could dilute the voting power or reduce the value of our common stock.</w:t>
      </w:r>
    </w:p>
    <w:p>
      <w:pPr>
        <w:spacing w:after="0" w:line="81"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23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Pursuant to the SPA, we issued an aggregate of 20,000 shares of a newly established series of preferred stock designated as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Series A Convertible Preferred Stock, par value $0.01 per share,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Redeemable Convertible Preferred Stock, to our financial statements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70</w:t>
      </w:r>
    </w:p>
    <w:p>
      <w:pPr>
        <w:sectPr>
          <w:pgSz w:w="12240" w:h="15840" w:orient="portrait"/>
          <w:cols w:equalWidth="0" w:num="1">
            <w:col w:w="9360"/>
          </w:cols>
          <w:pgMar w:left="1440" w:top="1440" w:right="1440" w:bottom="390" w:gutter="0" w:footer="0" w:header="0"/>
          <w:type w:val="continuous"/>
        </w:sectPr>
      </w:pPr>
    </w:p>
    <w:bookmarkStart w:id="72" w:name="page73"/>
    <w:bookmarkEnd w:id="72"/>
    <w:p>
      <w:pPr>
        <w:spacing w:after="0" w:line="201"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331"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North Run and its affiliates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ownership may limit or preclude other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ability to influence corporate matters.</w:t>
      </w:r>
    </w:p>
    <w:p>
      <w:pPr>
        <w:spacing w:after="0" w:line="126"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North Run Capital, LP, or North Run, and its affiliates held 45.4% of the voting power of our capital stock based on shares outstanding as of December 31, 2025,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366"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do not anticipate paying cash dividends, and accordingly, stockholders must rely on stock appreciation for any return on their investment.</w:t>
      </w:r>
    </w:p>
    <w:p>
      <w:pPr>
        <w:spacing w:after="0" w:line="126"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359" w:lineRule="exact"/>
        <w:rPr>
          <w:sz w:val="20"/>
          <w:szCs w:val="20"/>
          <w:color w:val="auto"/>
        </w:rPr>
      </w:pPr>
    </w:p>
    <w:p>
      <w:pPr>
        <w:jc w:val="both"/>
        <w:ind w:left="140" w:right="140"/>
        <w:spacing w:after="0" w:line="266" w:lineRule="auto"/>
        <w:rPr>
          <w:sz w:val="20"/>
          <w:szCs w:val="20"/>
          <w:color w:val="auto"/>
        </w:rPr>
      </w:pPr>
      <w:r>
        <w:rPr>
          <w:rFonts w:ascii="Arial" w:cs="Arial" w:eastAsia="Arial" w:hAnsi="Arial"/>
          <w:sz w:val="18"/>
          <w:szCs w:val="18"/>
          <w:b w:val="1"/>
          <w:bCs w:val="1"/>
          <w:color w:val="231F20"/>
        </w:rPr>
        <w:t>Certain provisions in our charter documents and Delaware law could discourage takeover attempts and lead to management entrenchment and, therefore, may depress the trading price of our common stock.</w:t>
      </w:r>
    </w:p>
    <w:p>
      <w:pPr>
        <w:spacing w:after="0" w:line="10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217" w:lineRule="exact"/>
        <w:rPr>
          <w:sz w:val="20"/>
          <w:szCs w:val="20"/>
          <w:color w:val="auto"/>
        </w:rPr>
      </w:pPr>
    </w:p>
    <w:p>
      <w:pPr>
        <w:ind w:left="840" w:right="140" w:hanging="350"/>
        <w:spacing w:after="0" w:line="233" w:lineRule="auto"/>
        <w:tabs>
          <w:tab w:leader="none" w:pos="840" w:val="left"/>
        </w:tabs>
        <w:numPr>
          <w:ilvl w:val="0"/>
          <w:numId w:val="4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 classified board of directors with three-year staggered terms, which may delay the ability of stockholders to change the membership of a majority of our board of directors;</w:t>
      </w:r>
    </w:p>
    <w:p>
      <w:pPr>
        <w:spacing w:after="0" w:line="217"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no cumulative voting in the election of directors, which limits the ability of minority stockholders to elect director candidates;</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77" w:lineRule="auto"/>
        <w:tabs>
          <w:tab w:leader="none" w:pos="840" w:val="left"/>
        </w:tabs>
        <w:numPr>
          <w:ilvl w:val="0"/>
          <w:numId w:val="42"/>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87" w:lineRule="exact"/>
        <w:rPr>
          <w:rFonts w:ascii="PMingLiU" w:cs="PMingLiU" w:eastAsia="PMingLiU" w:hAnsi="PMingLiU"/>
          <w:sz w:val="17"/>
          <w:szCs w:val="17"/>
          <w:b w:val="1"/>
          <w:bCs w:val="1"/>
          <w:color w:val="231F20"/>
        </w:rPr>
      </w:pPr>
    </w:p>
    <w:p>
      <w:pPr>
        <w:jc w:val="both"/>
        <w:ind w:left="840" w:right="140" w:hanging="350"/>
        <w:spacing w:after="0" w:line="237" w:lineRule="auto"/>
        <w:tabs>
          <w:tab w:leader="none" w:pos="840" w:val="left"/>
        </w:tabs>
        <w:numPr>
          <w:ilvl w:val="0"/>
          <w:numId w:val="4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limitations on the removal of directors;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71</w:t>
      </w:r>
    </w:p>
    <w:p>
      <w:pPr>
        <w:sectPr>
          <w:pgSz w:w="12240" w:h="15840" w:orient="portrait"/>
          <w:cols w:equalWidth="0" w:num="1">
            <w:col w:w="9360"/>
          </w:cols>
          <w:pgMar w:left="1440" w:top="1440" w:right="1440" w:bottom="390" w:gutter="0" w:footer="0" w:header="0"/>
          <w:type w:val="continuous"/>
        </w:sectPr>
      </w:pPr>
    </w:p>
    <w:bookmarkStart w:id="73" w:name="page74"/>
    <w:bookmarkEnd w:id="73"/>
    <w:p>
      <w:pPr>
        <w:spacing w:after="0" w:line="216" w:lineRule="exact"/>
        <w:rPr>
          <w:sz w:val="20"/>
          <w:szCs w:val="20"/>
          <w:color w:val="auto"/>
        </w:rPr>
      </w:pPr>
    </w:p>
    <w:p>
      <w:pPr>
        <w:ind w:left="840" w:right="140" w:hanging="350"/>
        <w:spacing w:after="0" w:line="233" w:lineRule="auto"/>
        <w:tabs>
          <w:tab w:leader="none" w:pos="840" w:val="left"/>
        </w:tabs>
        <w:numPr>
          <w:ilvl w:val="0"/>
          <w:numId w:val="4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 prohibition on stockholder action by written consent, which forces stockholder action to be taken at an annual or special meeting of our stockholders;</w:t>
      </w:r>
    </w:p>
    <w:p>
      <w:pPr>
        <w:spacing w:after="0" w:line="219" w:lineRule="exact"/>
        <w:rPr>
          <w:rFonts w:ascii="PMingLiU" w:cs="PMingLiU" w:eastAsia="PMingLiU" w:hAnsi="PMingLiU"/>
          <w:sz w:val="19"/>
          <w:szCs w:val="19"/>
          <w:b w:val="1"/>
          <w:bCs w:val="1"/>
          <w:color w:val="231F20"/>
        </w:rPr>
      </w:pPr>
    </w:p>
    <w:p>
      <w:pPr>
        <w:jc w:val="both"/>
        <w:ind w:left="840" w:right="140" w:hanging="350"/>
        <w:spacing w:after="0" w:line="256" w:lineRule="auto"/>
        <w:tabs>
          <w:tab w:leader="none" w:pos="840" w:val="left"/>
        </w:tabs>
        <w:numPr>
          <w:ilvl w:val="0"/>
          <w:numId w:val="43"/>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204" w:lineRule="exact"/>
        <w:rPr>
          <w:rFonts w:ascii="PMingLiU" w:cs="PMingLiU" w:eastAsia="PMingLiU" w:hAnsi="PMingLiU"/>
          <w:sz w:val="18"/>
          <w:szCs w:val="18"/>
          <w:b w:val="1"/>
          <w:bCs w:val="1"/>
          <w:color w:val="231F20"/>
        </w:rPr>
      </w:pPr>
    </w:p>
    <w:p>
      <w:pPr>
        <w:jc w:val="both"/>
        <w:ind w:left="840" w:right="140" w:hanging="350"/>
        <w:spacing w:after="0" w:line="277" w:lineRule="auto"/>
        <w:tabs>
          <w:tab w:leader="none" w:pos="840" w:val="left"/>
        </w:tabs>
        <w:numPr>
          <w:ilvl w:val="0"/>
          <w:numId w:val="43"/>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89" w:lineRule="exact"/>
        <w:rPr>
          <w:rFonts w:ascii="PMingLiU" w:cs="PMingLiU" w:eastAsia="PMingLiU" w:hAnsi="PMingLiU"/>
          <w:sz w:val="17"/>
          <w:szCs w:val="17"/>
          <w:b w:val="1"/>
          <w:bCs w:val="1"/>
          <w:color w:val="231F20"/>
        </w:rPr>
      </w:pPr>
    </w:p>
    <w:p>
      <w:pPr>
        <w:jc w:val="both"/>
        <w:ind w:left="840" w:right="140" w:hanging="350"/>
        <w:spacing w:after="0" w:line="239" w:lineRule="auto"/>
        <w:tabs>
          <w:tab w:leader="none" w:pos="840" w:val="left"/>
        </w:tabs>
        <w:numPr>
          <w:ilvl w:val="0"/>
          <w:numId w:val="4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217" w:lineRule="exact"/>
        <w:rPr>
          <w:rFonts w:ascii="PMingLiU" w:cs="PMingLiU" w:eastAsia="PMingLiU" w:hAnsi="PMingLiU"/>
          <w:sz w:val="19"/>
          <w:szCs w:val="19"/>
          <w:b w:val="1"/>
          <w:bCs w:val="1"/>
          <w:color w:val="231F20"/>
        </w:rPr>
      </w:pPr>
    </w:p>
    <w:p>
      <w:pPr>
        <w:jc w:val="both"/>
        <w:ind w:left="840" w:right="120" w:hanging="350"/>
        <w:spacing w:after="0" w:line="220" w:lineRule="exact"/>
        <w:tabs>
          <w:tab w:leader="none" w:pos="840" w:val="left"/>
        </w:tabs>
        <w:numPr>
          <w:ilvl w:val="0"/>
          <w:numId w:val="43"/>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advance notice procedures that stockholders must comply with in order to nominate candidates to our board of directors or to propose matters to be acted upon at a stockholders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meeting, which may discourage or deter a potential acquirer from conducting a solicitation of proxies to elect the acquirer</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own slate of directors or otherwise attempting to obtain control of us.</w:t>
      </w:r>
    </w:p>
    <w:p>
      <w:pPr>
        <w:spacing w:after="0" w:line="246"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spacing w:after="0" w:line="216"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356"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Our amended and restated certificate of incorporation designates certain courts as the sole and exclusive forums for certain litigation that may be initiated by our stockholders, which could limit our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ability to obtain a favorable judicial forum for disputes with us.</w:t>
      </w:r>
    </w:p>
    <w:p>
      <w:pPr>
        <w:spacing w:after="0" w:line="128"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72</w:t>
      </w:r>
    </w:p>
    <w:p>
      <w:pPr>
        <w:sectPr>
          <w:pgSz w:w="12240" w:h="15840" w:orient="portrait"/>
          <w:cols w:equalWidth="0" w:num="1">
            <w:col w:w="9360"/>
          </w:cols>
          <w:pgMar w:left="1440" w:top="1440" w:right="1440" w:bottom="390" w:gutter="0" w:footer="0" w:header="0"/>
          <w:type w:val="continuous"/>
        </w:sectPr>
      </w:pPr>
    </w:p>
    <w:bookmarkStart w:id="74" w:name="page75"/>
    <w:bookmarkEnd w:id="74"/>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An active, liquid and orderly market for our common stock may not be sustained, and the trading price of our common stock is likely to be volatile.</w:t>
      </w:r>
    </w:p>
    <w:p>
      <w:pPr>
        <w:spacing w:after="0" w:line="129"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9"/>
          <w:szCs w:val="19"/>
          <w:b w:val="1"/>
          <w:bCs w:val="1"/>
          <w:color w:val="231F20"/>
        </w:rPr>
        <w:t xml:space="preserve">An active trading market for our common stock may not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Risk Factors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section of this Annual Report, these factors include:</w:t>
      </w:r>
    </w:p>
    <w:p>
      <w:pPr>
        <w:spacing w:after="0" w:line="201" w:lineRule="exact"/>
        <w:rPr>
          <w:sz w:val="20"/>
          <w:szCs w:val="20"/>
          <w:color w:val="auto"/>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 shift in our investor base;</w:t>
      </w:r>
    </w:p>
    <w:p>
      <w:pPr>
        <w:spacing w:after="0" w:line="213"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actual or anticipated fluctuations in our quarterly financial condition and operating performance;</w:t>
      </w:r>
    </w:p>
    <w:p>
      <w:pPr>
        <w:spacing w:after="0" w:line="201" w:lineRule="exact"/>
        <w:rPr>
          <w:rFonts w:ascii="PMingLiU" w:cs="PMingLiU" w:eastAsia="PMingLiU" w:hAnsi="PMingLiU"/>
          <w:sz w:val="18"/>
          <w:szCs w:val="18"/>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operating and stock price performance of similar companies;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introduction of new products by us or our competitors;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success or failure of our business strategy;</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obtain financing as needed;</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changes in accounting standards, policies, guidance, interpretations or principles;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overall performance of the equity markets;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number of shares of our common stock publicly owned and available for trading;</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threatened or actual litigation or governmental investigations;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changes in laws or regulations affecting our business, including tax legislation;</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announcements by us or our competitors of significant acquisitions or dispositions;</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any major change in our board of directors or management;</w:t>
      </w:r>
    </w:p>
    <w:p>
      <w:pPr>
        <w:spacing w:after="0" w:line="21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changes in earnings estimates by securities analysts or our ability to meet earnings guidance;</w:t>
      </w:r>
    </w:p>
    <w:p>
      <w:pPr>
        <w:spacing w:after="0" w:line="218" w:lineRule="exact"/>
        <w:rPr>
          <w:rFonts w:ascii="PMingLiU" w:cs="PMingLiU" w:eastAsia="PMingLiU" w:hAnsi="PMingLiU"/>
          <w:sz w:val="18"/>
          <w:szCs w:val="18"/>
          <w:b w:val="1"/>
          <w:bCs w:val="1"/>
          <w:color w:val="231F20"/>
        </w:rPr>
      </w:pPr>
    </w:p>
    <w:p>
      <w:pPr>
        <w:ind w:left="840" w:right="140" w:hanging="350"/>
        <w:spacing w:after="0" w:line="233" w:lineRule="auto"/>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publication of research reports about us or our industry or changes in recommendations or withdrawal of research coverage by securities analysts;</w:t>
      </w:r>
    </w:p>
    <w:p>
      <w:pPr>
        <w:spacing w:after="0" w:line="20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large volumes of sales of our shares of common stock by existing stockholders;</w:t>
      </w:r>
    </w:p>
    <w:p>
      <w:pPr>
        <w:spacing w:after="0" w:line="199"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short sales of our common stock;</w:t>
      </w:r>
    </w:p>
    <w:p>
      <w:pPr>
        <w:spacing w:after="0" w:line="201"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investor perception of us and our industry; and</w:t>
      </w:r>
    </w:p>
    <w:p>
      <w:pPr>
        <w:spacing w:after="0" w:line="216" w:lineRule="exact"/>
        <w:rPr>
          <w:rFonts w:ascii="PMingLiU" w:cs="PMingLiU" w:eastAsia="PMingLiU" w:hAnsi="PMingLiU"/>
          <w:sz w:val="19"/>
          <w:szCs w:val="19"/>
          <w:b w:val="1"/>
          <w:bCs w:val="1"/>
          <w:color w:val="231F20"/>
        </w:rPr>
      </w:pPr>
    </w:p>
    <w:p>
      <w:pPr>
        <w:jc w:val="both"/>
        <w:ind w:left="840" w:right="140" w:hanging="350"/>
        <w:spacing w:after="0" w:line="257" w:lineRule="auto"/>
        <w:tabs>
          <w:tab w:leader="none" w:pos="840" w:val="left"/>
        </w:tabs>
        <w:numPr>
          <w:ilvl w:val="0"/>
          <w:numId w:val="44"/>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changes in financial markets or general economic conditions, including the effects of recession or slow economic growth in the U.S. and abroad, interest rates, tariff and other trade barriers, fuel prices, international currency fluctuations, corruption, political instability, acts of war, including the ongoing war between Russia and Ukraine and the conflicts in the Middle East, acts of terrorism, natural disasters and public health crises or pandemics.</w:t>
      </w:r>
    </w:p>
    <w:p>
      <w:pPr>
        <w:spacing w:after="0" w:line="229"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securities and suits have been initiated against us to date. This type of litigation could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73</w:t>
      </w:r>
    </w:p>
    <w:p>
      <w:pPr>
        <w:sectPr>
          <w:pgSz w:w="12240" w:h="15840" w:orient="portrait"/>
          <w:cols w:equalWidth="0" w:num="1">
            <w:col w:w="9360"/>
          </w:cols>
          <w:pgMar w:left="1440" w:top="1440" w:right="1440" w:bottom="390" w:gutter="0" w:footer="0" w:header="0"/>
          <w:type w:val="continuous"/>
        </w:sectPr>
      </w:pPr>
    </w:p>
    <w:bookmarkStart w:id="75" w:name="page76"/>
    <w:bookmarkEnd w:id="75"/>
    <w:p>
      <w:pPr>
        <w:spacing w:after="0" w:line="201"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result in very substantial costs, divert our 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attention and resources, and could have a material adverse effect on our business, financial condition and results of operations.</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General Risk Factors</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are obligated to develop and maintain proper and effective internal control over financial reporting and will be subject to other requirements that will be burdensome and costly.</w:t>
      </w:r>
    </w:p>
    <w:p>
      <w:pPr>
        <w:spacing w:after="0" w:line="129" w:lineRule="exact"/>
        <w:rPr>
          <w:sz w:val="20"/>
          <w:szCs w:val="20"/>
          <w:color w:val="auto"/>
        </w:rPr>
      </w:pPr>
    </w:p>
    <w:p>
      <w:pPr>
        <w:jc w:val="both"/>
        <w:ind w:left="140" w:right="140"/>
        <w:spacing w:after="0" w:line="244" w:lineRule="auto"/>
        <w:rPr>
          <w:sz w:val="20"/>
          <w:szCs w:val="20"/>
          <w:color w:val="auto"/>
        </w:rPr>
      </w:pPr>
      <w:r>
        <w:rPr>
          <w:rFonts w:ascii="Arial" w:cs="Arial" w:eastAsia="Arial" w:hAnsi="Arial"/>
          <w:sz w:val="19"/>
          <w:szCs w:val="19"/>
          <w:b w:val="1"/>
          <w:bCs w:val="1"/>
          <w:color w:val="231F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239" w:lineRule="exact"/>
        <w:rPr>
          <w:sz w:val="20"/>
          <w:szCs w:val="20"/>
          <w:color w:val="auto"/>
        </w:rPr>
      </w:pPr>
    </w:p>
    <w:p>
      <w:pPr>
        <w:jc w:val="both"/>
        <w:ind w:left="140" w:right="140"/>
        <w:spacing w:after="0" w:line="275" w:lineRule="auto"/>
        <w:rPr>
          <w:sz w:val="20"/>
          <w:szCs w:val="20"/>
          <w:color w:val="auto"/>
        </w:rPr>
      </w:pPr>
      <w:r>
        <w:rPr>
          <w:rFonts w:ascii="Arial" w:cs="Arial" w:eastAsia="Arial" w:hAnsi="Arial"/>
          <w:sz w:val="17"/>
          <w:szCs w:val="17"/>
          <w:b w:val="1"/>
          <w:bCs w:val="1"/>
          <w:color w:val="231F20"/>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221"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For as long as we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Our disclosure controls and procedures may not prevent or detect all errors or acts of fraud.</w:t>
      </w:r>
    </w:p>
    <w:p>
      <w:pPr>
        <w:spacing w:after="0" w:line="128" w:lineRule="exact"/>
        <w:rPr>
          <w:sz w:val="20"/>
          <w:szCs w:val="20"/>
          <w:color w:val="auto"/>
        </w:rPr>
      </w:pPr>
    </w:p>
    <w:p>
      <w:pPr>
        <w:jc w:val="both"/>
        <w:ind w:left="140" w:right="140"/>
        <w:spacing w:after="0" w:line="281" w:lineRule="auto"/>
        <w:rPr>
          <w:sz w:val="20"/>
          <w:szCs w:val="20"/>
          <w:color w:val="auto"/>
        </w:rPr>
      </w:pPr>
      <w:r>
        <w:rPr>
          <w:rFonts w:ascii="Arial" w:cs="Arial" w:eastAsia="Arial" w:hAnsi="Arial"/>
          <w:sz w:val="17"/>
          <w:szCs w:val="17"/>
          <w:b w:val="1"/>
          <w:bCs w:val="1"/>
          <w:color w:val="231F20"/>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210"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5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If securities or industry analysts do not continue to publish research or publish inaccurate or unfavorable research about our business, our stock price and trading volume could decline.</w:t>
      </w:r>
    </w:p>
    <w:p>
      <w:pPr>
        <w:spacing w:after="0" w:line="126" w:lineRule="exact"/>
        <w:rPr>
          <w:sz w:val="20"/>
          <w:szCs w:val="20"/>
          <w:color w:val="auto"/>
        </w:rPr>
      </w:pPr>
    </w:p>
    <w:p>
      <w:pPr>
        <w:jc w:val="both"/>
        <w:ind w:left="140" w:right="140"/>
        <w:spacing w:after="0" w:line="303" w:lineRule="auto"/>
        <w:rPr>
          <w:sz w:val="20"/>
          <w:szCs w:val="20"/>
          <w:color w:val="auto"/>
        </w:rPr>
      </w:pPr>
      <w:r>
        <w:rPr>
          <w:rFonts w:ascii="Arial" w:cs="Arial" w:eastAsia="Arial" w:hAnsi="Arial"/>
          <w:sz w:val="16"/>
          <w:szCs w:val="16"/>
          <w:b w:val="1"/>
          <w:bCs w:val="1"/>
          <w:color w:val="231F20"/>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74</w:t>
      </w:r>
    </w:p>
    <w:p>
      <w:pPr>
        <w:sectPr>
          <w:pgSz w:w="12240" w:h="15840" w:orient="portrait"/>
          <w:cols w:equalWidth="0" w:num="1">
            <w:col w:w="9360"/>
          </w:cols>
          <w:pgMar w:left="1440" w:top="1440" w:right="1440" w:bottom="390" w:gutter="0" w:footer="0" w:header="0"/>
          <w:type w:val="continuous"/>
        </w:sectPr>
      </w:pPr>
    </w:p>
    <w:bookmarkStart w:id="76" w:name="page77"/>
    <w:bookmarkEnd w:id="76"/>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could decrease, which might cause our stock price and trading volume to decline and may also impair our ability to expand our business with existing customers and attract new customers.</w:t>
      </w:r>
    </w:p>
    <w:p>
      <w:pPr>
        <w:spacing w:after="0" w:line="362"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Scrutiny and stakeholder expectations regarding environmental, social, and governance matters may cause us to incur expenses and liabilities or otherwise adversely impact our business, financial condition, or operations.</w:t>
      </w:r>
    </w:p>
    <w:p>
      <w:pPr>
        <w:spacing w:after="0" w:line="81"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Companies across industries may face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21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management of ESG matters continues to evolve,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250"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305" w:lineRule="exact"/>
        <w:rPr>
          <w:sz w:val="20"/>
          <w:szCs w:val="20"/>
          <w:color w:val="auto"/>
        </w:rPr>
      </w:pPr>
    </w:p>
    <w:p>
      <w:pPr>
        <w:ind w:left="140" w:right="340"/>
        <w:spacing w:after="0" w:line="239" w:lineRule="auto"/>
        <w:rPr>
          <w:sz w:val="20"/>
          <w:szCs w:val="20"/>
          <w:color w:val="auto"/>
        </w:rPr>
      </w:pPr>
      <w:r>
        <w:rPr>
          <w:rFonts w:ascii="Arial" w:cs="Arial" w:eastAsia="Arial" w:hAnsi="Arial"/>
          <w:sz w:val="19"/>
          <w:szCs w:val="19"/>
          <w:b w:val="1"/>
          <w:bCs w:val="1"/>
          <w:color w:val="231F20"/>
        </w:rPr>
        <w:t>Our ability to use our net operating loss carryforwards to offset future taxable income may be subject to certain limitations.</w:t>
      </w:r>
    </w:p>
    <w:p>
      <w:pPr>
        <w:spacing w:after="0" w:line="126"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As of December 31, 2025, we had net operating loss, or NOL, carryforwards of $52.6 million for federal income tax purposes and $36.1 million for state income tax purposes, which may be available to offset our future taxable income, if any. Our federal NOL carryforwards are not subject to expiration, but may generally only be used to offset 80% of future taxable income in a given year. Certain of our state NOL carryforwards begin to expire in 2028. Our state NOL carryforwards could expire unused, to the extent subject to expiration, and be unavailable to offset future taxable income.</w:t>
      </w:r>
    </w:p>
    <w:p>
      <w:pPr>
        <w:spacing w:after="0" w:line="227"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 xml:space="preserve">Under Sections 382 and 383 of the Code, a corporation that undergoes an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ownership change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may experience ownership changes in the future as a result of future transactions in our stock, some of which may be outside our control. If we undergo ownership changes in the future, our ability to use our NOL carryforwards and other tax attributes could be further limited.</w:t>
      </w:r>
    </w:p>
    <w:p>
      <w:pPr>
        <w:spacing w:after="0" w:line="357"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1B.</w:t>
      </w:r>
      <w:r>
        <w:rPr>
          <w:sz w:val="20"/>
          <w:szCs w:val="20"/>
          <w:color w:val="auto"/>
        </w:rPr>
        <w:tab/>
      </w:r>
      <w:r>
        <w:rPr>
          <w:rFonts w:ascii="Arial" w:cs="Arial" w:eastAsia="Arial" w:hAnsi="Arial"/>
          <w:sz w:val="17"/>
          <w:szCs w:val="17"/>
          <w:b w:val="1"/>
          <w:bCs w:val="1"/>
          <w:color w:val="231F20"/>
        </w:rPr>
        <w:t>Unresolved Staff Comments.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None.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75</w:t>
      </w:r>
    </w:p>
    <w:p>
      <w:pPr>
        <w:sectPr>
          <w:pgSz w:w="12240" w:h="15840" w:orient="portrait"/>
          <w:cols w:equalWidth="0" w:num="1">
            <w:col w:w="9360"/>
          </w:cols>
          <w:pgMar w:left="1440" w:top="1440" w:right="1440" w:bottom="390" w:gutter="0" w:footer="0" w:header="0"/>
          <w:type w:val="continuous"/>
        </w:sectPr>
      </w:pPr>
    </w:p>
    <w:bookmarkStart w:id="77" w:name="page78"/>
    <w:bookmarkEnd w:id="77"/>
    <w:p>
      <w:pPr>
        <w:spacing w:after="0" w:line="196"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1C.</w:t>
      </w:r>
      <w:r>
        <w:rPr>
          <w:sz w:val="20"/>
          <w:szCs w:val="20"/>
          <w:color w:val="auto"/>
        </w:rPr>
        <w:tab/>
      </w:r>
      <w:r>
        <w:rPr>
          <w:rFonts w:ascii="Arial" w:cs="Arial" w:eastAsia="Arial" w:hAnsi="Arial"/>
          <w:sz w:val="17"/>
          <w:szCs w:val="17"/>
          <w:b w:val="1"/>
          <w:bCs w:val="1"/>
          <w:color w:val="231F20"/>
        </w:rPr>
        <w:t>Cybersecurity.</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Cybersecurity Risk Management and Strategy</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have developed and implemented a cybersecurity risk management program intended to protect the confidentiality, integrity, and availability of our critical systems and information.</w:t>
      </w:r>
    </w:p>
    <w:p>
      <w:pPr>
        <w:spacing w:after="0" w:line="244"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spacing w:after="0" w:line="241"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Key elements of our cybersecurity risk management program include but are not limited to the following:</w:t>
      </w:r>
    </w:p>
    <w:p>
      <w:pPr>
        <w:spacing w:after="0" w:line="146" w:lineRule="exact"/>
        <w:rPr>
          <w:sz w:val="20"/>
          <w:szCs w:val="20"/>
          <w:color w:val="auto"/>
        </w:rPr>
      </w:pPr>
    </w:p>
    <w:p>
      <w:pPr>
        <w:ind w:left="1080" w:right="140" w:hanging="466"/>
        <w:spacing w:after="0" w:line="233" w:lineRule="auto"/>
        <w:tabs>
          <w:tab w:leader="none" w:pos="1080" w:val="left"/>
        </w:tabs>
        <w:numPr>
          <w:ilvl w:val="0"/>
          <w:numId w:val="4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risk assessments designed to help identify material risks from cybersecurity threats to our critical systems and information;</w:t>
      </w:r>
    </w:p>
    <w:p>
      <w:pPr>
        <w:spacing w:after="0" w:line="142" w:lineRule="exact"/>
        <w:rPr>
          <w:rFonts w:ascii="PMingLiU" w:cs="PMingLiU" w:eastAsia="PMingLiU" w:hAnsi="PMingLiU"/>
          <w:sz w:val="19"/>
          <w:szCs w:val="19"/>
          <w:b w:val="1"/>
          <w:bCs w:val="1"/>
          <w:color w:val="231F20"/>
        </w:rPr>
      </w:pPr>
    </w:p>
    <w:p>
      <w:pPr>
        <w:ind w:left="1080" w:right="140" w:hanging="466"/>
        <w:spacing w:after="0" w:line="280" w:lineRule="auto"/>
        <w:tabs>
          <w:tab w:leader="none" w:pos="1080" w:val="left"/>
        </w:tabs>
        <w:numPr>
          <w:ilvl w:val="0"/>
          <w:numId w:val="45"/>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an information technology team principally responsible for managing (1) our cybersecurity risk assessment processes, (2) our security controls, and (3) our response to cybersecurity incidents;</w:t>
      </w:r>
    </w:p>
    <w:p>
      <w:pPr>
        <w:spacing w:after="0" w:line="107" w:lineRule="exact"/>
        <w:rPr>
          <w:rFonts w:ascii="PMingLiU" w:cs="PMingLiU" w:eastAsia="PMingLiU" w:hAnsi="PMingLiU"/>
          <w:sz w:val="17"/>
          <w:szCs w:val="17"/>
          <w:b w:val="1"/>
          <w:bCs w:val="1"/>
          <w:color w:val="231F20"/>
        </w:rPr>
      </w:pPr>
    </w:p>
    <w:p>
      <w:pPr>
        <w:ind w:left="1080" w:right="140" w:hanging="466"/>
        <w:spacing w:after="0" w:line="233" w:lineRule="auto"/>
        <w:tabs>
          <w:tab w:leader="none" w:pos="1080" w:val="left"/>
        </w:tabs>
        <w:numPr>
          <w:ilvl w:val="0"/>
          <w:numId w:val="4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use of external service providers with subject matter expertise, where appropriate, to assess, test or otherwise assist with aspects of our security processes;</w:t>
      </w:r>
    </w:p>
    <w:p>
      <w:pPr>
        <w:spacing w:after="0" w:line="140" w:lineRule="exact"/>
        <w:rPr>
          <w:rFonts w:ascii="PMingLiU" w:cs="PMingLiU" w:eastAsia="PMingLiU" w:hAnsi="PMingLiU"/>
          <w:sz w:val="19"/>
          <w:szCs w:val="19"/>
          <w:b w:val="1"/>
          <w:bCs w:val="1"/>
          <w:color w:val="231F20"/>
        </w:rPr>
      </w:pPr>
    </w:p>
    <w:p>
      <w:pPr>
        <w:ind w:left="1080" w:right="140" w:hanging="466"/>
        <w:spacing w:after="0" w:line="233" w:lineRule="auto"/>
        <w:tabs>
          <w:tab w:leader="none" w:pos="1080" w:val="left"/>
        </w:tabs>
        <w:numPr>
          <w:ilvl w:val="0"/>
          <w:numId w:val="4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cybersecurity awareness training of our employees, incident response personnel, and senior management; and</w:t>
      </w:r>
    </w:p>
    <w:p>
      <w:pPr>
        <w:spacing w:after="0" w:line="140" w:lineRule="exact"/>
        <w:rPr>
          <w:rFonts w:ascii="PMingLiU" w:cs="PMingLiU" w:eastAsia="PMingLiU" w:hAnsi="PMingLiU"/>
          <w:sz w:val="19"/>
          <w:szCs w:val="19"/>
          <w:b w:val="1"/>
          <w:bCs w:val="1"/>
          <w:color w:val="231F20"/>
        </w:rPr>
      </w:pPr>
    </w:p>
    <w:p>
      <w:pPr>
        <w:ind w:left="1080" w:right="140" w:hanging="466"/>
        <w:spacing w:after="0" w:line="233" w:lineRule="auto"/>
        <w:tabs>
          <w:tab w:leader="none" w:pos="1080" w:val="left"/>
        </w:tabs>
        <w:numPr>
          <w:ilvl w:val="0"/>
          <w:numId w:val="4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 cybersecurity incident response plan that includes procedures for responding to cybersecurity incidents.</w:t>
      </w:r>
    </w:p>
    <w:p>
      <w:pPr>
        <w:spacing w:after="0" w:line="20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We have not identified cybersecurity threats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Risk Factors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Risks Related to Our Business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We rely significantly on the use of information technology. Cybersecurity risks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any technology failures causing a material disruption to operational technology or cyber-attacks on our systems affecting our ability to protect the integrity and security of confidential customer and employee information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could harm our reputation and/or could disrupt our operations and negatively impact our business.</w:t>
      </w:r>
      <w:r>
        <w:rPr>
          <w:rFonts w:ascii="PMingLiU" w:cs="PMingLiU" w:eastAsia="PMingLiU" w:hAnsi="PMingLiU"/>
          <w:sz w:val="17"/>
          <w:szCs w:val="17"/>
          <w:b w:val="1"/>
          <w:bCs w:val="1"/>
          <w:color w:val="231F20"/>
        </w:rPr>
        <w:t></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Cybersecurity Governance</w:t>
      </w:r>
    </w:p>
    <w:p>
      <w:pPr>
        <w:spacing w:after="0" w:line="128"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Our Board considers cybersecurity risk as part of its risk oversight function and has delegated to the Audit Committee oversight of cybersecurity risks, including oversight of 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implementation of our cybersecurity risk management program.</w:t>
      </w:r>
    </w:p>
    <w:p>
      <w:pPr>
        <w:spacing w:after="0" w:line="20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Audit Committee receives periodic reports from management on our cybersecurity risks. In addition, management updates the Audit Committee, where it deems appropriate, regarding any cybersecurity incidents it considers to be significant or potentially significant.</w:t>
      </w:r>
    </w:p>
    <w:p>
      <w:pPr>
        <w:spacing w:after="0" w:line="203"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The Audit Committee reports to the full Board regarding its activities, including those related to cybersecurity. The full Board also receives briefings from management on our cyber risk management program. Board members receive presentations on cybersecurity topics from internal information technology staff or external experts as part of the Board</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continuing education on topics that impact public companies.</w:t>
      </w:r>
    </w:p>
    <w:p>
      <w:pPr>
        <w:spacing w:after="0" w:line="206"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Our management team, including the Director of Information Technology, Chief Operating Officer, Chief Financial Officer, and Principal Accounting Officer, is responsible for assessing and managing our material risks from</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76</w:t>
      </w:r>
    </w:p>
    <w:p>
      <w:pPr>
        <w:sectPr>
          <w:pgSz w:w="12240" w:h="15840" w:orient="portrait"/>
          <w:cols w:equalWidth="0" w:num="1">
            <w:col w:w="9360"/>
          </w:cols>
          <w:pgMar w:left="1440" w:top="1440" w:right="1440" w:bottom="390" w:gutter="0" w:footer="0" w:header="0"/>
          <w:type w:val="continuous"/>
        </w:sectPr>
      </w:pPr>
    </w:p>
    <w:bookmarkStart w:id="78" w:name="page79"/>
    <w:bookmarkEnd w:id="78"/>
    <w:p>
      <w:pPr>
        <w:spacing w:after="0" w:line="201"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cybersecurity threats. The team has primary responsibility for our overall cybersecurity risk management program and supervises both our internal cybersecurity personnel and our retained external cybersecurity consultants. Our management team collectively has over 30 years of experience managing cybersecurity risks and is knowledgeable about our products and systems.</w:t>
      </w:r>
    </w:p>
    <w:p>
      <w:pPr>
        <w:spacing w:after="0" w:line="202"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Our management team takes steps to stay informed about and monitors efforts to prevent, detect, mitigate, and remediate cybersecurity risks and incidents through various means, which may include briefings from internal information technology personnel; threat intelligence and other information obtained from governmental, public or private sources, including external consultants engaged by us; and alerts and reports produced by security tools deployed in the IT environment.</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2. Properties.</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currently occupy approximately 45,000 square feet of office and manufacturing space at our corporate headquarters in Orlando, Florida under a lease that expires in May 2029.</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3. Legal Proceedings.</w:t>
      </w:r>
    </w:p>
    <w:p>
      <w:pPr>
        <w:spacing w:after="0" w:line="128"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From time to time, we may become involved in various legal proceedings relating to matters incidental to the Merger and terminated Merger Agreement and in the ordinary course of our business, including intellectual property, commercial, product liability, employment, class action, whistleblower and other litigation and claims, and governmental and other regulatory investigations and proceedings.</w:t>
      </w:r>
    </w:p>
    <w:p>
      <w:pPr>
        <w:spacing w:after="0" w:line="108"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Because litigation is inherently unpredictable, we cannot assure you that the results of any such actions will not have a material adverse effect on our business, results of operations, financial condition or cash flows.</w:t>
      </w:r>
    </w:p>
    <w:p>
      <w:pPr>
        <w:spacing w:after="0" w:line="83" w:lineRule="exact"/>
        <w:rPr>
          <w:sz w:val="20"/>
          <w:szCs w:val="20"/>
          <w:color w:val="auto"/>
        </w:rPr>
      </w:pPr>
    </w:p>
    <w:p>
      <w:pPr>
        <w:jc w:val="both"/>
        <w:ind w:left="140" w:right="140"/>
        <w:spacing w:after="0" w:line="326" w:lineRule="auto"/>
        <w:rPr>
          <w:sz w:val="20"/>
          <w:szCs w:val="20"/>
          <w:color w:val="auto"/>
        </w:rPr>
      </w:pPr>
      <w:r>
        <w:rPr>
          <w:rFonts w:ascii="Arial" w:cs="Arial" w:eastAsia="Arial" w:hAnsi="Arial"/>
          <w:sz w:val="16"/>
          <w:szCs w:val="16"/>
          <w:b w:val="1"/>
          <w:bCs w:val="1"/>
          <w:color w:val="231F20"/>
        </w:rPr>
        <w:t>For a description of our legal proceedings, refer to Note 11, Commitments and contingencies, to our consolidated financial statements included elsewhere in this Annual Report, which is incorporated herein by reference.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4. Mine Safety Disclosure.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 applicable.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77</w:t>
      </w:r>
    </w:p>
    <w:p>
      <w:pPr>
        <w:sectPr>
          <w:pgSz w:w="12240" w:h="15840" w:orient="portrait"/>
          <w:cols w:equalWidth="0" w:num="1">
            <w:col w:w="9360"/>
          </w:cols>
          <w:pgMar w:left="1440" w:top="1440" w:right="1440" w:bottom="390" w:gutter="0" w:footer="0" w:header="0"/>
          <w:type w:val="continuous"/>
        </w:sectPr>
      </w:pPr>
    </w:p>
    <w:bookmarkStart w:id="79" w:name="page80"/>
    <w:bookmarkEnd w:id="79"/>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Part II</w:t>
      </w:r>
    </w:p>
    <w:p>
      <w:pPr>
        <w:spacing w:after="0" w:line="204" w:lineRule="exact"/>
        <w:rPr>
          <w:sz w:val="20"/>
          <w:szCs w:val="20"/>
          <w:color w:val="auto"/>
        </w:rPr>
      </w:pPr>
    </w:p>
    <w:p>
      <w:pPr>
        <w:jc w:val="both"/>
        <w:ind w:left="840" w:right="140" w:hanging="697"/>
        <w:spacing w:after="0" w:line="218" w:lineRule="exact"/>
        <w:rPr>
          <w:sz w:val="20"/>
          <w:szCs w:val="20"/>
          <w:color w:val="auto"/>
        </w:rPr>
      </w:pPr>
      <w:r>
        <w:rPr>
          <w:rFonts w:ascii="Arial" w:cs="Arial" w:eastAsia="Arial" w:hAnsi="Arial"/>
          <w:sz w:val="19"/>
          <w:szCs w:val="19"/>
          <w:b w:val="1"/>
          <w:bCs w:val="1"/>
          <w:color w:val="231F20"/>
        </w:rPr>
        <w:t>Item 5. Market for Registrant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Common Equity, Related Stockholder Matters and Issuer Purchases of Equity Securities.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Market Information</w:t>
      </w:r>
    </w:p>
    <w:p>
      <w:pPr>
        <w:spacing w:after="0" w:line="108" w:lineRule="exact"/>
        <w:rPr>
          <w:sz w:val="20"/>
          <w:szCs w:val="20"/>
          <w:color w:val="auto"/>
        </w:rPr>
      </w:pPr>
    </w:p>
    <w:p>
      <w:pPr>
        <w:ind w:left="140"/>
        <w:spacing w:after="0" w:line="231" w:lineRule="exact"/>
        <w:rPr>
          <w:sz w:val="20"/>
          <w:szCs w:val="20"/>
          <w:color w:val="auto"/>
        </w:rPr>
      </w:pPr>
      <w:r>
        <w:rPr>
          <w:rFonts w:ascii="Arial" w:cs="Arial" w:eastAsia="Arial" w:hAnsi="Arial"/>
          <w:sz w:val="19"/>
          <w:szCs w:val="19"/>
          <w:b w:val="1"/>
          <w:bCs w:val="1"/>
          <w:color w:val="231F20"/>
        </w:rPr>
        <w:t xml:space="preserve">Our common stock is traded on The Nasdaq Stock Market under the symbol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LNSR.</w:t>
      </w:r>
      <w:r>
        <w:rPr>
          <w:rFonts w:ascii="PMingLiU" w:cs="PMingLiU" w:eastAsia="PMingLiU" w:hAnsi="PMingLiU"/>
          <w:sz w:val="19"/>
          <w:szCs w:val="19"/>
          <w:b w:val="1"/>
          <w:bCs w:val="1"/>
          <w:color w:val="231F20"/>
        </w:rPr>
        <w:t></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Stockholders</w:t>
      </w:r>
    </w:p>
    <w:p>
      <w:pPr>
        <w:spacing w:after="0" w:line="125"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 xml:space="preserve">As of February 28, 2026, there were approximately 71 holders of record of our common stock. This number does not include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street name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or beneficial holders, whose shares are held of record by banks, brokers, financial institutions and other nominees.</w:t>
      </w:r>
    </w:p>
    <w:p>
      <w:pPr>
        <w:spacing w:after="0" w:line="359" w:lineRule="exact"/>
        <w:rPr>
          <w:sz w:val="20"/>
          <w:szCs w:val="20"/>
          <w:color w:val="auto"/>
        </w:rPr>
      </w:pPr>
    </w:p>
    <w:p>
      <w:pPr>
        <w:ind w:left="140" w:right="280"/>
        <w:spacing w:after="0" w:line="368" w:lineRule="auto"/>
        <w:rPr>
          <w:sz w:val="20"/>
          <w:szCs w:val="20"/>
          <w:color w:val="auto"/>
        </w:rPr>
      </w:pPr>
      <w:r>
        <w:rPr>
          <w:rFonts w:ascii="Arial" w:cs="Arial" w:eastAsia="Arial" w:hAnsi="Arial"/>
          <w:sz w:val="19"/>
          <w:szCs w:val="19"/>
          <w:b w:val="1"/>
          <w:bCs w:val="1"/>
          <w:color w:val="231F20"/>
        </w:rPr>
        <w:t>Recent Sales of Unregistered Securities; Purchases of Equity Securities by the Issuer or Affiliated Purchaser None.</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Dividend Policy</w:t>
      </w:r>
    </w:p>
    <w:p>
      <w:pPr>
        <w:spacing w:after="0" w:line="128"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We currently do not anticipate paying any cash dividends in the foreseeable future. Instead, we anticipate that all of our earnings will be used to provide working capital, to support our operations and to finance the growth and development of our business.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 In addition, if we were to enter into a credit facility in the future, we anticipate that the terms of such facility could limit or prohibit our ability to pay dividends.</w:t>
      </w:r>
    </w:p>
    <w:p>
      <w:pPr>
        <w:spacing w:after="0" w:line="33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Equity Compensation Plans</w:t>
      </w:r>
    </w:p>
    <w:p>
      <w:pPr>
        <w:spacing w:after="0" w:line="142" w:lineRule="exact"/>
        <w:rPr>
          <w:sz w:val="20"/>
          <w:szCs w:val="20"/>
          <w:color w:val="auto"/>
        </w:rPr>
      </w:pPr>
    </w:p>
    <w:p>
      <w:pPr>
        <w:jc w:val="both"/>
        <w:ind w:left="140" w:right="140"/>
        <w:spacing w:after="0" w:line="255" w:lineRule="auto"/>
        <w:rPr>
          <w:sz w:val="20"/>
          <w:szCs w:val="20"/>
          <w:color w:val="auto"/>
        </w:rPr>
      </w:pPr>
      <w:r>
        <w:rPr>
          <w:rFonts w:ascii="Arial" w:cs="Arial" w:eastAsia="Arial" w:hAnsi="Arial"/>
          <w:sz w:val="19"/>
          <w:szCs w:val="19"/>
          <w:b w:val="1"/>
          <w:bCs w:val="1"/>
          <w:color w:val="231F20"/>
        </w:rPr>
        <w:t>The information required by Item 5 of Form 10</w:t>
      </w:r>
      <w:r>
        <w:rPr>
          <w:sz w:val="1"/>
          <w:szCs w:val="1"/>
          <w:color w:val="auto"/>
        </w:rPr>
        <w:drawing>
          <wp:inline distT="0" distB="0" distL="0" distR="0">
            <wp:extent cx="59055" cy="3619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55" cy="36195"/>
                    </a:xfrm>
                    <a:prstGeom prst="rect">
                      <a:avLst/>
                    </a:prstGeom>
                    <a:noFill/>
                    <a:ln>
                      <a:noFill/>
                    </a:ln>
                  </pic:spPr>
                </pic:pic>
              </a:graphicData>
            </a:graphic>
          </wp:inline>
        </w:drawing>
      </w:r>
      <w:r>
        <w:rPr>
          <w:rFonts w:ascii="Arial" w:cs="Arial" w:eastAsia="Arial" w:hAnsi="Arial"/>
          <w:sz w:val="19"/>
          <w:szCs w:val="19"/>
          <w:b w:val="1"/>
          <w:bCs w:val="1"/>
          <w:color w:val="231F20"/>
        </w:rPr>
        <w:t>K regarding equity compensation plans is incorporated herein by reference to Item 12 of Part III of this Annual Report.</w:t>
      </w:r>
    </w:p>
    <w:p>
      <w:pPr>
        <w:spacing w:after="0" w:line="3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6. [Reserved]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78</w:t>
      </w:r>
    </w:p>
    <w:p>
      <w:pPr>
        <w:sectPr>
          <w:pgSz w:w="12240" w:h="15840" w:orient="portrait"/>
          <w:cols w:equalWidth="0" w:num="1">
            <w:col w:w="9360"/>
          </w:cols>
          <w:pgMar w:left="1440" w:top="1440" w:right="1440" w:bottom="390" w:gutter="0" w:footer="0" w:header="0"/>
          <w:type w:val="continuous"/>
        </w:sectPr>
      </w:pPr>
    </w:p>
    <w:bookmarkStart w:id="80" w:name="page81"/>
    <w:bookmarkEnd w:id="80"/>
    <w:p>
      <w:pPr>
        <w:spacing w:after="0" w:line="184" w:lineRule="exact"/>
        <w:rPr>
          <w:sz w:val="20"/>
          <w:szCs w:val="20"/>
          <w:color w:val="auto"/>
        </w:rPr>
      </w:pPr>
    </w:p>
    <w:p>
      <w:pPr>
        <w:ind w:left="140"/>
        <w:spacing w:after="0" w:line="231" w:lineRule="exact"/>
        <w:rPr>
          <w:sz w:val="20"/>
          <w:szCs w:val="20"/>
          <w:color w:val="auto"/>
        </w:rPr>
      </w:pPr>
      <w:r>
        <w:rPr>
          <w:rFonts w:ascii="Arial" w:cs="Arial" w:eastAsia="Arial" w:hAnsi="Arial"/>
          <w:sz w:val="19"/>
          <w:szCs w:val="19"/>
          <w:b w:val="1"/>
          <w:bCs w:val="1"/>
          <w:color w:val="231F20"/>
        </w:rPr>
        <w:t>Item 7. 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Discussion and Analysis of Financial Condition and Results of Operations.</w:t>
      </w:r>
    </w:p>
    <w:p>
      <w:pPr>
        <w:spacing w:after="0" w:line="128"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8"/>
          <w:szCs w:val="18"/>
          <w:b w:val="1"/>
          <w:bCs w:val="1"/>
          <w:color w:val="231F20"/>
        </w:rPr>
        <w:t xml:space="preserve">The following discussion and analysis of our financial condition and results of operations should be read in conjunction with our financial statements and the related notes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Risk Factors Summary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and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Risk Factors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sections for a discussion of the uncertainties, risks and assumptions associated with these statements. A discussion of the year ended December 31, 2024 compared to the year ended December 31, 2023 has been reported previously in our Annual Report on Form 10-K for the fiscal year ended December 31, 2024, filed with the SEC on March 4, 2024, under the heading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Management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Discussion and Analysis of Financial Condition and Results of Operations.</w:t>
      </w:r>
      <w:r>
        <w:rPr>
          <w:rFonts w:ascii="PMingLiU" w:cs="PMingLiU" w:eastAsia="PMingLiU" w:hAnsi="PMingLiU"/>
          <w:sz w:val="18"/>
          <w:szCs w:val="18"/>
          <w:b w:val="1"/>
          <w:bCs w:val="1"/>
          <w:color w:val="231F20"/>
        </w:rPr>
        <w:t></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Overview</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existing practice, is easy to use and provides surgeons the ability to deliver improved visual outcomes more efficiently.</w:t>
      </w:r>
    </w:p>
    <w:p>
      <w:pPr>
        <w:spacing w:after="0" w:line="244"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Our current product portfolio includes the LENSAR Laser System, or LLS, and the ALLY Robotic Cataract Laser System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increases in demand. We believe this structure allows the surgeon to implement a budget while also providing us with a predictable revenue stream.</w:t>
      </w:r>
    </w:p>
    <w:p>
      <w:pPr>
        <w:spacing w:after="0" w:line="245"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FDA in June 2022, and we executed a controlled and targeted initial launch of the ALLY System beginning in August 2022. The ALLY System is available to all U.S. and EU cataract surgeons and has also received regulatory clearance in India, Taiwan, South Korea, as well as certain other countries.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w:t>
      </w:r>
    </w:p>
    <w:p>
      <w:pPr>
        <w:spacing w:after="0" w:line="201"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We have built and are continuing to grow our commercial organization, which includes a direct sales force in the United States and distributors in Europe and Asia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December 31, 2025, consisted of approximately 70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79</w:t>
      </w:r>
    </w:p>
    <w:p>
      <w:pPr>
        <w:sectPr>
          <w:pgSz w:w="12240" w:h="15840" w:orient="portrait"/>
          <w:cols w:equalWidth="0" w:num="1">
            <w:col w:w="9360"/>
          </w:cols>
          <w:pgMar w:left="1440" w:top="1440" w:right="1440" w:bottom="390" w:gutter="0" w:footer="0" w:header="0"/>
          <w:type w:val="continuous"/>
        </w:sectPr>
      </w:pPr>
    </w:p>
    <w:bookmarkStart w:id="81" w:name="page82"/>
    <w:bookmarkEnd w:id="81"/>
    <w:p>
      <w:pPr>
        <w:spacing w:after="0" w:line="20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spacing w:after="0" w:line="241"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Our revenue increased from $53.5 million for the year ended December 31, 2024 to $58.4 million for the year ended December 31, 2025, representing an increase of 9%. Our net losses were $31.4 million and $34.3 million for the years ended December 31, 2024 and 2025, respectively. A significant component of our net loss in the years ended December 31, 2025 and 2024 was the change in fair value of warrant liabilities of $10.3 million and $21.4 million, respectively. Our total installed base of LLS and ALLY Systems was approximately 435 as of December 31, 2025.</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Termination of Merger Agreement with Alcon</w:t>
      </w:r>
    </w:p>
    <w:p>
      <w:pPr>
        <w:spacing w:after="0" w:line="125"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On March 23, 2025, we entered into an Agreement and Plan of Merger, or the Merger Agreement, with Alcon Research, LLC, or Alcon and VMI Option Merger Sub, Inc., or Merger Sub, which provided that, subject to the terms and conditions set forth in the Merger Agreement, Merger Sub would merge with and into the Company, which we refer to as the Merger, with the Company continuing as the surviving corporation of the Merger and as a wholly-owned subsidiary of Alcon.</w:t>
      </w:r>
    </w:p>
    <w:p>
      <w:pPr>
        <w:spacing w:after="0" w:line="24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On May 21, 2025, we and Alcon each received a request for additional information and documentary material from the FTC in connection with the FTC</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review of the Merger. Following its investigation, the FTC indicated its intention to seek to enjoin the Merger. On March 16, 2026, we entered into a Termination and Mutual Release Agreement, or the Termination Agreement, with Alcon and Merger Sub, pursuant to which the parties agreed to terminate the Merger Agreement, effective immediately. Pursuant to the Termination Agreement, Alcon agreed that we will retain the $10.0 million cash deposit provided to us and being held by us pursuant to the Merger Agreement. The parties also agreed to a mutual release of claims, relating to or arising out of the Merger Agreement and the transactions contemplated therein or thereby.</w:t>
      </w:r>
    </w:p>
    <w:p>
      <w:pPr>
        <w:spacing w:after="0" w:line="130"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In connection with the Merger Agreement, we have incurred acquisition-related costs of approximately $17.1 million in the year ended December 31, 2025. Of the $17.1 million in acquisition-related costs incurred, $13.8 million is classified as accounts payable and $0.2 million is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 million. Furthermore, during the three months ending March 31, 2026, $5.0 million of accounts payable will be reclassified from current to long-term based upon extended payment terms provided by our acquisition advisers.</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Factors to Consider</w:t>
      </w:r>
    </w:p>
    <w:p>
      <w:pPr>
        <w:spacing w:after="0" w:line="128"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We operate in a highly competitive environment that involves a number of risks, some of which are beyond our control. We are subject to risks common to medical device companies, including risks inherent in:</w:t>
      </w:r>
    </w:p>
    <w:p>
      <w:pPr>
        <w:spacing w:after="0" w:line="78" w:lineRule="exact"/>
        <w:rPr>
          <w:sz w:val="20"/>
          <w:szCs w:val="20"/>
          <w:color w:val="auto"/>
        </w:rPr>
      </w:pPr>
    </w:p>
    <w:p>
      <w:pPr>
        <w:ind w:left="840" w:hanging="350"/>
        <w:spacing w:after="0"/>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laser system development and commercialization efforts;</w:t>
      </w:r>
    </w:p>
    <w:p>
      <w:pPr>
        <w:spacing w:after="0" w:line="12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clinical studies;</w:t>
      </w:r>
    </w:p>
    <w:p>
      <w:pPr>
        <w:spacing w:after="0" w:line="12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uncertainty of regulatory actions and marketing approvals or certifications;</w:t>
      </w:r>
    </w:p>
    <w:p>
      <w:pPr>
        <w:spacing w:after="0" w:line="124"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reliance on a network of international distributors and a network of suppliers;</w:t>
      </w:r>
    </w:p>
    <w:p>
      <w:pPr>
        <w:spacing w:after="0" w:line="13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levels of coverage and reimbursement by government or other third-party payors for procedures using our products;</w:t>
      </w:r>
    </w:p>
    <w:p>
      <w:pPr>
        <w:spacing w:after="0" w:line="140" w:lineRule="exact"/>
        <w:rPr>
          <w:rFonts w:ascii="PMingLiU" w:cs="PMingLiU" w:eastAsia="PMingLiU" w:hAnsi="PMingLiU"/>
          <w:sz w:val="19"/>
          <w:szCs w:val="19"/>
          <w:b w:val="1"/>
          <w:bCs w:val="1"/>
          <w:color w:val="231F20"/>
        </w:rPr>
      </w:pPr>
    </w:p>
    <w:p>
      <w:pPr>
        <w:ind w:left="840" w:right="140" w:hanging="350"/>
        <w:spacing w:after="0" w:line="218" w:lineRule="exact"/>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patients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willingness and ability to pay for procedures with significant costs not covered by or reimbursable through government or other third-party payors;</w:t>
      </w:r>
    </w:p>
    <w:p>
      <w:pPr>
        <w:spacing w:after="0" w:line="125"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enforcement of patent and proprietary rights;</w:t>
      </w:r>
    </w:p>
    <w:p>
      <w:pPr>
        <w:spacing w:after="0" w:line="122"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need for future capital;</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80</w:t>
      </w:r>
    </w:p>
    <w:p>
      <w:pPr>
        <w:sectPr>
          <w:pgSz w:w="12240" w:h="15840" w:orient="portrait"/>
          <w:cols w:equalWidth="0" w:num="1">
            <w:col w:w="9360"/>
          </w:cols>
          <w:pgMar w:left="1440" w:top="1440" w:right="1440" w:bottom="390" w:gutter="0" w:footer="0" w:header="0"/>
          <w:type w:val="continuous"/>
        </w:sectPr>
      </w:pPr>
    </w:p>
    <w:bookmarkStart w:id="82" w:name="page83"/>
    <w:bookmarkEnd w:id="82"/>
    <w:p>
      <w:pPr>
        <w:spacing w:after="0" w:line="216" w:lineRule="exact"/>
        <w:rPr>
          <w:sz w:val="20"/>
          <w:szCs w:val="20"/>
          <w:color w:val="auto"/>
        </w:rPr>
      </w:pPr>
    </w:p>
    <w:p>
      <w:pPr>
        <w:ind w:left="840" w:right="140" w:hanging="350"/>
        <w:spacing w:after="0" w:line="233" w:lineRule="auto"/>
        <w:tabs>
          <w:tab w:leader="none" w:pos="840" w:val="left"/>
        </w:tabs>
        <w:numPr>
          <w:ilvl w:val="0"/>
          <w:numId w:val="4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all safety requirements and suggestions regarding patient treatment as required or suggested by health care authorities;</w:t>
      </w:r>
    </w:p>
    <w:p>
      <w:pPr>
        <w:spacing w:after="0" w:line="142" w:lineRule="exact"/>
        <w:rPr>
          <w:rFonts w:ascii="PMingLiU" w:cs="PMingLiU" w:eastAsia="PMingLiU" w:hAnsi="PMingLiU"/>
          <w:sz w:val="19"/>
          <w:szCs w:val="19"/>
          <w:b w:val="1"/>
          <w:bCs w:val="1"/>
          <w:color w:val="231F20"/>
        </w:rPr>
      </w:pPr>
    </w:p>
    <w:p>
      <w:pPr>
        <w:ind w:left="840" w:right="140" w:hanging="350"/>
        <w:spacing w:after="0" w:line="232" w:lineRule="auto"/>
        <w:tabs>
          <w:tab w:leader="none" w:pos="840" w:val="left"/>
        </w:tabs>
        <w:numPr>
          <w:ilvl w:val="0"/>
          <w:numId w:val="4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clearance or certification by regulatory agencies, including the FDA, or notified bodies for our ALLY System;</w:t>
      </w:r>
    </w:p>
    <w:p>
      <w:pPr>
        <w:spacing w:after="0" w:line="142"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supply chain shortages, labor market shifts, tariffs, and price increases resulting from various macroeconomic factors;</w:t>
      </w:r>
    </w:p>
    <w:p>
      <w:pPr>
        <w:spacing w:after="0" w:line="123" w:lineRule="exact"/>
        <w:rPr>
          <w:rFonts w:ascii="PMingLiU" w:cs="PMingLiU" w:eastAsia="PMingLiU" w:hAnsi="PMingLiU"/>
          <w:sz w:val="19"/>
          <w:szCs w:val="19"/>
          <w:b w:val="1"/>
          <w:bCs w:val="1"/>
          <w:color w:val="231F20"/>
        </w:rPr>
      </w:pPr>
    </w:p>
    <w:p>
      <w:pPr>
        <w:ind w:left="840" w:hanging="350"/>
        <w:spacing w:after="0"/>
        <w:tabs>
          <w:tab w:leader="none" w:pos="840" w:val="left"/>
        </w:tabs>
        <w:numPr>
          <w:ilvl w:val="0"/>
          <w:numId w:val="4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competition associated with our products; and</w:t>
      </w:r>
    </w:p>
    <w:p>
      <w:pPr>
        <w:spacing w:after="0" w:line="139" w:lineRule="exact"/>
        <w:rPr>
          <w:rFonts w:ascii="PMingLiU" w:cs="PMingLiU" w:eastAsia="PMingLiU" w:hAnsi="PMingLiU"/>
          <w:sz w:val="19"/>
          <w:szCs w:val="19"/>
          <w:b w:val="1"/>
          <w:bCs w:val="1"/>
          <w:color w:val="231F20"/>
        </w:rPr>
      </w:pPr>
    </w:p>
    <w:p>
      <w:pPr>
        <w:ind w:left="840" w:right="140" w:hanging="350"/>
        <w:spacing w:after="0" w:line="233" w:lineRule="auto"/>
        <w:tabs>
          <w:tab w:leader="none" w:pos="840" w:val="left"/>
        </w:tabs>
        <w:numPr>
          <w:ilvl w:val="0"/>
          <w:numId w:val="4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reimbursement practices in jurisdictions where procedures using our Systems are performed, such as South Korea.</w:t>
      </w:r>
    </w:p>
    <w:p>
      <w:pPr>
        <w:spacing w:after="0" w:line="244"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242"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spacing w:after="0" w:line="216" w:lineRule="exact"/>
        <w:rPr>
          <w:sz w:val="20"/>
          <w:szCs w:val="20"/>
          <w:color w:val="auto"/>
        </w:rPr>
      </w:pPr>
    </w:p>
    <w:p>
      <w:pPr>
        <w:jc w:val="both"/>
        <w:ind w:left="140" w:right="140"/>
        <w:spacing w:after="0" w:line="297" w:lineRule="auto"/>
        <w:rPr>
          <w:sz w:val="20"/>
          <w:szCs w:val="20"/>
          <w:color w:val="auto"/>
        </w:rPr>
      </w:pPr>
      <w:r>
        <w:rPr>
          <w:rFonts w:ascii="Arial" w:cs="Arial" w:eastAsia="Arial" w:hAnsi="Arial"/>
          <w:sz w:val="16"/>
          <w:szCs w:val="16"/>
          <w:b w:val="1"/>
          <w:bCs w:val="1"/>
          <w:color w:val="231F20"/>
        </w:rPr>
        <w:t>Global economic uncertainty and other factors, including tariff policies,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99"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As a result of these and other factors, our historical results are not necessarily indicative of future performance, and any interim results we present are not indicative of the results that may be expected for the full fiscal year.</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Components of Our Results of Operations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Revenue</w:t>
      </w:r>
    </w:p>
    <w:p>
      <w:pPr>
        <w:spacing w:after="0" w:line="128" w:lineRule="exact"/>
        <w:rPr>
          <w:sz w:val="20"/>
          <w:szCs w:val="20"/>
          <w:color w:val="auto"/>
        </w:rPr>
      </w:pPr>
    </w:p>
    <w:p>
      <w:pPr>
        <w:jc w:val="both"/>
        <w:ind w:left="140" w:right="140"/>
        <w:spacing w:after="0" w:line="297" w:lineRule="auto"/>
        <w:rPr>
          <w:sz w:val="20"/>
          <w:szCs w:val="20"/>
          <w:color w:val="auto"/>
        </w:rPr>
      </w:pPr>
      <w:r>
        <w:rPr>
          <w:rFonts w:ascii="Arial" w:cs="Arial" w:eastAsia="Arial" w:hAnsi="Arial"/>
          <w:sz w:val="16"/>
          <w:szCs w:val="16"/>
          <w:b w:val="1"/>
          <w:bCs w:val="1"/>
          <w:color w:val="231F20"/>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81</w:t>
      </w:r>
    </w:p>
    <w:p>
      <w:pPr>
        <w:sectPr>
          <w:pgSz w:w="12240" w:h="15840" w:orient="portrait"/>
          <w:cols w:equalWidth="0" w:num="1">
            <w:col w:w="9360"/>
          </w:cols>
          <w:pgMar w:left="1440" w:top="1440" w:right="1440" w:bottom="390" w:gutter="0" w:footer="0" w:header="0"/>
          <w:type w:val="continuous"/>
        </w:sectPr>
      </w:pPr>
    </w:p>
    <w:bookmarkStart w:id="83" w:name="page84"/>
    <w:bookmarkEnd w:id="83"/>
    <w:p>
      <w:pPr>
        <w:spacing w:after="0" w:line="201"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fixed lease payment. The following table provides information about revenue and revenue attributable to recurring sources, which we consider to be all components of our revenue except for sales of our Systems:</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20" w:type="dxa"/>
            <w:vAlign w:val="bottom"/>
            <w:gridSpan w:val="3"/>
          </w:tcPr>
          <w:p>
            <w:pPr>
              <w:jc w:val="right"/>
              <w:ind w:right="185"/>
              <w:spacing w:after="0"/>
              <w:rPr>
                <w:sz w:val="20"/>
                <w:szCs w:val="20"/>
                <w:color w:val="auto"/>
              </w:rPr>
            </w:pPr>
            <w:r>
              <w:rPr>
                <w:rFonts w:ascii="Arial" w:cs="Arial" w:eastAsia="Arial" w:hAnsi="Arial"/>
                <w:sz w:val="16"/>
                <w:szCs w:val="16"/>
                <w:b w:val="1"/>
                <w:bCs w:val="1"/>
                <w:color w:val="231F20"/>
                <w:w w:val="92"/>
              </w:rPr>
              <w:t>Year Ended December 31,</w:t>
            </w:r>
          </w:p>
        </w:tc>
      </w:tr>
      <w:tr>
        <w:trPr>
          <w:trHeight w:val="206"/>
        </w:trPr>
        <w:tc>
          <w:tcPr>
            <w:tcW w:w="3520" w:type="dxa"/>
            <w:vAlign w:val="bottom"/>
          </w:tcPr>
          <w:p>
            <w:pPr>
              <w:spacing w:after="0"/>
              <w:rPr>
                <w:sz w:val="20"/>
                <w:szCs w:val="20"/>
                <w:color w:val="auto"/>
              </w:rPr>
            </w:pPr>
            <w:r>
              <w:rPr>
                <w:rFonts w:ascii="Arial" w:cs="Arial" w:eastAsia="Arial" w:hAnsi="Arial"/>
                <w:sz w:val="16"/>
                <w:szCs w:val="16"/>
                <w:b w:val="1"/>
                <w:bCs w:val="1"/>
                <w:color w:val="231F20"/>
              </w:rPr>
              <w:t>(Dollars in thousands)</w:t>
            </w:r>
          </w:p>
        </w:tc>
        <w:tc>
          <w:tcPr>
            <w:tcW w:w="1560" w:type="dxa"/>
            <w:vAlign w:val="bottom"/>
          </w:tcPr>
          <w:p>
            <w:pPr>
              <w:spacing w:after="0"/>
              <w:rPr>
                <w:sz w:val="17"/>
                <w:szCs w:val="17"/>
                <w:color w:val="auto"/>
              </w:rPr>
            </w:pPr>
          </w:p>
        </w:tc>
        <w:tc>
          <w:tcPr>
            <w:tcW w:w="980" w:type="dxa"/>
            <w:vAlign w:val="bottom"/>
          </w:tcPr>
          <w:p>
            <w:pPr>
              <w:jc w:val="right"/>
              <w:ind w:right="387"/>
              <w:spacing w:after="0"/>
              <w:rPr>
                <w:sz w:val="20"/>
                <w:szCs w:val="20"/>
                <w:color w:val="auto"/>
              </w:rPr>
            </w:pPr>
            <w:r>
              <w:rPr>
                <w:rFonts w:ascii="Arial" w:cs="Arial" w:eastAsia="Arial" w:hAnsi="Arial"/>
                <w:sz w:val="16"/>
                <w:szCs w:val="16"/>
                <w:b w:val="1"/>
                <w:bCs w:val="1"/>
                <w:color w:val="231F20"/>
              </w:rPr>
              <w:t>2025</w:t>
            </w:r>
          </w:p>
        </w:tc>
        <w:tc>
          <w:tcPr>
            <w:tcW w:w="300" w:type="dxa"/>
            <w:vAlign w:val="bottom"/>
          </w:tcPr>
          <w:p>
            <w:pPr>
              <w:spacing w:after="0"/>
              <w:rPr>
                <w:sz w:val="17"/>
                <w:szCs w:val="17"/>
                <w:color w:val="auto"/>
              </w:rPr>
            </w:pPr>
          </w:p>
        </w:tc>
        <w:tc>
          <w:tcPr>
            <w:tcW w:w="840" w:type="dxa"/>
            <w:vAlign w:val="bottom"/>
          </w:tcPr>
          <w:p>
            <w:pPr>
              <w:jc w:val="right"/>
              <w:ind w:right="285"/>
              <w:spacing w:after="0"/>
              <w:rPr>
                <w:sz w:val="20"/>
                <w:szCs w:val="20"/>
                <w:color w:val="auto"/>
              </w:rPr>
            </w:pPr>
            <w:r>
              <w:rPr>
                <w:rFonts w:ascii="Arial" w:cs="Arial" w:eastAsia="Arial" w:hAnsi="Arial"/>
                <w:sz w:val="16"/>
                <w:szCs w:val="16"/>
                <w:b w:val="1"/>
                <w:bCs w:val="1"/>
                <w:color w:val="231F20"/>
              </w:rPr>
              <w:t>2024</w:t>
            </w:r>
          </w:p>
        </w:tc>
      </w:tr>
      <w:tr>
        <w:trPr>
          <w:trHeight w:val="251"/>
        </w:trPr>
        <w:tc>
          <w:tcPr>
            <w:tcW w:w="3520" w:type="dxa"/>
            <w:vAlign w:val="bottom"/>
          </w:tcPr>
          <w:p>
            <w:pPr>
              <w:spacing w:after="0"/>
              <w:rPr>
                <w:sz w:val="20"/>
                <w:szCs w:val="20"/>
                <w:color w:val="auto"/>
              </w:rPr>
            </w:pPr>
            <w:r>
              <w:rPr>
                <w:rFonts w:ascii="Arial" w:cs="Arial" w:eastAsia="Arial" w:hAnsi="Arial"/>
                <w:sz w:val="19"/>
                <w:szCs w:val="19"/>
                <w:b w:val="1"/>
                <w:bCs w:val="1"/>
                <w:color w:val="231F20"/>
              </w:rPr>
              <w:t>System</w:t>
            </w:r>
          </w:p>
        </w:tc>
        <w:tc>
          <w:tcPr>
            <w:tcW w:w="15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7"/>
              <w:spacing w:after="0"/>
              <w:rPr>
                <w:sz w:val="20"/>
                <w:szCs w:val="20"/>
                <w:color w:val="auto"/>
              </w:rPr>
            </w:pPr>
            <w:r>
              <w:rPr>
                <w:rFonts w:ascii="Arial" w:cs="Arial" w:eastAsia="Arial" w:hAnsi="Arial"/>
                <w:sz w:val="19"/>
                <w:szCs w:val="19"/>
                <w:b w:val="1"/>
                <w:bCs w:val="1"/>
                <w:color w:val="231F20"/>
              </w:rPr>
              <w:t>12,129</w:t>
            </w:r>
          </w:p>
        </w:tc>
        <w:tc>
          <w:tcPr>
            <w:tcW w:w="30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13,345</w:t>
            </w:r>
          </w:p>
        </w:tc>
      </w:tr>
      <w:tr>
        <w:trPr>
          <w:trHeight w:val="238"/>
        </w:trPr>
        <w:tc>
          <w:tcPr>
            <w:tcW w:w="3520" w:type="dxa"/>
            <w:vAlign w:val="bottom"/>
          </w:tcPr>
          <w:p>
            <w:pPr>
              <w:spacing w:after="0"/>
              <w:rPr>
                <w:sz w:val="20"/>
                <w:szCs w:val="20"/>
                <w:color w:val="auto"/>
              </w:rPr>
            </w:pPr>
            <w:r>
              <w:rPr>
                <w:rFonts w:ascii="Arial" w:cs="Arial" w:eastAsia="Arial" w:hAnsi="Arial"/>
                <w:sz w:val="19"/>
                <w:szCs w:val="19"/>
                <w:b w:val="1"/>
                <w:bCs w:val="1"/>
                <w:color w:val="231F20"/>
              </w:rPr>
              <w:t>Recurring revenue:</w:t>
            </w: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5"/>
        </w:trPr>
        <w:tc>
          <w:tcPr>
            <w:tcW w:w="3520" w:type="dxa"/>
            <w:vAlign w:val="bottom"/>
          </w:tcPr>
          <w:p>
            <w:pPr>
              <w:ind w:left="200"/>
              <w:spacing w:after="0"/>
              <w:rPr>
                <w:sz w:val="20"/>
                <w:szCs w:val="20"/>
                <w:color w:val="auto"/>
              </w:rPr>
            </w:pPr>
            <w:r>
              <w:rPr>
                <w:rFonts w:ascii="Arial" w:cs="Arial" w:eastAsia="Arial" w:hAnsi="Arial"/>
                <w:sz w:val="19"/>
                <w:szCs w:val="19"/>
                <w:b w:val="1"/>
                <w:bCs w:val="1"/>
                <w:color w:val="231F20"/>
              </w:rPr>
              <w:t>Procedure</w:t>
            </w:r>
          </w:p>
        </w:tc>
        <w:tc>
          <w:tcPr>
            <w:tcW w:w="1560" w:type="dxa"/>
            <w:vAlign w:val="bottom"/>
          </w:tcPr>
          <w:p>
            <w:pPr>
              <w:spacing w:after="0"/>
              <w:rPr>
                <w:sz w:val="20"/>
                <w:szCs w:val="20"/>
                <w:color w:val="auto"/>
              </w:rPr>
            </w:pPr>
          </w:p>
        </w:tc>
        <w:tc>
          <w:tcPr>
            <w:tcW w:w="980" w:type="dxa"/>
            <w:vAlign w:val="bottom"/>
          </w:tcPr>
          <w:p>
            <w:pPr>
              <w:jc w:val="right"/>
              <w:ind w:right="7"/>
              <w:spacing w:after="0"/>
              <w:rPr>
                <w:sz w:val="20"/>
                <w:szCs w:val="20"/>
                <w:color w:val="auto"/>
              </w:rPr>
            </w:pPr>
            <w:r>
              <w:rPr>
                <w:rFonts w:ascii="Arial" w:cs="Arial" w:eastAsia="Arial" w:hAnsi="Arial"/>
                <w:sz w:val="19"/>
                <w:szCs w:val="19"/>
                <w:b w:val="1"/>
                <w:bCs w:val="1"/>
                <w:color w:val="231F20"/>
              </w:rPr>
              <w:t>33,799</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27,720</w:t>
            </w:r>
          </w:p>
        </w:tc>
      </w:tr>
      <w:tr>
        <w:trPr>
          <w:trHeight w:val="238"/>
        </w:trPr>
        <w:tc>
          <w:tcPr>
            <w:tcW w:w="3520" w:type="dxa"/>
            <w:vAlign w:val="bottom"/>
          </w:tcPr>
          <w:p>
            <w:pPr>
              <w:ind w:left="200"/>
              <w:spacing w:after="0"/>
              <w:rPr>
                <w:sz w:val="20"/>
                <w:szCs w:val="20"/>
                <w:color w:val="auto"/>
              </w:rPr>
            </w:pPr>
            <w:r>
              <w:rPr>
                <w:rFonts w:ascii="Arial" w:cs="Arial" w:eastAsia="Arial" w:hAnsi="Arial"/>
                <w:sz w:val="19"/>
                <w:szCs w:val="19"/>
                <w:b w:val="1"/>
                <w:bCs w:val="1"/>
                <w:color w:val="231F20"/>
              </w:rPr>
              <w:t>Lease</w:t>
            </w:r>
          </w:p>
        </w:tc>
        <w:tc>
          <w:tcPr>
            <w:tcW w:w="1560" w:type="dxa"/>
            <w:vAlign w:val="bottom"/>
          </w:tcPr>
          <w:p>
            <w:pPr>
              <w:spacing w:after="0"/>
              <w:rPr>
                <w:sz w:val="20"/>
                <w:szCs w:val="20"/>
                <w:color w:val="auto"/>
              </w:rPr>
            </w:pPr>
          </w:p>
        </w:tc>
        <w:tc>
          <w:tcPr>
            <w:tcW w:w="980" w:type="dxa"/>
            <w:vAlign w:val="bottom"/>
          </w:tcPr>
          <w:p>
            <w:pPr>
              <w:jc w:val="right"/>
              <w:ind w:right="7"/>
              <w:spacing w:after="0"/>
              <w:rPr>
                <w:sz w:val="20"/>
                <w:szCs w:val="20"/>
                <w:color w:val="auto"/>
              </w:rPr>
            </w:pPr>
            <w:r>
              <w:rPr>
                <w:rFonts w:ascii="Arial" w:cs="Arial" w:eastAsia="Arial" w:hAnsi="Arial"/>
                <w:sz w:val="19"/>
                <w:szCs w:val="19"/>
                <w:b w:val="1"/>
                <w:bCs w:val="1"/>
                <w:color w:val="231F20"/>
              </w:rPr>
              <w:t>6,779</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7,532</w:t>
            </w:r>
          </w:p>
        </w:tc>
      </w:tr>
      <w:tr>
        <w:trPr>
          <w:trHeight w:val="235"/>
        </w:trPr>
        <w:tc>
          <w:tcPr>
            <w:tcW w:w="3520" w:type="dxa"/>
            <w:vAlign w:val="bottom"/>
          </w:tcPr>
          <w:p>
            <w:pPr>
              <w:ind w:left="200"/>
              <w:spacing w:after="0"/>
              <w:rPr>
                <w:sz w:val="20"/>
                <w:szCs w:val="20"/>
                <w:color w:val="auto"/>
              </w:rPr>
            </w:pPr>
            <w:r>
              <w:rPr>
                <w:rFonts w:ascii="Arial" w:cs="Arial" w:eastAsia="Arial" w:hAnsi="Arial"/>
                <w:sz w:val="19"/>
                <w:szCs w:val="19"/>
                <w:b w:val="1"/>
                <w:bCs w:val="1"/>
                <w:color w:val="231F20"/>
              </w:rPr>
              <w:t>Service</w:t>
            </w:r>
          </w:p>
        </w:tc>
        <w:tc>
          <w:tcPr>
            <w:tcW w:w="1560" w:type="dxa"/>
            <w:vAlign w:val="bottom"/>
          </w:tcPr>
          <w:p>
            <w:pPr>
              <w:spacing w:after="0"/>
              <w:rPr>
                <w:sz w:val="20"/>
                <w:szCs w:val="20"/>
                <w:color w:val="auto"/>
              </w:rPr>
            </w:pPr>
          </w:p>
        </w:tc>
        <w:tc>
          <w:tcPr>
            <w:tcW w:w="980" w:type="dxa"/>
            <w:vAlign w:val="bottom"/>
          </w:tcPr>
          <w:p>
            <w:pPr>
              <w:jc w:val="right"/>
              <w:ind w:right="7"/>
              <w:spacing w:after="0"/>
              <w:rPr>
                <w:sz w:val="20"/>
                <w:szCs w:val="20"/>
                <w:color w:val="auto"/>
              </w:rPr>
            </w:pPr>
            <w:r>
              <w:rPr>
                <w:rFonts w:ascii="Arial" w:cs="Arial" w:eastAsia="Arial" w:hAnsi="Arial"/>
                <w:sz w:val="19"/>
                <w:szCs w:val="19"/>
                <w:b w:val="1"/>
                <w:bCs w:val="1"/>
                <w:color w:val="231F20"/>
              </w:rPr>
              <w:t>5,728</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4,897</w:t>
            </w:r>
          </w:p>
        </w:tc>
      </w:tr>
      <w:tr>
        <w:trPr>
          <w:trHeight w:val="252"/>
        </w:trPr>
        <w:tc>
          <w:tcPr>
            <w:tcW w:w="3520" w:type="dxa"/>
            <w:vAlign w:val="bottom"/>
          </w:tcPr>
          <w:p>
            <w:pPr>
              <w:ind w:left="300"/>
              <w:spacing w:after="0"/>
              <w:rPr>
                <w:sz w:val="20"/>
                <w:szCs w:val="20"/>
                <w:color w:val="auto"/>
              </w:rPr>
            </w:pPr>
            <w:r>
              <w:rPr>
                <w:rFonts w:ascii="Arial" w:cs="Arial" w:eastAsia="Arial" w:hAnsi="Arial"/>
                <w:sz w:val="19"/>
                <w:szCs w:val="19"/>
                <w:b w:val="1"/>
                <w:bCs w:val="1"/>
                <w:color w:val="231F20"/>
              </w:rPr>
              <w:t>Total recurring revenue</w:t>
            </w:r>
          </w:p>
        </w:tc>
        <w:tc>
          <w:tcPr>
            <w:tcW w:w="15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19"/>
                <w:szCs w:val="19"/>
                <w:b w:val="1"/>
                <w:bCs w:val="1"/>
                <w:color w:val="231F20"/>
              </w:rPr>
              <w:t>46,306</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40,149</w:t>
            </w:r>
          </w:p>
        </w:tc>
      </w:tr>
      <w:tr>
        <w:trPr>
          <w:trHeight w:val="252"/>
        </w:trPr>
        <w:tc>
          <w:tcPr>
            <w:tcW w:w="3520" w:type="dxa"/>
            <w:vAlign w:val="bottom"/>
          </w:tcPr>
          <w:p>
            <w:pPr>
              <w:ind w:left="400"/>
              <w:spacing w:after="0"/>
              <w:rPr>
                <w:sz w:val="20"/>
                <w:szCs w:val="20"/>
                <w:color w:val="auto"/>
              </w:rPr>
            </w:pPr>
            <w:r>
              <w:rPr>
                <w:rFonts w:ascii="Arial" w:cs="Arial" w:eastAsia="Arial" w:hAnsi="Arial"/>
                <w:sz w:val="19"/>
                <w:szCs w:val="19"/>
                <w:b w:val="1"/>
                <w:bCs w:val="1"/>
                <w:color w:val="231F20"/>
              </w:rPr>
              <w:t>Total revenue</w:t>
            </w:r>
          </w:p>
        </w:tc>
        <w:tc>
          <w:tcPr>
            <w:tcW w:w="15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7"/>
              <w:spacing w:after="0"/>
              <w:rPr>
                <w:sz w:val="20"/>
                <w:szCs w:val="20"/>
                <w:color w:val="auto"/>
              </w:rPr>
            </w:pPr>
            <w:r>
              <w:rPr>
                <w:rFonts w:ascii="Arial" w:cs="Arial" w:eastAsia="Arial" w:hAnsi="Arial"/>
                <w:sz w:val="19"/>
                <w:szCs w:val="19"/>
                <w:b w:val="1"/>
                <w:bCs w:val="1"/>
                <w:color w:val="231F20"/>
              </w:rPr>
              <w:t>58,435</w:t>
            </w:r>
          </w:p>
        </w:tc>
        <w:tc>
          <w:tcPr>
            <w:tcW w:w="30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53,494</w:t>
            </w:r>
          </w:p>
        </w:tc>
      </w:tr>
      <w:tr>
        <w:trPr>
          <w:trHeight w:val="281"/>
        </w:trPr>
        <w:tc>
          <w:tcPr>
            <w:tcW w:w="3520" w:type="dxa"/>
            <w:vAlign w:val="bottom"/>
          </w:tcPr>
          <w:p>
            <w:pPr>
              <w:spacing w:after="0"/>
              <w:rPr>
                <w:sz w:val="20"/>
                <w:szCs w:val="20"/>
                <w:color w:val="auto"/>
              </w:rPr>
            </w:pPr>
            <w:r>
              <w:rPr>
                <w:rFonts w:ascii="Arial" w:cs="Arial" w:eastAsia="Arial" w:hAnsi="Arial"/>
                <w:sz w:val="19"/>
                <w:szCs w:val="19"/>
                <w:b w:val="1"/>
                <w:bCs w:val="1"/>
                <w:color w:val="231F20"/>
              </w:rPr>
              <w:t>Recurring revenue %</w:t>
            </w:r>
          </w:p>
        </w:tc>
        <w:tc>
          <w:tcPr>
            <w:tcW w:w="1560" w:type="dxa"/>
            <w:vAlign w:val="bottom"/>
          </w:tcPr>
          <w:p>
            <w:pPr>
              <w:spacing w:after="0"/>
              <w:rPr>
                <w:sz w:val="24"/>
                <w:szCs w:val="24"/>
                <w:color w:val="auto"/>
              </w:rPr>
            </w:pPr>
          </w:p>
        </w:tc>
        <w:tc>
          <w:tcPr>
            <w:tcW w:w="980" w:type="dxa"/>
            <w:vAlign w:val="bottom"/>
          </w:tcPr>
          <w:p>
            <w:pPr>
              <w:jc w:val="right"/>
              <w:ind w:right="367"/>
              <w:spacing w:after="0"/>
              <w:rPr>
                <w:sz w:val="20"/>
                <w:szCs w:val="20"/>
                <w:color w:val="auto"/>
              </w:rPr>
            </w:pPr>
            <w:r>
              <w:rPr>
                <w:rFonts w:ascii="Arial" w:cs="Arial" w:eastAsia="Arial" w:hAnsi="Arial"/>
                <w:sz w:val="19"/>
                <w:szCs w:val="19"/>
                <w:b w:val="1"/>
                <w:bCs w:val="1"/>
                <w:color w:val="231F20"/>
              </w:rPr>
              <w:t>79%</w:t>
            </w:r>
          </w:p>
        </w:tc>
        <w:tc>
          <w:tcPr>
            <w:tcW w:w="300" w:type="dxa"/>
            <w:vAlign w:val="bottom"/>
          </w:tcPr>
          <w:p>
            <w:pPr>
              <w:spacing w:after="0"/>
              <w:rPr>
                <w:sz w:val="24"/>
                <w:szCs w:val="24"/>
                <w:color w:val="auto"/>
              </w:rPr>
            </w:pPr>
          </w:p>
        </w:tc>
        <w:tc>
          <w:tcPr>
            <w:tcW w:w="840" w:type="dxa"/>
            <w:vAlign w:val="bottom"/>
          </w:tcPr>
          <w:p>
            <w:pPr>
              <w:jc w:val="right"/>
              <w:ind w:right="245"/>
              <w:spacing w:after="0"/>
              <w:rPr>
                <w:sz w:val="20"/>
                <w:szCs w:val="20"/>
                <w:color w:val="auto"/>
              </w:rPr>
            </w:pPr>
            <w:r>
              <w:rPr>
                <w:rFonts w:ascii="Arial" w:cs="Arial" w:eastAsia="Arial" w:hAnsi="Arial"/>
                <w:sz w:val="19"/>
                <w:szCs w:val="19"/>
                <w:b w:val="1"/>
                <w:bCs w:val="1"/>
                <w:color w:val="231F20"/>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-1401445</wp:posOffset>
            </wp:positionV>
            <wp:extent cx="4639945" cy="1416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39945" cy="1416685"/>
                    </a:xfrm>
                    <a:prstGeom prst="rect">
                      <a:avLst/>
                    </a:prstGeom>
                    <a:noFill/>
                  </pic:spPr>
                </pic:pic>
              </a:graphicData>
            </a:graphic>
          </wp:anchor>
        </w:drawing>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Cost of Revenue</w:t>
      </w:r>
    </w:p>
    <w:p>
      <w:pPr>
        <w:spacing w:after="0" w:line="125"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Total cost of revenue comprises cost of product revenue, 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34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Selling, General and Administrative Expense</w:t>
      </w:r>
    </w:p>
    <w:p>
      <w:pPr>
        <w:spacing w:after="0" w:line="125" w:lineRule="exact"/>
        <w:rPr>
          <w:sz w:val="20"/>
          <w:szCs w:val="20"/>
          <w:color w:val="auto"/>
        </w:rPr>
      </w:pPr>
    </w:p>
    <w:p>
      <w:pPr>
        <w:jc w:val="both"/>
        <w:ind w:left="140" w:right="140"/>
        <w:spacing w:after="0" w:line="303" w:lineRule="auto"/>
        <w:rPr>
          <w:sz w:val="20"/>
          <w:szCs w:val="20"/>
          <w:color w:val="auto"/>
        </w:rPr>
      </w:pPr>
      <w:r>
        <w:rPr>
          <w:rFonts w:ascii="Arial" w:cs="Arial" w:eastAsia="Arial" w:hAnsi="Arial"/>
          <w:sz w:val="16"/>
          <w:szCs w:val="16"/>
          <w:b w:val="1"/>
          <w:bCs w:val="1"/>
          <w:color w:val="231F20"/>
        </w:rPr>
        <w:t>Our selling, general and administrative expenses consist primarily of acquisition-related costs,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w:t>
      </w:r>
    </w:p>
    <w:p>
      <w:pPr>
        <w:spacing w:after="0" w:line="30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Research and Development Expense</w:t>
      </w:r>
    </w:p>
    <w:p>
      <w:pPr>
        <w:spacing w:after="0" w:line="128"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Amortization of Intangible Assets</w:t>
      </w:r>
    </w:p>
    <w:p>
      <w:pPr>
        <w:spacing w:after="0" w:line="125"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34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Impairment</w:t>
      </w:r>
    </w:p>
    <w:p>
      <w:pPr>
        <w:spacing w:after="0" w:line="125" w:lineRule="exact"/>
        <w:rPr>
          <w:sz w:val="20"/>
          <w:szCs w:val="20"/>
          <w:color w:val="auto"/>
        </w:rPr>
      </w:pPr>
    </w:p>
    <w:p>
      <w:pPr>
        <w:jc w:val="both"/>
        <w:ind w:left="140" w:right="140"/>
        <w:spacing w:after="0" w:line="219" w:lineRule="exact"/>
        <w:rPr>
          <w:sz w:val="20"/>
          <w:szCs w:val="20"/>
          <w:color w:val="auto"/>
        </w:rPr>
      </w:pPr>
      <w:r>
        <w:rPr>
          <w:rFonts w:ascii="Arial" w:cs="Arial" w:eastAsia="Arial" w:hAnsi="Arial"/>
          <w:sz w:val="16"/>
          <w:szCs w:val="16"/>
          <w:b w:val="1"/>
          <w:bCs w:val="1"/>
          <w:color w:val="231F20"/>
        </w:rPr>
        <w:t>In April 2024, the Company notified its third-party supplier of the phacoemulsification component in the ALLY System the Company would no longer pursue integration with the supplier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phacoemulsification unit. This resulted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82</w:t>
      </w:r>
    </w:p>
    <w:p>
      <w:pPr>
        <w:sectPr>
          <w:pgSz w:w="12240" w:h="15840" w:orient="portrait"/>
          <w:cols w:equalWidth="0" w:num="1">
            <w:col w:w="9360"/>
          </w:cols>
          <w:pgMar w:left="1440" w:top="1440" w:right="1440" w:bottom="390" w:gutter="0" w:footer="0" w:header="0"/>
          <w:type w:val="continuous"/>
        </w:sectPr>
      </w:pPr>
    </w:p>
    <w:bookmarkStart w:id="84" w:name="page85"/>
    <w:bookmarkEnd w:id="84"/>
    <w:p>
      <w:pPr>
        <w:spacing w:after="0" w:line="201"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in a triggering event impacting certain acquired technology intangible assets and contract liabilities associated with 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spacing w:after="0" w:line="34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Change in Fair Value of Warrant Liabilities</w:t>
      </w:r>
    </w:p>
    <w:p>
      <w:pPr>
        <w:spacing w:after="0" w:line="125"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The change in fair value of warrant liabilities consists of the change in estimated fair value of the warrant liabilities using recently quoted market prices of the Company's common stock and the Black-Scholes option pricing model.</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Income Taxes</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 xml:space="preserve">Changes in our tax rates or exposure to additional tax liabilities could adversely affect our earnings and financial condition. On July 4, 2025, new U.S. tax legislation was signed into law (known as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One Big Beautiful Bill Act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or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OBBBA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which makes permanent many of the tax provisions enacted in 2017 as part of the Tax Cuts and Jobs Act that were set to expire at the end of 2025. In addition, the OBBBA makes changes to certain U.S. corporate tax provisions, but many are generally not effective until 2026. Based on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current analysis of the provisions, the Company determined that the tax law changes do not have a material impact on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2025 financial statements. However, the Company will continue to evaluate their impact of such tax law changes on future periods.</w:t>
      </w:r>
    </w:p>
    <w:p>
      <w:pPr>
        <w:spacing w:after="0" w:line="35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Seasonality</w:t>
      </w:r>
    </w:p>
    <w:p>
      <w:pPr>
        <w:spacing w:after="0" w:line="12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have historically experienced seasonal variations in the sales and leases of our products, with our fourth quarter typically being the strongest and the first quarter being the slowest. We believe these seasonal variations are consistent across our industry.</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Results of Operations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Comparison of the Years Ended December 31, 2025 and 2024</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Arial" w:cs="Arial" w:eastAsia="Arial" w:hAnsi="Arial"/>
                <w:sz w:val="16"/>
                <w:szCs w:val="16"/>
                <w:b w:val="1"/>
                <w:bCs w:val="1"/>
                <w:color w:val="231F20"/>
                <w:w w:val="85"/>
              </w:rPr>
              <w:t>Change</w:t>
            </w:r>
          </w:p>
        </w:tc>
      </w:tr>
      <w:tr>
        <w:trPr>
          <w:trHeight w:val="178"/>
        </w:trPr>
        <w:tc>
          <w:tcPr>
            <w:tcW w:w="3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40" w:type="dxa"/>
            <w:vAlign w:val="bottom"/>
            <w:gridSpan w:val="3"/>
          </w:tcPr>
          <w:p>
            <w:pPr>
              <w:jc w:val="right"/>
              <w:ind w:right="185"/>
              <w:spacing w:after="0" w:line="178" w:lineRule="exact"/>
              <w:rPr>
                <w:sz w:val="20"/>
                <w:szCs w:val="20"/>
                <w:color w:val="auto"/>
              </w:rPr>
            </w:pPr>
            <w:r>
              <w:rPr>
                <w:rFonts w:ascii="Arial" w:cs="Arial" w:eastAsia="Arial" w:hAnsi="Arial"/>
                <w:sz w:val="16"/>
                <w:szCs w:val="16"/>
                <w:b w:val="1"/>
                <w:bCs w:val="1"/>
                <w:color w:val="231F20"/>
                <w:w w:val="88"/>
              </w:rPr>
              <w:t>Year Ended December 31,</w:t>
            </w:r>
          </w:p>
        </w:tc>
        <w:tc>
          <w:tcPr>
            <w:tcW w:w="1120" w:type="dxa"/>
            <w:vAlign w:val="bottom"/>
          </w:tcPr>
          <w:p>
            <w:pPr>
              <w:jc w:val="center"/>
              <w:ind w:right="68"/>
              <w:spacing w:after="0" w:line="178" w:lineRule="exact"/>
              <w:rPr>
                <w:sz w:val="20"/>
                <w:szCs w:val="20"/>
                <w:color w:val="auto"/>
              </w:rPr>
            </w:pPr>
            <w:r>
              <w:rPr>
                <w:rFonts w:ascii="Arial" w:cs="Arial" w:eastAsia="Arial" w:hAnsi="Arial"/>
                <w:sz w:val="16"/>
                <w:szCs w:val="16"/>
                <w:b w:val="1"/>
                <w:bCs w:val="1"/>
                <w:color w:val="231F20"/>
                <w:w w:val="93"/>
              </w:rPr>
              <w:t>from Prior</w:t>
            </w:r>
          </w:p>
        </w:tc>
      </w:tr>
      <w:tr>
        <w:trPr>
          <w:trHeight w:val="206"/>
        </w:trPr>
        <w:tc>
          <w:tcPr>
            <w:tcW w:w="3720" w:type="dxa"/>
            <w:vAlign w:val="bottom"/>
          </w:tcPr>
          <w:p>
            <w:pPr>
              <w:spacing w:after="0"/>
              <w:rPr>
                <w:sz w:val="20"/>
                <w:szCs w:val="20"/>
                <w:color w:val="auto"/>
              </w:rPr>
            </w:pPr>
            <w:r>
              <w:rPr>
                <w:rFonts w:ascii="Arial" w:cs="Arial" w:eastAsia="Arial" w:hAnsi="Arial"/>
                <w:sz w:val="16"/>
                <w:szCs w:val="16"/>
                <w:b w:val="1"/>
                <w:bCs w:val="1"/>
                <w:color w:val="231F20"/>
              </w:rPr>
              <w:t>(Dollars in thousands)</w:t>
            </w:r>
          </w:p>
        </w:tc>
        <w:tc>
          <w:tcPr>
            <w:tcW w:w="780" w:type="dxa"/>
            <w:vAlign w:val="bottom"/>
          </w:tcPr>
          <w:p>
            <w:pPr>
              <w:spacing w:after="0"/>
              <w:rPr>
                <w:sz w:val="17"/>
                <w:szCs w:val="17"/>
                <w:color w:val="auto"/>
              </w:rPr>
            </w:pPr>
          </w:p>
        </w:tc>
        <w:tc>
          <w:tcPr>
            <w:tcW w:w="880" w:type="dxa"/>
            <w:vAlign w:val="bottom"/>
          </w:tcPr>
          <w:p>
            <w:pPr>
              <w:jc w:val="right"/>
              <w:ind w:right="307"/>
              <w:spacing w:after="0"/>
              <w:rPr>
                <w:sz w:val="20"/>
                <w:szCs w:val="20"/>
                <w:color w:val="auto"/>
              </w:rPr>
            </w:pPr>
            <w:r>
              <w:rPr>
                <w:rFonts w:ascii="Arial" w:cs="Arial" w:eastAsia="Arial" w:hAnsi="Arial"/>
                <w:sz w:val="16"/>
                <w:szCs w:val="16"/>
                <w:b w:val="1"/>
                <w:bCs w:val="1"/>
                <w:color w:val="231F20"/>
              </w:rPr>
              <w:t>2025</w:t>
            </w:r>
          </w:p>
        </w:tc>
        <w:tc>
          <w:tcPr>
            <w:tcW w:w="30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Arial" w:cs="Arial" w:eastAsia="Arial" w:hAnsi="Arial"/>
                <w:sz w:val="16"/>
                <w:szCs w:val="16"/>
                <w:b w:val="1"/>
                <w:bCs w:val="1"/>
                <w:color w:val="231F20"/>
              </w:rPr>
              <w:t>2024</w:t>
            </w:r>
          </w:p>
        </w:tc>
        <w:tc>
          <w:tcPr>
            <w:tcW w:w="1120" w:type="dxa"/>
            <w:vAlign w:val="bottom"/>
          </w:tcPr>
          <w:p>
            <w:pPr>
              <w:jc w:val="center"/>
              <w:ind w:right="88"/>
              <w:spacing w:after="0"/>
              <w:rPr>
                <w:sz w:val="20"/>
                <w:szCs w:val="20"/>
                <w:color w:val="auto"/>
              </w:rPr>
            </w:pPr>
            <w:r>
              <w:rPr>
                <w:rFonts w:ascii="Arial" w:cs="Arial" w:eastAsia="Arial" w:hAnsi="Arial"/>
                <w:sz w:val="16"/>
                <w:szCs w:val="16"/>
                <w:b w:val="1"/>
                <w:bCs w:val="1"/>
                <w:color w:val="231F20"/>
              </w:rPr>
              <w:t>Year %</w:t>
            </w:r>
          </w:p>
        </w:tc>
      </w:tr>
      <w:tr>
        <w:trPr>
          <w:trHeight w:val="251"/>
        </w:trPr>
        <w:tc>
          <w:tcPr>
            <w:tcW w:w="3720" w:type="dxa"/>
            <w:vAlign w:val="bottom"/>
          </w:tcPr>
          <w:p>
            <w:pPr>
              <w:spacing w:after="0"/>
              <w:rPr>
                <w:sz w:val="20"/>
                <w:szCs w:val="20"/>
                <w:color w:val="auto"/>
              </w:rPr>
            </w:pPr>
            <w:r>
              <w:rPr>
                <w:rFonts w:ascii="Arial" w:cs="Arial" w:eastAsia="Arial" w:hAnsi="Arial"/>
                <w:sz w:val="19"/>
                <w:szCs w:val="19"/>
                <w:b w:val="1"/>
                <w:bCs w:val="1"/>
                <w:color w:val="231F20"/>
              </w:rPr>
              <w:t>Revenue:</w:t>
            </w: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3720" w:type="dxa"/>
            <w:vAlign w:val="bottom"/>
          </w:tcPr>
          <w:p>
            <w:pPr>
              <w:ind w:left="200"/>
              <w:spacing w:after="0"/>
              <w:rPr>
                <w:sz w:val="20"/>
                <w:szCs w:val="20"/>
                <w:color w:val="auto"/>
              </w:rPr>
            </w:pPr>
            <w:r>
              <w:rPr>
                <w:rFonts w:ascii="Arial" w:cs="Arial" w:eastAsia="Arial" w:hAnsi="Arial"/>
                <w:sz w:val="19"/>
                <w:szCs w:val="19"/>
                <w:b w:val="1"/>
                <w:bCs w:val="1"/>
                <w:color w:val="231F20"/>
              </w:rPr>
              <w:t>Product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45,928</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60" w:type="dxa"/>
            <w:vAlign w:val="bottom"/>
          </w:tcPr>
          <w:p>
            <w:pPr>
              <w:jc w:val="right"/>
              <w:ind w:right="25"/>
              <w:spacing w:after="0"/>
              <w:rPr>
                <w:sz w:val="20"/>
                <w:szCs w:val="20"/>
                <w:color w:val="auto"/>
              </w:rPr>
            </w:pPr>
            <w:r>
              <w:rPr>
                <w:rFonts w:ascii="Arial" w:cs="Arial" w:eastAsia="Arial" w:hAnsi="Arial"/>
                <w:sz w:val="19"/>
                <w:szCs w:val="19"/>
                <w:b w:val="1"/>
                <w:bCs w:val="1"/>
                <w:color w:val="231F20"/>
              </w:rPr>
              <w:t>41,065</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12%</w:t>
            </w:r>
          </w:p>
        </w:tc>
      </w:tr>
      <w:tr>
        <w:trPr>
          <w:trHeight w:val="238"/>
        </w:trPr>
        <w:tc>
          <w:tcPr>
            <w:tcW w:w="3720" w:type="dxa"/>
            <w:vAlign w:val="bottom"/>
          </w:tcPr>
          <w:p>
            <w:pPr>
              <w:ind w:left="200"/>
              <w:spacing w:after="0"/>
              <w:rPr>
                <w:sz w:val="20"/>
                <w:szCs w:val="20"/>
                <w:color w:val="auto"/>
              </w:rPr>
            </w:pPr>
            <w:r>
              <w:rPr>
                <w:rFonts w:ascii="Arial" w:cs="Arial" w:eastAsia="Arial" w:hAnsi="Arial"/>
                <w:sz w:val="19"/>
                <w:szCs w:val="19"/>
                <w:b w:val="1"/>
                <w:bCs w:val="1"/>
                <w:color w:val="231F20"/>
              </w:rPr>
              <w:t>Lease</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6,779</w:t>
            </w:r>
          </w:p>
        </w:tc>
        <w:tc>
          <w:tcPr>
            <w:tcW w:w="30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9"/>
                <w:szCs w:val="19"/>
                <w:b w:val="1"/>
                <w:bCs w:val="1"/>
                <w:color w:val="231F20"/>
              </w:rPr>
              <w:t>7,532</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(10)%</w:t>
            </w:r>
          </w:p>
        </w:tc>
      </w:tr>
      <w:tr>
        <w:trPr>
          <w:trHeight w:val="235"/>
        </w:trPr>
        <w:tc>
          <w:tcPr>
            <w:tcW w:w="3720" w:type="dxa"/>
            <w:vAlign w:val="bottom"/>
          </w:tcPr>
          <w:p>
            <w:pPr>
              <w:ind w:left="200"/>
              <w:spacing w:after="0"/>
              <w:rPr>
                <w:sz w:val="20"/>
                <w:szCs w:val="20"/>
                <w:color w:val="auto"/>
              </w:rPr>
            </w:pPr>
            <w:r>
              <w:rPr>
                <w:rFonts w:ascii="Arial" w:cs="Arial" w:eastAsia="Arial" w:hAnsi="Arial"/>
                <w:sz w:val="19"/>
                <w:szCs w:val="19"/>
                <w:b w:val="1"/>
                <w:bCs w:val="1"/>
                <w:color w:val="231F20"/>
              </w:rPr>
              <w:t>Service</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5,728</w:t>
            </w:r>
          </w:p>
        </w:tc>
        <w:tc>
          <w:tcPr>
            <w:tcW w:w="30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9"/>
                <w:szCs w:val="19"/>
                <w:b w:val="1"/>
                <w:bCs w:val="1"/>
                <w:color w:val="231F20"/>
              </w:rPr>
              <w:t>4,897</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17%</w:t>
            </w:r>
          </w:p>
        </w:tc>
      </w:tr>
      <w:tr>
        <w:trPr>
          <w:trHeight w:val="252"/>
        </w:trPr>
        <w:tc>
          <w:tcPr>
            <w:tcW w:w="3720" w:type="dxa"/>
            <w:vAlign w:val="bottom"/>
          </w:tcPr>
          <w:p>
            <w:pPr>
              <w:ind w:left="380"/>
              <w:spacing w:after="0"/>
              <w:rPr>
                <w:sz w:val="20"/>
                <w:szCs w:val="20"/>
                <w:color w:val="auto"/>
              </w:rPr>
            </w:pPr>
            <w:r>
              <w:rPr>
                <w:rFonts w:ascii="Arial" w:cs="Arial" w:eastAsia="Arial" w:hAnsi="Arial"/>
                <w:sz w:val="19"/>
                <w:szCs w:val="19"/>
                <w:b w:val="1"/>
                <w:bCs w:val="1"/>
                <w:color w:val="231F20"/>
              </w:rPr>
              <w:t>Total revenue</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58,435</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60" w:type="dxa"/>
            <w:vAlign w:val="bottom"/>
          </w:tcPr>
          <w:p>
            <w:pPr>
              <w:jc w:val="right"/>
              <w:ind w:right="25"/>
              <w:spacing w:after="0"/>
              <w:rPr>
                <w:sz w:val="20"/>
                <w:szCs w:val="20"/>
                <w:color w:val="auto"/>
              </w:rPr>
            </w:pPr>
            <w:r>
              <w:rPr>
                <w:rFonts w:ascii="Arial" w:cs="Arial" w:eastAsia="Arial" w:hAnsi="Arial"/>
                <w:sz w:val="19"/>
                <w:szCs w:val="19"/>
                <w:b w:val="1"/>
                <w:bCs w:val="1"/>
                <w:color w:val="231F20"/>
              </w:rPr>
              <w:t>53,494</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9%</w:t>
            </w:r>
          </w:p>
        </w:tc>
      </w:tr>
      <w:tr>
        <w:trPr>
          <w:trHeight w:val="516"/>
        </w:trPr>
        <w:tc>
          <w:tcPr>
            <w:tcW w:w="3720" w:type="dxa"/>
            <w:vAlign w:val="bottom"/>
          </w:tcPr>
          <w:p>
            <w:pPr>
              <w:spacing w:after="0"/>
              <w:rPr>
                <w:sz w:val="20"/>
                <w:szCs w:val="20"/>
                <w:color w:val="auto"/>
              </w:rPr>
            </w:pPr>
            <w:r>
              <w:rPr>
                <w:rFonts w:ascii="Arial" w:cs="Arial" w:eastAsia="Arial" w:hAnsi="Arial"/>
                <w:sz w:val="19"/>
                <w:szCs w:val="19"/>
                <w:b w:val="1"/>
                <w:bCs w:val="1"/>
                <w:color w:val="231F20"/>
              </w:rPr>
              <w:t>Cost of revenue (excluding intangible</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9"/>
                <w:szCs w:val="19"/>
                <w:b w:val="1"/>
                <w:bCs w:val="1"/>
                <w:color w:val="231F20"/>
              </w:rPr>
              <w:t>amortization):</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3720" w:type="dxa"/>
            <w:vAlign w:val="bottom"/>
          </w:tcPr>
          <w:p>
            <w:pPr>
              <w:ind w:left="200"/>
              <w:spacing w:after="0"/>
              <w:rPr>
                <w:sz w:val="20"/>
                <w:szCs w:val="20"/>
                <w:color w:val="auto"/>
              </w:rPr>
            </w:pPr>
            <w:r>
              <w:rPr>
                <w:rFonts w:ascii="Arial" w:cs="Arial" w:eastAsia="Arial" w:hAnsi="Arial"/>
                <w:sz w:val="19"/>
                <w:szCs w:val="19"/>
                <w:b w:val="1"/>
                <w:bCs w:val="1"/>
                <w:color w:val="231F20"/>
              </w:rPr>
              <w:t>Product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20,561</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60" w:type="dxa"/>
            <w:vAlign w:val="bottom"/>
          </w:tcPr>
          <w:p>
            <w:pPr>
              <w:jc w:val="right"/>
              <w:ind w:right="25"/>
              <w:spacing w:after="0"/>
              <w:rPr>
                <w:sz w:val="20"/>
                <w:szCs w:val="20"/>
                <w:color w:val="auto"/>
              </w:rPr>
            </w:pPr>
            <w:r>
              <w:rPr>
                <w:rFonts w:ascii="Arial" w:cs="Arial" w:eastAsia="Arial" w:hAnsi="Arial"/>
                <w:sz w:val="19"/>
                <w:szCs w:val="19"/>
                <w:b w:val="1"/>
                <w:bCs w:val="1"/>
                <w:color w:val="231F20"/>
              </w:rPr>
              <w:t>18,254</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13%</w:t>
            </w:r>
          </w:p>
        </w:tc>
      </w:tr>
      <w:tr>
        <w:trPr>
          <w:trHeight w:val="238"/>
        </w:trPr>
        <w:tc>
          <w:tcPr>
            <w:tcW w:w="3720" w:type="dxa"/>
            <w:vAlign w:val="bottom"/>
          </w:tcPr>
          <w:p>
            <w:pPr>
              <w:ind w:left="200"/>
              <w:spacing w:after="0"/>
              <w:rPr>
                <w:sz w:val="20"/>
                <w:szCs w:val="20"/>
                <w:color w:val="auto"/>
              </w:rPr>
            </w:pPr>
            <w:r>
              <w:rPr>
                <w:rFonts w:ascii="Arial" w:cs="Arial" w:eastAsia="Arial" w:hAnsi="Arial"/>
                <w:sz w:val="19"/>
                <w:szCs w:val="19"/>
                <w:b w:val="1"/>
                <w:bCs w:val="1"/>
                <w:color w:val="231F20"/>
              </w:rPr>
              <w:t>Lease</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3,515</w:t>
            </w:r>
          </w:p>
        </w:tc>
        <w:tc>
          <w:tcPr>
            <w:tcW w:w="30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9"/>
                <w:szCs w:val="19"/>
                <w:b w:val="1"/>
                <w:bCs w:val="1"/>
                <w:color w:val="231F20"/>
              </w:rPr>
              <w:t>2,930</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20%</w:t>
            </w:r>
          </w:p>
        </w:tc>
      </w:tr>
      <w:tr>
        <w:trPr>
          <w:trHeight w:val="235"/>
        </w:trPr>
        <w:tc>
          <w:tcPr>
            <w:tcW w:w="3720" w:type="dxa"/>
            <w:vAlign w:val="bottom"/>
          </w:tcPr>
          <w:p>
            <w:pPr>
              <w:ind w:left="200"/>
              <w:spacing w:after="0"/>
              <w:rPr>
                <w:sz w:val="20"/>
                <w:szCs w:val="20"/>
                <w:color w:val="auto"/>
              </w:rPr>
            </w:pPr>
            <w:r>
              <w:rPr>
                <w:rFonts w:ascii="Arial" w:cs="Arial" w:eastAsia="Arial" w:hAnsi="Arial"/>
                <w:sz w:val="19"/>
                <w:szCs w:val="19"/>
                <w:b w:val="1"/>
                <w:bCs w:val="1"/>
                <w:color w:val="231F20"/>
              </w:rPr>
              <w:t>Service</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7,237</w:t>
            </w:r>
          </w:p>
        </w:tc>
        <w:tc>
          <w:tcPr>
            <w:tcW w:w="30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9"/>
                <w:szCs w:val="19"/>
                <w:b w:val="1"/>
                <w:bCs w:val="1"/>
                <w:color w:val="231F20"/>
              </w:rPr>
              <w:t>6,459</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12%</w:t>
            </w:r>
          </w:p>
        </w:tc>
      </w:tr>
      <w:tr>
        <w:trPr>
          <w:trHeight w:val="252"/>
        </w:trPr>
        <w:tc>
          <w:tcPr>
            <w:tcW w:w="3720" w:type="dxa"/>
            <w:vAlign w:val="bottom"/>
          </w:tcPr>
          <w:p>
            <w:pPr>
              <w:ind w:left="380"/>
              <w:spacing w:after="0"/>
              <w:rPr>
                <w:sz w:val="20"/>
                <w:szCs w:val="20"/>
                <w:color w:val="auto"/>
              </w:rPr>
            </w:pPr>
            <w:r>
              <w:rPr>
                <w:rFonts w:ascii="Arial" w:cs="Arial" w:eastAsia="Arial" w:hAnsi="Arial"/>
                <w:sz w:val="19"/>
                <w:szCs w:val="19"/>
                <w:b w:val="1"/>
                <w:bCs w:val="1"/>
                <w:color w:val="231F20"/>
              </w:rPr>
              <w:t>Total cost of revenue</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31,313</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60" w:type="dxa"/>
            <w:vAlign w:val="bottom"/>
          </w:tcPr>
          <w:p>
            <w:pPr>
              <w:jc w:val="right"/>
              <w:ind w:right="25"/>
              <w:spacing w:after="0"/>
              <w:rPr>
                <w:sz w:val="20"/>
                <w:szCs w:val="20"/>
                <w:color w:val="auto"/>
              </w:rPr>
            </w:pPr>
            <w:r>
              <w:rPr>
                <w:rFonts w:ascii="Arial" w:cs="Arial" w:eastAsia="Arial" w:hAnsi="Arial"/>
                <w:sz w:val="19"/>
                <w:szCs w:val="19"/>
                <w:b w:val="1"/>
                <w:bCs w:val="1"/>
                <w:color w:val="231F20"/>
              </w:rPr>
              <w:t>27,643</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-1992630</wp:posOffset>
            </wp:positionV>
            <wp:extent cx="4926330" cy="2035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26330" cy="2035810"/>
                    </a:xfrm>
                    <a:prstGeom prst="rect">
                      <a:avLst/>
                    </a:prstGeom>
                    <a:noFill/>
                  </pic:spPr>
                </pic:pic>
              </a:graphicData>
            </a:graphic>
          </wp:anchor>
        </w:drawing>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Revenue</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Total revenue for the year ended December 31, 2025 was $58.4 million, an increase of 9% when compared to total revenue of $53.5 million for the year ended December 31, 2024.</w:t>
      </w:r>
    </w:p>
    <w:p>
      <w:pPr>
        <w:spacing w:after="0" w:line="244"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Product revenue for the year ended December 31, 2025 compared to the year ended December 31, 2024 increased by $4.9 million, or 12%. The increase was primarily attributable to increased procedure volume, which amounted to a $6.1 million increase, offset by lower Systems sales, which amounted to a $1.2 million decrease, during the year</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83</w:t>
      </w:r>
    </w:p>
    <w:p>
      <w:pPr>
        <w:sectPr>
          <w:pgSz w:w="12240" w:h="15840" w:orient="portrait"/>
          <w:cols w:equalWidth="0" w:num="1">
            <w:col w:w="9360"/>
          </w:cols>
          <w:pgMar w:left="1440" w:top="1440" w:right="1440" w:bottom="390" w:gutter="0" w:footer="0" w:header="0"/>
          <w:type w:val="continuous"/>
        </w:sectPr>
      </w:pPr>
    </w:p>
    <w:bookmarkStart w:id="85" w:name="page86"/>
    <w:bookmarkEnd w:id="85"/>
    <w:p>
      <w:pPr>
        <w:spacing w:after="0" w:line="201"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ended December 31, 2025. Placements of our Systems, especially outside the U.S., was negatively impacted by the twelve-month disruption we experienced while operating under the previously contemplated acquisition by Alcon. We expect to return to a more normal System placement cadence, but this may take several quarters.</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following table provides information about procedure volume:</w:t>
      </w:r>
    </w:p>
    <w:p>
      <w:pPr>
        <w:spacing w:after="0" w:line="113"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2140" w:type="dxa"/>
            <w:vAlign w:val="bottom"/>
          </w:tcPr>
          <w:p>
            <w:pPr>
              <w:jc w:val="right"/>
              <w:ind w:right="386"/>
              <w:spacing w:after="0"/>
              <w:rPr>
                <w:sz w:val="20"/>
                <w:szCs w:val="20"/>
                <w:color w:val="auto"/>
              </w:rPr>
            </w:pPr>
            <w:r>
              <w:rPr>
                <w:rFonts w:ascii="Arial" w:cs="Arial" w:eastAsia="Arial" w:hAnsi="Arial"/>
                <w:sz w:val="16"/>
                <w:szCs w:val="16"/>
                <w:b w:val="1"/>
                <w:bCs w:val="1"/>
                <w:color w:val="231F20"/>
              </w:rPr>
              <w:t>2025</w:t>
            </w:r>
          </w:p>
        </w:tc>
        <w:tc>
          <w:tcPr>
            <w:tcW w:w="1020" w:type="dxa"/>
            <w:vAlign w:val="bottom"/>
          </w:tcPr>
          <w:p>
            <w:pPr>
              <w:jc w:val="right"/>
              <w:ind w:right="366"/>
              <w:spacing w:after="0"/>
              <w:rPr>
                <w:sz w:val="20"/>
                <w:szCs w:val="20"/>
                <w:color w:val="auto"/>
              </w:rPr>
            </w:pPr>
            <w:r>
              <w:rPr>
                <w:rFonts w:ascii="Arial" w:cs="Arial" w:eastAsia="Arial" w:hAnsi="Arial"/>
                <w:sz w:val="16"/>
                <w:szCs w:val="16"/>
                <w:b w:val="1"/>
                <w:bCs w:val="1"/>
                <w:color w:val="231F20"/>
              </w:rPr>
              <w:t>2024</w:t>
            </w:r>
          </w:p>
        </w:tc>
        <w:tc>
          <w:tcPr>
            <w:tcW w:w="840" w:type="dxa"/>
            <w:vAlign w:val="bottom"/>
          </w:tcPr>
          <w:p>
            <w:pPr>
              <w:jc w:val="right"/>
              <w:ind w:right="186"/>
              <w:spacing w:after="0"/>
              <w:rPr>
                <w:sz w:val="20"/>
                <w:szCs w:val="20"/>
                <w:color w:val="auto"/>
              </w:rPr>
            </w:pPr>
            <w:r>
              <w:rPr>
                <w:rFonts w:ascii="Arial" w:cs="Arial" w:eastAsia="Arial" w:hAnsi="Arial"/>
                <w:sz w:val="16"/>
                <w:szCs w:val="16"/>
                <w:b w:val="1"/>
                <w:bCs w:val="1"/>
                <w:color w:val="231F20"/>
              </w:rPr>
              <w:t>2023</w:t>
            </w:r>
          </w:p>
        </w:tc>
      </w:tr>
      <w:tr>
        <w:trPr>
          <w:trHeight w:val="236"/>
        </w:trPr>
        <w:tc>
          <w:tcPr>
            <w:tcW w:w="3200" w:type="dxa"/>
            <w:vAlign w:val="bottom"/>
          </w:tcPr>
          <w:p>
            <w:pPr>
              <w:spacing w:after="0"/>
              <w:rPr>
                <w:sz w:val="20"/>
                <w:szCs w:val="20"/>
                <w:color w:val="auto"/>
              </w:rPr>
            </w:pPr>
            <w:r>
              <w:rPr>
                <w:rFonts w:ascii="Arial" w:cs="Arial" w:eastAsia="Arial" w:hAnsi="Arial"/>
                <w:sz w:val="19"/>
                <w:szCs w:val="19"/>
                <w:b w:val="1"/>
                <w:bCs w:val="1"/>
                <w:color w:val="231F20"/>
              </w:rPr>
              <w:t>Q1</w:t>
            </w:r>
          </w:p>
        </w:tc>
        <w:tc>
          <w:tcPr>
            <w:tcW w:w="2140" w:type="dxa"/>
            <w:vAlign w:val="bottom"/>
          </w:tcPr>
          <w:p>
            <w:pPr>
              <w:jc w:val="right"/>
              <w:ind w:right="106"/>
              <w:spacing w:after="0"/>
              <w:rPr>
                <w:sz w:val="20"/>
                <w:szCs w:val="20"/>
                <w:color w:val="auto"/>
              </w:rPr>
            </w:pPr>
            <w:r>
              <w:rPr>
                <w:rFonts w:ascii="Arial" w:cs="Arial" w:eastAsia="Arial" w:hAnsi="Arial"/>
                <w:sz w:val="19"/>
                <w:szCs w:val="19"/>
                <w:b w:val="1"/>
                <w:bCs w:val="1"/>
                <w:color w:val="231F20"/>
              </w:rPr>
              <w:t>52,347</w:t>
            </w:r>
          </w:p>
        </w:tc>
        <w:tc>
          <w:tcPr>
            <w:tcW w:w="1020" w:type="dxa"/>
            <w:vAlign w:val="bottom"/>
          </w:tcPr>
          <w:p>
            <w:pPr>
              <w:jc w:val="right"/>
              <w:ind w:right="86"/>
              <w:spacing w:after="0"/>
              <w:rPr>
                <w:sz w:val="20"/>
                <w:szCs w:val="20"/>
                <w:color w:val="auto"/>
              </w:rPr>
            </w:pPr>
            <w:r>
              <w:rPr>
                <w:rFonts w:ascii="Arial" w:cs="Arial" w:eastAsia="Arial" w:hAnsi="Arial"/>
                <w:sz w:val="19"/>
                <w:szCs w:val="19"/>
                <w:b w:val="1"/>
                <w:bCs w:val="1"/>
                <w:color w:val="231F20"/>
              </w:rPr>
              <w:t>39,486</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31,600</w:t>
            </w:r>
          </w:p>
        </w:tc>
      </w:tr>
      <w:tr>
        <w:trPr>
          <w:trHeight w:val="223"/>
        </w:trPr>
        <w:tc>
          <w:tcPr>
            <w:tcW w:w="3200" w:type="dxa"/>
            <w:vAlign w:val="bottom"/>
          </w:tcPr>
          <w:p>
            <w:pPr>
              <w:spacing w:after="0"/>
              <w:rPr>
                <w:sz w:val="20"/>
                <w:szCs w:val="20"/>
                <w:color w:val="auto"/>
              </w:rPr>
            </w:pPr>
            <w:r>
              <w:rPr>
                <w:rFonts w:ascii="Arial" w:cs="Arial" w:eastAsia="Arial" w:hAnsi="Arial"/>
                <w:sz w:val="19"/>
                <w:szCs w:val="19"/>
                <w:b w:val="1"/>
                <w:bCs w:val="1"/>
                <w:color w:val="231F20"/>
              </w:rPr>
              <w:t>Q2</w:t>
            </w:r>
          </w:p>
        </w:tc>
        <w:tc>
          <w:tcPr>
            <w:tcW w:w="2140" w:type="dxa"/>
            <w:vAlign w:val="bottom"/>
          </w:tcPr>
          <w:p>
            <w:pPr>
              <w:jc w:val="right"/>
              <w:ind w:right="106"/>
              <w:spacing w:after="0"/>
              <w:rPr>
                <w:sz w:val="20"/>
                <w:szCs w:val="20"/>
                <w:color w:val="auto"/>
              </w:rPr>
            </w:pPr>
            <w:r>
              <w:rPr>
                <w:rFonts w:ascii="Arial" w:cs="Arial" w:eastAsia="Arial" w:hAnsi="Arial"/>
                <w:sz w:val="19"/>
                <w:szCs w:val="19"/>
                <w:b w:val="1"/>
                <w:bCs w:val="1"/>
                <w:color w:val="231F20"/>
              </w:rPr>
              <w:t>52,100</w:t>
            </w:r>
          </w:p>
        </w:tc>
        <w:tc>
          <w:tcPr>
            <w:tcW w:w="1020" w:type="dxa"/>
            <w:vAlign w:val="bottom"/>
          </w:tcPr>
          <w:p>
            <w:pPr>
              <w:jc w:val="right"/>
              <w:ind w:right="86"/>
              <w:spacing w:after="0"/>
              <w:rPr>
                <w:sz w:val="20"/>
                <w:szCs w:val="20"/>
                <w:color w:val="auto"/>
              </w:rPr>
            </w:pPr>
            <w:r>
              <w:rPr>
                <w:rFonts w:ascii="Arial" w:cs="Arial" w:eastAsia="Arial" w:hAnsi="Arial"/>
                <w:sz w:val="19"/>
                <w:szCs w:val="19"/>
                <w:b w:val="1"/>
                <w:bCs w:val="1"/>
                <w:color w:val="231F20"/>
              </w:rPr>
              <w:t>42,203</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35,349</w:t>
            </w:r>
          </w:p>
        </w:tc>
      </w:tr>
      <w:tr>
        <w:trPr>
          <w:trHeight w:val="223"/>
        </w:trPr>
        <w:tc>
          <w:tcPr>
            <w:tcW w:w="3200" w:type="dxa"/>
            <w:vAlign w:val="bottom"/>
          </w:tcPr>
          <w:p>
            <w:pPr>
              <w:spacing w:after="0"/>
              <w:rPr>
                <w:sz w:val="20"/>
                <w:szCs w:val="20"/>
                <w:color w:val="auto"/>
              </w:rPr>
            </w:pPr>
            <w:r>
              <w:rPr>
                <w:rFonts w:ascii="Arial" w:cs="Arial" w:eastAsia="Arial" w:hAnsi="Arial"/>
                <w:sz w:val="19"/>
                <w:szCs w:val="19"/>
                <w:b w:val="1"/>
                <w:bCs w:val="1"/>
                <w:color w:val="231F20"/>
              </w:rPr>
              <w:t>Q3</w:t>
            </w:r>
          </w:p>
        </w:tc>
        <w:tc>
          <w:tcPr>
            <w:tcW w:w="2140" w:type="dxa"/>
            <w:vAlign w:val="bottom"/>
          </w:tcPr>
          <w:p>
            <w:pPr>
              <w:jc w:val="right"/>
              <w:ind w:right="106"/>
              <w:spacing w:after="0"/>
              <w:rPr>
                <w:sz w:val="20"/>
                <w:szCs w:val="20"/>
                <w:color w:val="auto"/>
              </w:rPr>
            </w:pPr>
            <w:r>
              <w:rPr>
                <w:rFonts w:ascii="Arial" w:cs="Arial" w:eastAsia="Arial" w:hAnsi="Arial"/>
                <w:sz w:val="19"/>
                <w:szCs w:val="19"/>
                <w:b w:val="1"/>
                <w:bCs w:val="1"/>
                <w:color w:val="231F20"/>
              </w:rPr>
              <w:t>46,811</w:t>
            </w:r>
          </w:p>
        </w:tc>
        <w:tc>
          <w:tcPr>
            <w:tcW w:w="1020" w:type="dxa"/>
            <w:vAlign w:val="bottom"/>
          </w:tcPr>
          <w:p>
            <w:pPr>
              <w:jc w:val="right"/>
              <w:ind w:right="86"/>
              <w:spacing w:after="0"/>
              <w:rPr>
                <w:sz w:val="20"/>
                <w:szCs w:val="20"/>
                <w:color w:val="auto"/>
              </w:rPr>
            </w:pPr>
            <w:r>
              <w:rPr>
                <w:rFonts w:ascii="Arial" w:cs="Arial" w:eastAsia="Arial" w:hAnsi="Arial"/>
                <w:sz w:val="19"/>
                <w:szCs w:val="19"/>
                <w:b w:val="1"/>
                <w:bCs w:val="1"/>
                <w:color w:val="231F20"/>
              </w:rPr>
              <w:t>42,231</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32,649</w:t>
            </w:r>
          </w:p>
        </w:tc>
      </w:tr>
      <w:tr>
        <w:trPr>
          <w:trHeight w:val="223"/>
        </w:trPr>
        <w:tc>
          <w:tcPr>
            <w:tcW w:w="3200" w:type="dxa"/>
            <w:vAlign w:val="bottom"/>
          </w:tcPr>
          <w:p>
            <w:pPr>
              <w:spacing w:after="0"/>
              <w:rPr>
                <w:sz w:val="20"/>
                <w:szCs w:val="20"/>
                <w:color w:val="auto"/>
              </w:rPr>
            </w:pPr>
            <w:r>
              <w:rPr>
                <w:rFonts w:ascii="Arial" w:cs="Arial" w:eastAsia="Arial" w:hAnsi="Arial"/>
                <w:sz w:val="19"/>
                <w:szCs w:val="19"/>
                <w:b w:val="1"/>
                <w:bCs w:val="1"/>
                <w:color w:val="231F20"/>
              </w:rPr>
              <w:t>Q4</w:t>
            </w:r>
          </w:p>
        </w:tc>
        <w:tc>
          <w:tcPr>
            <w:tcW w:w="2140" w:type="dxa"/>
            <w:vAlign w:val="bottom"/>
          </w:tcPr>
          <w:p>
            <w:pPr>
              <w:jc w:val="right"/>
              <w:ind w:right="106"/>
              <w:spacing w:after="0"/>
              <w:rPr>
                <w:sz w:val="20"/>
                <w:szCs w:val="20"/>
                <w:color w:val="auto"/>
              </w:rPr>
            </w:pPr>
            <w:r>
              <w:rPr>
                <w:rFonts w:ascii="Arial" w:cs="Arial" w:eastAsia="Arial" w:hAnsi="Arial"/>
                <w:sz w:val="19"/>
                <w:szCs w:val="19"/>
                <w:b w:val="1"/>
                <w:bCs w:val="1"/>
                <w:color w:val="231F20"/>
              </w:rPr>
              <w:t>54,756</w:t>
            </w:r>
          </w:p>
        </w:tc>
        <w:tc>
          <w:tcPr>
            <w:tcW w:w="1020" w:type="dxa"/>
            <w:vAlign w:val="bottom"/>
          </w:tcPr>
          <w:p>
            <w:pPr>
              <w:jc w:val="right"/>
              <w:ind w:right="86"/>
              <w:spacing w:after="0"/>
              <w:rPr>
                <w:sz w:val="20"/>
                <w:szCs w:val="20"/>
                <w:color w:val="auto"/>
              </w:rPr>
            </w:pPr>
            <w:r>
              <w:rPr>
                <w:rFonts w:ascii="Arial" w:cs="Arial" w:eastAsia="Arial" w:hAnsi="Arial"/>
                <w:sz w:val="19"/>
                <w:szCs w:val="19"/>
                <w:b w:val="1"/>
                <w:bCs w:val="1"/>
                <w:color w:val="231F20"/>
              </w:rPr>
              <w:t>45,586</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37,414</w:t>
            </w:r>
          </w:p>
        </w:tc>
      </w:tr>
      <w:tr>
        <w:trPr>
          <w:trHeight w:val="238"/>
        </w:trPr>
        <w:tc>
          <w:tcPr>
            <w:tcW w:w="3200" w:type="dxa"/>
            <w:vAlign w:val="bottom"/>
          </w:tcPr>
          <w:p>
            <w:pPr>
              <w:spacing w:after="0"/>
              <w:rPr>
                <w:sz w:val="20"/>
                <w:szCs w:val="20"/>
                <w:color w:val="auto"/>
              </w:rPr>
            </w:pPr>
            <w:r>
              <w:rPr>
                <w:rFonts w:ascii="Arial" w:cs="Arial" w:eastAsia="Arial" w:hAnsi="Arial"/>
                <w:sz w:val="19"/>
                <w:szCs w:val="19"/>
                <w:b w:val="1"/>
                <w:bCs w:val="1"/>
                <w:color w:val="231F20"/>
              </w:rPr>
              <w:t>Total procedure volume</w:t>
            </w:r>
          </w:p>
        </w:tc>
        <w:tc>
          <w:tcPr>
            <w:tcW w:w="2140" w:type="dxa"/>
            <w:vAlign w:val="bottom"/>
          </w:tcPr>
          <w:p>
            <w:pPr>
              <w:jc w:val="right"/>
              <w:ind w:right="106"/>
              <w:spacing w:after="0"/>
              <w:rPr>
                <w:sz w:val="20"/>
                <w:szCs w:val="20"/>
                <w:color w:val="auto"/>
              </w:rPr>
            </w:pPr>
            <w:r>
              <w:rPr>
                <w:rFonts w:ascii="Arial" w:cs="Arial" w:eastAsia="Arial" w:hAnsi="Arial"/>
                <w:sz w:val="19"/>
                <w:szCs w:val="19"/>
                <w:b w:val="1"/>
                <w:bCs w:val="1"/>
                <w:color w:val="231F20"/>
              </w:rPr>
              <w:t>206,014</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231F20"/>
              </w:rPr>
              <w:t>169,506</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137,012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-738505</wp:posOffset>
            </wp:positionV>
            <wp:extent cx="4639945" cy="781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39945" cy="781050"/>
                    </a:xfrm>
                    <a:prstGeom prst="rect">
                      <a:avLst/>
                    </a:prstGeom>
                    <a:noFill/>
                  </pic:spPr>
                </pic:pic>
              </a:graphicData>
            </a:graphic>
          </wp:anchor>
        </w:drawing>
      </w:r>
    </w:p>
    <w:p>
      <w:pPr>
        <w:spacing w:after="0" w:line="266"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Service revenue for the year ended December 31, 2025 compared to the year ended December 31, 2024 increased by $0.8 million. This increase was primarily attributable to the increased number of Systems placements.</w:t>
      </w:r>
    </w:p>
    <w:p>
      <w:pPr>
        <w:spacing w:after="0" w:line="17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Geographically, the United States represented 66% and 63% of product and service revenues for the years ended December 31, 2025 and 2024, respectively.</w:t>
      </w:r>
    </w:p>
    <w:p>
      <w:pPr>
        <w:spacing w:after="0" w:line="244"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Lease revenue for the year ended December 31, 2025 compared to the year ended December 31, 2024 decreased by $0.8 million, or 10%, primarily due to decreased leased LLS. Lease revenue is generated by Systems placements, primarily in the United States.</w:t>
      </w:r>
    </w:p>
    <w:p>
      <w:pPr>
        <w:spacing w:after="0" w:line="241"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U.S. government has recently implemented significant changes in U.S. trade policy and taken certain actions that have impacted our business, including imposing tariffs on certain goods imported into the United States. Some of these changes have triggered retaliatory actions by affected countries that could negatively impact demand for our products in these regions. The imposition of tariffs have increased the cost of the raw materials used in our ALLY Systems and PIDs. To date, we have not increased sales prices to our customers resulting in a reduction in our gross margin.</w:t>
      </w:r>
    </w:p>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Cost of Revenue</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Total cost of revenue for the year ended December 31, 2025 was $31.3 million, an increase of 13% when compared to total cost of revenue of $27.6 million for the year ended December 31, 2024.</w:t>
      </w:r>
    </w:p>
    <w:p>
      <w:pPr>
        <w:spacing w:after="0" w:line="244"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Cost of product revenue for the year ended December 31, 2025 compared to the year ended December 31, 2024 increased by $2.3 million, or 13%. The increase was primarily attributable to the number of Systems sales, which have a lower gross margin than procedure licenses.</w:t>
      </w:r>
    </w:p>
    <w:p>
      <w:pPr>
        <w:spacing w:after="0" w:line="239"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We import certain raw materials for our ALLY System and PIDs from regions that have been impacted by the tariffs imposed by the U.S. government. Tariff policies have resulted in an overall increase in the cost of our products by at least 10% and had a negative impact to our gross profit margin.</w:t>
      </w:r>
    </w:p>
    <w:p>
      <w:pPr>
        <w:spacing w:after="0" w:line="22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Cost of service revenue for the year ended December 31, 2025 compared to the year ended December 31, 2024 increased by $0.8 million, or 12%. This increase was primarily attributable to the increased number of Systems placements.</w:t>
      </w:r>
    </w:p>
    <w:p>
      <w:pPr>
        <w:spacing w:after="0" w:line="241"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Cost of lease revenue for the year ended December 31, 2025 compared to the year ended December 31, 2024 increased by $0.6 million, or 20%, primarily due to an increase in the number of newly leased Systems between the years, which have a higher depreciation cost than older and some fully depreciated leased Systems.</w:t>
      </w:r>
    </w:p>
    <w:p>
      <w:pPr>
        <w:spacing w:after="0" w:line="32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Operating Expenses</w:t>
      </w:r>
    </w:p>
    <w:p>
      <w:pPr>
        <w:spacing w:after="0" w:line="125"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Selling, General and Administrative. Selling, general and administrative expenses for the year ended December 31, 2025 were $45.2 million, an increase of $18.7 million, or 70%, compared to $26.5 million for the year ended December 31, 2024. General and administrative expenses increased in the year ended December 31, 2025 due to</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84</w:t>
      </w:r>
    </w:p>
    <w:p>
      <w:pPr>
        <w:sectPr>
          <w:pgSz w:w="12240" w:h="15840" w:orient="portrait"/>
          <w:cols w:equalWidth="0" w:num="1">
            <w:col w:w="9360"/>
          </w:cols>
          <w:pgMar w:left="1440" w:top="1440" w:right="1440" w:bottom="390" w:gutter="0" w:footer="0" w:header="0"/>
          <w:type w:val="continuous"/>
        </w:sectPr>
      </w:pPr>
    </w:p>
    <w:bookmarkStart w:id="86" w:name="page87"/>
    <w:bookmarkEnd w:id="86"/>
    <w:p>
      <w:pPr>
        <w:spacing w:after="0" w:line="201"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acquisition-related costs of approximately $17.1 million incurred in conjunction with the previously contemplated Merger with Alcon and increased selling and marketing expenses supporting the continued ALLY System growth in placements and procedures. We expect our selling and marketing expenses will continue to increase in the future to support the continued growth in ALLY System placements.</w:t>
      </w:r>
    </w:p>
    <w:p>
      <w:pPr>
        <w:spacing w:after="0" w:line="22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Research and Development. Research and development expenses were $5.6 million for the year ended December 31, 2025, an increase of $0.3 million, or 5%, compared to $5.3 million for the year ended December 31, 2024.</w:t>
      </w:r>
    </w:p>
    <w:p>
      <w:pPr>
        <w:spacing w:after="0" w:line="242" w:lineRule="exact"/>
        <w:rPr>
          <w:sz w:val="20"/>
          <w:szCs w:val="20"/>
          <w:color w:val="auto"/>
        </w:rPr>
      </w:pPr>
    </w:p>
    <w:p>
      <w:pPr>
        <w:jc w:val="both"/>
        <w:ind w:left="140" w:right="140"/>
        <w:spacing w:after="0" w:line="265" w:lineRule="auto"/>
        <w:rPr>
          <w:sz w:val="20"/>
          <w:szCs w:val="20"/>
          <w:color w:val="auto"/>
        </w:rPr>
      </w:pPr>
      <w:r>
        <w:rPr>
          <w:rFonts w:ascii="Arial" w:cs="Arial" w:eastAsia="Arial" w:hAnsi="Arial"/>
          <w:sz w:val="18"/>
          <w:szCs w:val="18"/>
          <w:b w:val="1"/>
          <w:bCs w:val="1"/>
          <w:color w:val="231F20"/>
        </w:rPr>
        <w:t>Amortization of Intangible Assets. Amortization of intangible assets was approximately $0.9 million for the year ended December 31, 2025, which was consistent with the year ended December 31, 2024.</w:t>
      </w:r>
    </w:p>
    <w:p>
      <w:pPr>
        <w:spacing w:after="0" w:line="222"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Impairment of Intangible Assets. In April 2024, the Company notified its third-party supplier of the phacoemulsification component in the ALLY System the Company would no longer pursue integration with the supplier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phacoemulsification unit. This resulted in a triggering event impacting certain acquired technology intangible assets and contract liabilities associated with the phacoemulsification component. During the year ended December 31, 2024, the Company determined that the carrying value of the intangible assets exceeded the estimated recoverable amount and recorded an impairment of intangible assets of $3.9 million. The impairment charge was offset with the write-off of contract liabilities associated with the intangible assets of $0.2 million.</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Non-Operating Income and Expense, Net</w:t>
      </w:r>
    </w:p>
    <w:p>
      <w:pPr>
        <w:spacing w:after="0" w:line="12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Non-operating income and expenses, net for the year ended December 31, 2025 were $9.7 million as compared to $20.7 million for the year ended December 31, 2024. Non-operating income and expenses consisted primarily of the change in fair value of warrant liabilities in each period.</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Non-GAAP Financial Measures</w:t>
      </w:r>
    </w:p>
    <w:p>
      <w:pPr>
        <w:spacing w:after="0" w:line="12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years ended December 31, 2025 and 2024.</w:t>
      </w:r>
    </w:p>
    <w:p>
      <w:pPr>
        <w:spacing w:after="0" w:line="143"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80" w:type="dxa"/>
            <w:vAlign w:val="bottom"/>
            <w:gridSpan w:val="3"/>
          </w:tcPr>
          <w:p>
            <w:pPr>
              <w:jc w:val="right"/>
              <w:ind w:right="265"/>
              <w:spacing w:after="0"/>
              <w:rPr>
                <w:sz w:val="20"/>
                <w:szCs w:val="20"/>
                <w:color w:val="auto"/>
              </w:rPr>
            </w:pPr>
            <w:r>
              <w:rPr>
                <w:rFonts w:ascii="Arial" w:cs="Arial" w:eastAsia="Arial" w:hAnsi="Arial"/>
                <w:sz w:val="16"/>
                <w:szCs w:val="16"/>
                <w:b w:val="1"/>
                <w:bCs w:val="1"/>
                <w:color w:val="231F20"/>
                <w:w w:val="91"/>
              </w:rPr>
              <w:t>Year Ended December 31,</w:t>
            </w:r>
          </w:p>
        </w:tc>
      </w:tr>
      <w:tr>
        <w:trPr>
          <w:trHeight w:val="206"/>
        </w:trPr>
        <w:tc>
          <w:tcPr>
            <w:tcW w:w="4280" w:type="dxa"/>
            <w:vAlign w:val="bottom"/>
          </w:tcPr>
          <w:p>
            <w:pPr>
              <w:spacing w:after="0"/>
              <w:rPr>
                <w:sz w:val="20"/>
                <w:szCs w:val="20"/>
                <w:color w:val="auto"/>
              </w:rPr>
            </w:pPr>
            <w:r>
              <w:rPr>
                <w:rFonts w:ascii="Arial" w:cs="Arial" w:eastAsia="Arial" w:hAnsi="Arial"/>
                <w:sz w:val="16"/>
                <w:szCs w:val="16"/>
                <w:b w:val="1"/>
                <w:bCs w:val="1"/>
                <w:color w:val="231F20"/>
              </w:rPr>
              <w:t>(Dollars in thousands)</w:t>
            </w:r>
          </w:p>
        </w:tc>
        <w:tc>
          <w:tcPr>
            <w:tcW w:w="800" w:type="dxa"/>
            <w:vAlign w:val="bottom"/>
          </w:tcPr>
          <w:p>
            <w:pPr>
              <w:spacing w:after="0"/>
              <w:rPr>
                <w:sz w:val="17"/>
                <w:szCs w:val="17"/>
                <w:color w:val="auto"/>
              </w:rPr>
            </w:pPr>
          </w:p>
        </w:tc>
        <w:tc>
          <w:tcPr>
            <w:tcW w:w="1000" w:type="dxa"/>
            <w:vAlign w:val="bottom"/>
          </w:tcPr>
          <w:p>
            <w:pPr>
              <w:jc w:val="right"/>
              <w:ind w:right="406"/>
              <w:spacing w:after="0"/>
              <w:rPr>
                <w:sz w:val="20"/>
                <w:szCs w:val="20"/>
                <w:color w:val="auto"/>
              </w:rPr>
            </w:pPr>
            <w:r>
              <w:rPr>
                <w:rFonts w:ascii="Arial" w:cs="Arial" w:eastAsia="Arial" w:hAnsi="Arial"/>
                <w:sz w:val="16"/>
                <w:szCs w:val="16"/>
                <w:b w:val="1"/>
                <w:bCs w:val="1"/>
                <w:color w:val="231F20"/>
              </w:rPr>
              <w:t>2025</w:t>
            </w:r>
          </w:p>
        </w:tc>
        <w:tc>
          <w:tcPr>
            <w:tcW w:w="280" w:type="dxa"/>
            <w:vAlign w:val="bottom"/>
          </w:tcPr>
          <w:p>
            <w:pPr>
              <w:spacing w:after="0"/>
              <w:rPr>
                <w:sz w:val="17"/>
                <w:szCs w:val="17"/>
                <w:color w:val="auto"/>
              </w:rPr>
            </w:pPr>
          </w:p>
        </w:tc>
        <w:tc>
          <w:tcPr>
            <w:tcW w:w="900" w:type="dxa"/>
            <w:vAlign w:val="bottom"/>
          </w:tcPr>
          <w:p>
            <w:pPr>
              <w:jc w:val="right"/>
              <w:ind w:right="345"/>
              <w:spacing w:after="0"/>
              <w:rPr>
                <w:sz w:val="20"/>
                <w:szCs w:val="20"/>
                <w:color w:val="auto"/>
              </w:rPr>
            </w:pPr>
            <w:r>
              <w:rPr>
                <w:rFonts w:ascii="Arial" w:cs="Arial" w:eastAsia="Arial" w:hAnsi="Arial"/>
                <w:sz w:val="16"/>
                <w:szCs w:val="16"/>
                <w:b w:val="1"/>
                <w:bCs w:val="1"/>
                <w:color w:val="231F20"/>
              </w:rPr>
              <w:t>2024</w:t>
            </w:r>
          </w:p>
        </w:tc>
      </w:tr>
      <w:tr>
        <w:trPr>
          <w:trHeight w:val="251"/>
        </w:trPr>
        <w:tc>
          <w:tcPr>
            <w:tcW w:w="428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r>
        <w:trPr>
          <w:trHeight w:val="238"/>
        </w:trPr>
        <w:tc>
          <w:tcPr>
            <w:tcW w:w="4280" w:type="dxa"/>
            <w:vAlign w:val="bottom"/>
          </w:tcPr>
          <w:p>
            <w:pPr>
              <w:spacing w:after="0"/>
              <w:rPr>
                <w:sz w:val="20"/>
                <w:szCs w:val="20"/>
                <w:color w:val="auto"/>
              </w:rPr>
            </w:pPr>
            <w:r>
              <w:rPr>
                <w:rFonts w:ascii="Arial" w:cs="Arial" w:eastAsia="Arial" w:hAnsi="Arial"/>
                <w:sz w:val="19"/>
                <w:szCs w:val="19"/>
                <w:b w:val="1"/>
                <w:bCs w:val="1"/>
                <w:color w:val="231F20"/>
              </w:rPr>
              <w:t>Less: Interest income</w:t>
            </w:r>
          </w:p>
        </w:tc>
        <w:tc>
          <w:tcPr>
            <w:tcW w:w="8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(636)</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(660)</w:t>
            </w:r>
          </w:p>
        </w:tc>
      </w:tr>
      <w:tr>
        <w:trPr>
          <w:trHeight w:val="235"/>
        </w:trPr>
        <w:tc>
          <w:tcPr>
            <w:tcW w:w="4280" w:type="dxa"/>
            <w:vAlign w:val="bottom"/>
          </w:tcPr>
          <w:p>
            <w:pPr>
              <w:spacing w:after="0"/>
              <w:rPr>
                <w:sz w:val="20"/>
                <w:szCs w:val="20"/>
                <w:color w:val="auto"/>
              </w:rPr>
            </w:pPr>
            <w:r>
              <w:rPr>
                <w:rFonts w:ascii="Arial" w:cs="Arial" w:eastAsia="Arial" w:hAnsi="Arial"/>
                <w:sz w:val="19"/>
                <w:szCs w:val="19"/>
                <w:b w:val="1"/>
                <w:bCs w:val="1"/>
                <w:color w:val="231F20"/>
              </w:rPr>
              <w:t>Add: Depreciation expense</w:t>
            </w:r>
          </w:p>
        </w:tc>
        <w:tc>
          <w:tcPr>
            <w:tcW w:w="80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9"/>
                <w:szCs w:val="19"/>
                <w:b w:val="1"/>
                <w:bCs w:val="1"/>
                <w:color w:val="231F20"/>
              </w:rPr>
              <w:t>3,581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2,961</w:t>
            </w:r>
          </w:p>
        </w:tc>
      </w:tr>
      <w:tr>
        <w:trPr>
          <w:trHeight w:val="238"/>
        </w:trPr>
        <w:tc>
          <w:tcPr>
            <w:tcW w:w="4280" w:type="dxa"/>
            <w:vAlign w:val="bottom"/>
          </w:tcPr>
          <w:p>
            <w:pPr>
              <w:spacing w:after="0"/>
              <w:rPr>
                <w:sz w:val="20"/>
                <w:szCs w:val="20"/>
                <w:color w:val="auto"/>
              </w:rPr>
            </w:pPr>
            <w:r>
              <w:rPr>
                <w:rFonts w:ascii="Arial" w:cs="Arial" w:eastAsia="Arial" w:hAnsi="Arial"/>
                <w:sz w:val="19"/>
                <w:szCs w:val="19"/>
                <w:b w:val="1"/>
                <w:bCs w:val="1"/>
                <w:color w:val="231F20"/>
              </w:rPr>
              <w:t>Add: Amortization expense</w:t>
            </w:r>
          </w:p>
        </w:tc>
        <w:tc>
          <w:tcPr>
            <w:tcW w:w="80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9"/>
                <w:szCs w:val="19"/>
                <w:b w:val="1"/>
                <w:bCs w:val="1"/>
                <w:color w:val="231F20"/>
              </w:rPr>
              <w:t>921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970</w:t>
            </w:r>
          </w:p>
        </w:tc>
      </w:tr>
      <w:tr>
        <w:trPr>
          <w:trHeight w:val="252"/>
        </w:trPr>
        <w:tc>
          <w:tcPr>
            <w:tcW w:w="4280" w:type="dxa"/>
            <w:vAlign w:val="bottom"/>
          </w:tcPr>
          <w:p>
            <w:pPr>
              <w:spacing w:after="0"/>
              <w:rPr>
                <w:sz w:val="20"/>
                <w:szCs w:val="20"/>
                <w:color w:val="auto"/>
              </w:rPr>
            </w:pPr>
            <w:r>
              <w:rPr>
                <w:rFonts w:ascii="Arial" w:cs="Arial" w:eastAsia="Arial" w:hAnsi="Arial"/>
                <w:sz w:val="19"/>
                <w:szCs w:val="19"/>
                <w:b w:val="1"/>
                <w:bCs w:val="1"/>
                <w:color w:val="231F20"/>
              </w:rPr>
              <w:t>EBITDA</w:t>
            </w:r>
          </w:p>
        </w:tc>
        <w:tc>
          <w:tcPr>
            <w:tcW w:w="8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(30,414)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(28,133)</w:t>
            </w:r>
          </w:p>
        </w:tc>
      </w:tr>
      <w:tr>
        <w:trPr>
          <w:trHeight w:val="235"/>
        </w:trPr>
        <w:tc>
          <w:tcPr>
            <w:tcW w:w="4280" w:type="dxa"/>
            <w:vAlign w:val="bottom"/>
          </w:tcPr>
          <w:p>
            <w:pPr>
              <w:spacing w:after="0"/>
              <w:rPr>
                <w:sz w:val="20"/>
                <w:szCs w:val="20"/>
                <w:color w:val="auto"/>
              </w:rPr>
            </w:pPr>
            <w:r>
              <w:rPr>
                <w:rFonts w:ascii="Arial" w:cs="Arial" w:eastAsia="Arial" w:hAnsi="Arial"/>
                <w:sz w:val="19"/>
                <w:szCs w:val="19"/>
                <w:b w:val="1"/>
                <w:bCs w:val="1"/>
                <w:color w:val="231F20"/>
              </w:rPr>
              <w:t>Add: Stock-based compensation expense</w:t>
            </w:r>
          </w:p>
        </w:tc>
        <w:tc>
          <w:tcPr>
            <w:tcW w:w="80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9"/>
                <w:szCs w:val="19"/>
                <w:b w:val="1"/>
                <w:bCs w:val="1"/>
                <w:color w:val="231F20"/>
              </w:rPr>
              <w:t>3,143</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2,665</w:t>
            </w:r>
          </w:p>
        </w:tc>
      </w:tr>
      <w:tr>
        <w:trPr>
          <w:trHeight w:val="238"/>
        </w:trPr>
        <w:tc>
          <w:tcPr>
            <w:tcW w:w="4280" w:type="dxa"/>
            <w:vAlign w:val="bottom"/>
          </w:tcPr>
          <w:p>
            <w:pPr>
              <w:spacing w:after="0"/>
              <w:rPr>
                <w:sz w:val="20"/>
                <w:szCs w:val="20"/>
                <w:color w:val="auto"/>
              </w:rPr>
            </w:pPr>
            <w:r>
              <w:rPr>
                <w:rFonts w:ascii="Arial" w:cs="Arial" w:eastAsia="Arial" w:hAnsi="Arial"/>
                <w:sz w:val="19"/>
                <w:szCs w:val="19"/>
                <w:b w:val="1"/>
                <w:bCs w:val="1"/>
                <w:color w:val="231F20"/>
              </w:rPr>
              <w:t>Add: Change in fair value of warrant liabilities</w:t>
            </w:r>
          </w:p>
        </w:tc>
        <w:tc>
          <w:tcPr>
            <w:tcW w:w="80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9"/>
                <w:szCs w:val="19"/>
                <w:b w:val="1"/>
                <w:bCs w:val="1"/>
                <w:color w:val="231F20"/>
              </w:rPr>
              <w:t>10,338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21,399</w:t>
            </w:r>
          </w:p>
        </w:tc>
      </w:tr>
      <w:tr>
        <w:trPr>
          <w:trHeight w:val="235"/>
        </w:trPr>
        <w:tc>
          <w:tcPr>
            <w:tcW w:w="4280" w:type="dxa"/>
            <w:vAlign w:val="bottom"/>
          </w:tcPr>
          <w:p>
            <w:pPr>
              <w:spacing w:after="0"/>
              <w:rPr>
                <w:sz w:val="20"/>
                <w:szCs w:val="20"/>
                <w:color w:val="auto"/>
              </w:rPr>
            </w:pPr>
            <w:r>
              <w:rPr>
                <w:rFonts w:ascii="Arial" w:cs="Arial" w:eastAsia="Arial" w:hAnsi="Arial"/>
                <w:sz w:val="19"/>
                <w:szCs w:val="19"/>
                <w:b w:val="1"/>
                <w:bCs w:val="1"/>
                <w:color w:val="231F20"/>
              </w:rPr>
              <w:t>Add: Acquisition-related costs</w:t>
            </w:r>
          </w:p>
        </w:tc>
        <w:tc>
          <w:tcPr>
            <w:tcW w:w="80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9"/>
                <w:szCs w:val="19"/>
                <w:b w:val="1"/>
                <w:bCs w:val="1"/>
                <w:color w:val="231F20"/>
              </w:rPr>
              <w:t>17,141</w:t>
            </w:r>
          </w:p>
        </w:tc>
        <w:tc>
          <w:tcPr>
            <w:tcW w:w="280" w:type="dxa"/>
            <w:vAlign w:val="bottom"/>
          </w:tcPr>
          <w:p>
            <w:pPr>
              <w:spacing w:after="0"/>
              <w:rPr>
                <w:sz w:val="20"/>
                <w:szCs w:val="20"/>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4280" w:type="dxa"/>
            <w:vAlign w:val="bottom"/>
          </w:tcPr>
          <w:p>
            <w:pPr>
              <w:spacing w:after="0"/>
              <w:rPr>
                <w:sz w:val="20"/>
                <w:szCs w:val="20"/>
                <w:color w:val="auto"/>
              </w:rPr>
            </w:pPr>
            <w:r>
              <w:rPr>
                <w:rFonts w:ascii="Arial" w:cs="Arial" w:eastAsia="Arial" w:hAnsi="Arial"/>
                <w:sz w:val="19"/>
                <w:szCs w:val="19"/>
                <w:b w:val="1"/>
                <w:bCs w:val="1"/>
                <w:color w:val="231F20"/>
              </w:rPr>
              <w:t>Add: Impairment of intangible assets</w:t>
            </w:r>
          </w:p>
        </w:tc>
        <w:tc>
          <w:tcPr>
            <w:tcW w:w="800" w:type="dxa"/>
            <w:vAlign w:val="bottom"/>
          </w:tcPr>
          <w:p>
            <w:pPr>
              <w:spacing w:after="0"/>
              <w:rPr>
                <w:sz w:val="20"/>
                <w:szCs w:val="20"/>
                <w:color w:val="auto"/>
              </w:rPr>
            </w:pPr>
          </w:p>
        </w:tc>
        <w:tc>
          <w:tcPr>
            <w:tcW w:w="1000" w:type="dxa"/>
            <w:vAlign w:val="bottom"/>
          </w:tcPr>
          <w:p>
            <w:pPr>
              <w:jc w:val="right"/>
              <w:ind w:right="46"/>
              <w:spacing w:after="0" w:line="228"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3,729</w:t>
            </w:r>
          </w:p>
        </w:tc>
      </w:tr>
      <w:tr>
        <w:trPr>
          <w:trHeight w:val="252"/>
        </w:trPr>
        <w:tc>
          <w:tcPr>
            <w:tcW w:w="4280" w:type="dxa"/>
            <w:vAlign w:val="bottom"/>
          </w:tcPr>
          <w:p>
            <w:pPr>
              <w:spacing w:after="0"/>
              <w:rPr>
                <w:sz w:val="20"/>
                <w:szCs w:val="20"/>
                <w:color w:val="auto"/>
              </w:rPr>
            </w:pPr>
            <w:r>
              <w:rPr>
                <w:rFonts w:ascii="Arial" w:cs="Arial" w:eastAsia="Arial" w:hAnsi="Arial"/>
                <w:sz w:val="19"/>
                <w:szCs w:val="19"/>
                <w:b w:val="1"/>
                <w:bCs w:val="1"/>
                <w:color w:val="231F20"/>
              </w:rPr>
              <w:t>Adjusted EBITDA</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ind w:right="46"/>
              <w:spacing w:after="0"/>
              <w:rPr>
                <w:sz w:val="20"/>
                <w:szCs w:val="20"/>
                <w:color w:val="auto"/>
              </w:rPr>
            </w:pPr>
            <w:r>
              <w:rPr>
                <w:rFonts w:ascii="Arial" w:cs="Arial" w:eastAsia="Arial" w:hAnsi="Arial"/>
                <w:sz w:val="19"/>
                <w:szCs w:val="19"/>
                <w:b w:val="1"/>
                <w:bCs w:val="1"/>
                <w:color w:val="231F20"/>
              </w:rPr>
              <w:t>208</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-1674495</wp:posOffset>
            </wp:positionV>
            <wp:extent cx="4639945" cy="1717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39945" cy="1717040"/>
                    </a:xfrm>
                    <a:prstGeom prst="rect">
                      <a:avLst/>
                    </a:prstGeom>
                    <a:noFill/>
                  </pic:spPr>
                </pic:pic>
              </a:graphicData>
            </a:graphic>
          </wp:anchor>
        </w:drawing>
      </w:r>
    </w:p>
    <w:p>
      <w:pPr>
        <w:spacing w:after="0" w:line="148"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acquisition-related costs, and impairment of intangible assets, provides meaningful supplemental information for investors when evaluating our results and comparing us to peer companies, as stock-based compensation expense and change in fair value of warrant liabilities are significant non-cash charges and impairment of intangible assets is a non-cash charge that is not indicative of our core operating results and acquisition-related costs are not recurring.</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85</w:t>
      </w:r>
    </w:p>
    <w:p>
      <w:pPr>
        <w:sectPr>
          <w:pgSz w:w="12240" w:h="15840" w:orient="portrait"/>
          <w:cols w:equalWidth="0" w:num="1">
            <w:col w:w="9360"/>
          </w:cols>
          <w:pgMar w:left="1440" w:top="1440" w:right="1440" w:bottom="390" w:gutter="0" w:footer="0" w:header="0"/>
          <w:type w:val="continuous"/>
        </w:sectPr>
      </w:pPr>
    </w:p>
    <w:bookmarkStart w:id="87" w:name="page88"/>
    <w:bookmarkEnd w:id="87"/>
    <w:p>
      <w:pPr>
        <w:spacing w:after="0" w:line="201"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spacing w:after="0" w:line="34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Liquidity and Capital Resources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Overview</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For the years ended December 31, 2025 and 2024, we had net losses of $34.3 million and $31.4 million, respectively, and, as of December 31, 2025, we had an accumulated deficit of $177.6 million. The change in fair value of warrant liabilities had a significant impact of $(10.3) million on net loss in the twelve months ended December 31, 2025, and it is difficult to predict how the fair value of warrant liabilities will impact our future results. The change in fair value of the warrant liability was a result of an increase in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stock price of approximately 34% during 2025. We expect to continue to incur losses and operating cash outflows for the near-term future. In addition, acquisition-related costs have been significant. As of December 31, 2025, $17.1 million in acquisition-related costs have been incurred, of which $13.8 million is classified as accounts payable and $0.2 million is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 million. Furthermore, during the three months ending March 31, 2026, $5.0 million of accounts payable will be reclassified from current to long-term based upon extended payment terms provided by our acquisition advisers.</w:t>
      </w:r>
    </w:p>
    <w:p>
      <w:pPr>
        <w:spacing w:after="0" w:line="250"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Our liquidity needs will be largely determined by our ability to successfully commercialize our products and the progression, additional regulatory clearances or certifications and launch of the ALLY System in additional jurisdictions in the future.</w:t>
      </w:r>
    </w:p>
    <w:p>
      <w:pPr>
        <w:spacing w:after="0" w:line="241"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ALLY System has received regulatory approval in the United States, India, Taiwan, South Korea, as well as certain other countries, and certification in the EU.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acquisition-related costs, and the timing of and applicable clearances for our ALLY System.</w:t>
      </w:r>
    </w:p>
    <w:p>
      <w:pPr>
        <w:spacing w:after="0" w:line="227"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We expect selling, general and administrative expenses to increase from current levels to support the expansion efforts in the U.S. and internationally for the ALLY System offset by a decrease in acquisition-related costs associated with the terminated Merger Agreement. The successful commercialization of the ALLY System depends in part on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ability to produce the ALLY System in sufficient quantities, within requested timing and at an acceptable price to satisfy customer demand.</w:t>
      </w:r>
    </w:p>
    <w:p>
      <w:pPr>
        <w:spacing w:after="0" w:line="244"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acquisition-related costs, recently enacted tariffs, and other macroeconomic conditions have negatively affected our capital requirements and more operating capital may be needed to fund our operations in the future. We have also experienced reduced activity by our distributors following the announcement of the Merger, and we have adjusted our purchasing and production to manage our inventory accordingly. Our results could be adversely impacted if our distributors do not resume their sales activity to previous levels. Based on our current operating plan, we believe we have sufficient cash and cash equivalents on hand to support current operations for at least one year from the date of issuance of the financial statements included in this Annual Report.</w:t>
      </w:r>
    </w:p>
    <w:p>
      <w:pPr>
        <w:spacing w:after="0" w:line="194"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In the future, we may need to raise additional capital through equity or debt financings, borrowings under credit facilities or from other sources to continue our operations. We may issue securities, including common stock,</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86</w:t>
      </w:r>
    </w:p>
    <w:p>
      <w:pPr>
        <w:sectPr>
          <w:pgSz w:w="12240" w:h="15840" w:orient="portrait"/>
          <w:cols w:equalWidth="0" w:num="1">
            <w:col w:w="9360"/>
          </w:cols>
          <w:pgMar w:left="1440" w:top="1440" w:right="1440" w:bottom="390" w:gutter="0" w:footer="0" w:header="0"/>
          <w:type w:val="continuous"/>
        </w:sectPr>
      </w:pPr>
    </w:p>
    <w:bookmarkStart w:id="88" w:name="page89"/>
    <w:bookmarkEnd w:id="88"/>
    <w:p>
      <w:pPr>
        <w:spacing w:after="0" w:line="201"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21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 xml:space="preserve">On March 11, 2026, the Company entered into a Priority Credit Line Agreement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PCL Agreement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by and between the Company and Wells Fargo Bank, N.A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Wells Fargo</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The PCL Agreement provides for a revolving, non-purpose margin credit facility, secured by a first-priority lien on a designated brokerage account maintained at Wells Fargo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Collateral Account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of an amount based on the collateral value in the Collateral Account. Based on the collateral value in the Collateral Account, the Company is permitted to borrow 90-95% of the Collateral Account value under the PCL Agreement. Borrowings under the PCL Agreement bear interest, at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election, at either (i) a fixed rate based on the Treasury Yield plus an applicable margin, over a designated term, or</w:t>
      </w:r>
    </w:p>
    <w:p>
      <w:pPr>
        <w:spacing w:after="0" w:line="14" w:lineRule="exact"/>
        <w:rPr>
          <w:sz w:val="20"/>
          <w:szCs w:val="20"/>
          <w:color w:val="auto"/>
        </w:rPr>
      </w:pPr>
    </w:p>
    <w:p>
      <w:pPr>
        <w:jc w:val="both"/>
        <w:ind w:left="140" w:right="140" w:firstLine="2"/>
        <w:spacing w:after="0" w:line="244" w:lineRule="auto"/>
        <w:tabs>
          <w:tab w:leader="none" w:pos="449" w:val="left"/>
        </w:tabs>
        <w:numPr>
          <w:ilvl w:val="0"/>
          <w:numId w:val="48"/>
        </w:numPr>
        <w:rPr>
          <w:rFonts w:ascii="Arial" w:cs="Arial" w:eastAsia="Arial" w:hAnsi="Arial"/>
          <w:sz w:val="19"/>
          <w:szCs w:val="19"/>
          <w:b w:val="1"/>
          <w:bCs w:val="1"/>
          <w:color w:val="231F20"/>
        </w:rPr>
      </w:pPr>
      <w:r>
        <w:rPr>
          <w:rFonts w:ascii="Arial" w:cs="Arial" w:eastAsia="Arial" w:hAnsi="Arial"/>
          <w:sz w:val="19"/>
          <w:szCs w:val="19"/>
          <w:b w:val="1"/>
          <w:bCs w:val="1"/>
          <w:color w:val="231F20"/>
        </w:rPr>
        <w:t>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w:t>
      </w:r>
    </w:p>
    <w:p>
      <w:pPr>
        <w:spacing w:after="0" w:line="239" w:lineRule="exact"/>
        <w:rPr>
          <w:sz w:val="20"/>
          <w:szCs w:val="20"/>
          <w:color w:val="auto"/>
        </w:rPr>
      </w:pPr>
    </w:p>
    <w:p>
      <w:pPr>
        <w:jc w:val="both"/>
        <w:ind w:left="140" w:right="140"/>
        <w:spacing w:after="0" w:line="296" w:lineRule="auto"/>
        <w:rPr>
          <w:sz w:val="20"/>
          <w:szCs w:val="20"/>
          <w:color w:val="auto"/>
        </w:rPr>
      </w:pPr>
      <w:r>
        <w:rPr>
          <w:rFonts w:ascii="Arial" w:cs="Arial" w:eastAsia="Arial" w:hAnsi="Arial"/>
          <w:sz w:val="16"/>
          <w:szCs w:val="16"/>
          <w:b w:val="1"/>
          <w:bCs w:val="1"/>
          <w:color w:val="231F20"/>
        </w:rPr>
        <w:t>We expect our revenue and expenses to increase in connection with our on-going operating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tariffs and other supply chain issues on our business; and the timing, scope and magnitude of our commercial and development activities.</w:t>
      </w:r>
    </w:p>
    <w:p>
      <w:pPr>
        <w:spacing w:after="0" w:line="20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In May 2023, we entered into a Securities Purchase Agreement, or SPA, with NR-GRI Partners, LP, or NR-GRI, whereby we sold to NR-GRI, for an aggregate purchase price of $20.0 million, an aggregate of 20,000 shares of a newly established series of preferred stock designated as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Series A Convertible Preferred Stock, par value $0.01 per share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which has a stated value of $1,000 per share and is convertible into shares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252"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b w:val="1"/>
          <w:bCs w:val="1"/>
          <w:color w:val="231F20"/>
        </w:rPr>
        <w:t>Our ability to raise additional funds will depend on, among other factors,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87</w:t>
      </w:r>
    </w:p>
    <w:p>
      <w:pPr>
        <w:sectPr>
          <w:pgSz w:w="12240" w:h="15840" w:orient="portrait"/>
          <w:cols w:equalWidth="0" w:num="1">
            <w:col w:w="9360"/>
          </w:cols>
          <w:pgMar w:left="1440" w:top="1440" w:right="1440" w:bottom="390" w:gutter="0" w:footer="0" w:header="0"/>
          <w:type w:val="continuous"/>
        </w:sectPr>
      </w:pPr>
    </w:p>
    <w:bookmarkStart w:id="89" w:name="page90"/>
    <w:bookmarkEnd w:id="89"/>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price may be more volatile, and our ability to raise capital could be impaired, which could in the future negatively affect our liquidity and financial position.</w:t>
      </w:r>
    </w:p>
    <w:p>
      <w:pPr>
        <w:spacing w:after="0" w:line="129"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Our material contractual obligations and commercial commitments at December 31, 2025 primarily consist of $2.7 million in operating lease liabilities for our facility lease and $13.9 million in remaining minimum purchase obligations for inventory components for the manufacture and supply of certain components within the next 18 months. In addition, as of December 31, 2025, $17.1 million in acquisition-related costs have been incurred, of which $13.8 million is classified as accounts payable and $0.2 million is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 million. Furthermore, during the three months ending March 31, 2026, $5.0 million of accounts payable will be reclassified from current to long-term based upon extended payment terms provided by our acquisition advisers.</w:t>
      </w:r>
    </w:p>
    <w:p>
      <w:pPr>
        <w:spacing w:after="0" w:line="21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Cash Flows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The following table summarizes, for the periods indicated, selected items in our statements of cash flows:</w:t>
      </w:r>
    </w:p>
    <w:p>
      <w:pPr>
        <w:spacing w:after="0" w:line="136"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60" w:type="dxa"/>
            <w:vAlign w:val="bottom"/>
            <w:gridSpan w:val="3"/>
          </w:tcPr>
          <w:p>
            <w:pPr>
              <w:jc w:val="right"/>
              <w:ind w:right="247"/>
              <w:spacing w:after="0"/>
              <w:rPr>
                <w:sz w:val="20"/>
                <w:szCs w:val="20"/>
                <w:color w:val="auto"/>
              </w:rPr>
            </w:pPr>
            <w:r>
              <w:rPr>
                <w:rFonts w:ascii="Arial" w:cs="Arial" w:eastAsia="Arial" w:hAnsi="Arial"/>
                <w:sz w:val="16"/>
                <w:szCs w:val="16"/>
                <w:b w:val="1"/>
                <w:bCs w:val="1"/>
                <w:color w:val="231F20"/>
                <w:w w:val="91"/>
              </w:rPr>
              <w:t>Year Ended December 31,</w:t>
            </w:r>
          </w:p>
        </w:tc>
      </w:tr>
      <w:tr>
        <w:trPr>
          <w:trHeight w:val="192"/>
        </w:trPr>
        <w:tc>
          <w:tcPr>
            <w:tcW w:w="4420" w:type="dxa"/>
            <w:vAlign w:val="bottom"/>
          </w:tcPr>
          <w:p>
            <w:pPr>
              <w:spacing w:after="0"/>
              <w:rPr>
                <w:sz w:val="20"/>
                <w:szCs w:val="20"/>
                <w:color w:val="auto"/>
              </w:rPr>
            </w:pPr>
            <w:r>
              <w:rPr>
                <w:rFonts w:ascii="Arial" w:cs="Arial" w:eastAsia="Arial" w:hAnsi="Arial"/>
                <w:sz w:val="16"/>
                <w:szCs w:val="16"/>
                <w:b w:val="1"/>
                <w:bCs w:val="1"/>
                <w:color w:val="231F20"/>
              </w:rPr>
              <w:t>(Dollars in thousands)</w:t>
            </w:r>
          </w:p>
        </w:tc>
        <w:tc>
          <w:tcPr>
            <w:tcW w:w="680" w:type="dxa"/>
            <w:vAlign w:val="bottom"/>
          </w:tcPr>
          <w:p>
            <w:pPr>
              <w:spacing w:after="0"/>
              <w:rPr>
                <w:sz w:val="16"/>
                <w:szCs w:val="16"/>
                <w:color w:val="auto"/>
              </w:rPr>
            </w:pPr>
          </w:p>
        </w:tc>
        <w:tc>
          <w:tcPr>
            <w:tcW w:w="980" w:type="dxa"/>
            <w:vAlign w:val="bottom"/>
          </w:tcPr>
          <w:p>
            <w:pPr>
              <w:jc w:val="right"/>
              <w:ind w:right="389"/>
              <w:spacing w:after="0"/>
              <w:rPr>
                <w:sz w:val="20"/>
                <w:szCs w:val="20"/>
                <w:color w:val="auto"/>
              </w:rPr>
            </w:pPr>
            <w:r>
              <w:rPr>
                <w:rFonts w:ascii="Arial" w:cs="Arial" w:eastAsia="Arial" w:hAnsi="Arial"/>
                <w:sz w:val="16"/>
                <w:szCs w:val="16"/>
                <w:b w:val="1"/>
                <w:bCs w:val="1"/>
                <w:color w:val="231F20"/>
              </w:rPr>
              <w:t>2025</w:t>
            </w:r>
          </w:p>
        </w:tc>
        <w:tc>
          <w:tcPr>
            <w:tcW w:w="300" w:type="dxa"/>
            <w:vAlign w:val="bottom"/>
          </w:tcPr>
          <w:p>
            <w:pPr>
              <w:spacing w:after="0"/>
              <w:rPr>
                <w:sz w:val="16"/>
                <w:szCs w:val="16"/>
                <w:color w:val="auto"/>
              </w:rPr>
            </w:pPr>
          </w:p>
        </w:tc>
        <w:tc>
          <w:tcPr>
            <w:tcW w:w="880" w:type="dxa"/>
            <w:vAlign w:val="bottom"/>
          </w:tcPr>
          <w:p>
            <w:pPr>
              <w:jc w:val="right"/>
              <w:ind w:right="347"/>
              <w:spacing w:after="0"/>
              <w:rPr>
                <w:sz w:val="20"/>
                <w:szCs w:val="20"/>
                <w:color w:val="auto"/>
              </w:rPr>
            </w:pPr>
            <w:r>
              <w:rPr>
                <w:rFonts w:ascii="Arial" w:cs="Arial" w:eastAsia="Arial" w:hAnsi="Arial"/>
                <w:sz w:val="16"/>
                <w:szCs w:val="16"/>
                <w:b w:val="1"/>
                <w:bCs w:val="1"/>
                <w:color w:val="231F20"/>
              </w:rPr>
              <w:t>2024</w:t>
            </w:r>
          </w:p>
        </w:tc>
      </w:tr>
      <w:tr>
        <w:trPr>
          <w:trHeight w:val="238"/>
        </w:trPr>
        <w:tc>
          <w:tcPr>
            <w:tcW w:w="4420" w:type="dxa"/>
            <w:vAlign w:val="bottom"/>
          </w:tcPr>
          <w:p>
            <w:pPr>
              <w:spacing w:after="0"/>
              <w:rPr>
                <w:sz w:val="20"/>
                <w:szCs w:val="20"/>
                <w:color w:val="auto"/>
              </w:rPr>
            </w:pPr>
            <w:r>
              <w:rPr>
                <w:rFonts w:ascii="Arial" w:cs="Arial" w:eastAsia="Arial" w:hAnsi="Arial"/>
                <w:sz w:val="19"/>
                <w:szCs w:val="19"/>
                <w:b w:val="1"/>
                <w:bCs w:val="1"/>
                <w:color w:val="231F20"/>
              </w:rPr>
              <w:t>Net cash used in operating activities</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231F20"/>
              </w:rPr>
              <w:t>(14,831)</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(2,275)</w:t>
            </w:r>
          </w:p>
        </w:tc>
      </w:tr>
      <w:tr>
        <w:trPr>
          <w:trHeight w:val="223"/>
        </w:trPr>
        <w:tc>
          <w:tcPr>
            <w:tcW w:w="4420" w:type="dxa"/>
            <w:vAlign w:val="bottom"/>
          </w:tcPr>
          <w:p>
            <w:pPr>
              <w:spacing w:after="0"/>
              <w:rPr>
                <w:sz w:val="20"/>
                <w:szCs w:val="20"/>
                <w:color w:val="auto"/>
              </w:rPr>
            </w:pPr>
            <w:r>
              <w:rPr>
                <w:rFonts w:ascii="Arial" w:cs="Arial" w:eastAsia="Arial" w:hAnsi="Arial"/>
                <w:sz w:val="19"/>
                <w:szCs w:val="19"/>
                <w:b w:val="1"/>
                <w:bCs w:val="1"/>
                <w:color w:val="231F20"/>
                <w:w w:val="97"/>
              </w:rPr>
              <w:t>Net cash provided by (used in) investing activities</w:t>
            </w:r>
          </w:p>
        </w:tc>
        <w:tc>
          <w:tcPr>
            <w:tcW w:w="680" w:type="dxa"/>
            <w:vAlign w:val="bottom"/>
          </w:tcPr>
          <w:p>
            <w:pPr>
              <w:spacing w:after="0"/>
              <w:rPr>
                <w:sz w:val="19"/>
                <w:szCs w:val="19"/>
                <w:color w:val="auto"/>
              </w:rPr>
            </w:pPr>
          </w:p>
        </w:tc>
        <w:tc>
          <w:tcPr>
            <w:tcW w:w="980" w:type="dxa"/>
            <w:vAlign w:val="bottom"/>
          </w:tcPr>
          <w:p>
            <w:pPr>
              <w:jc w:val="right"/>
              <w:ind w:right="29"/>
              <w:spacing w:after="0"/>
              <w:rPr>
                <w:sz w:val="20"/>
                <w:szCs w:val="20"/>
                <w:color w:val="auto"/>
              </w:rPr>
            </w:pPr>
            <w:r>
              <w:rPr>
                <w:rFonts w:ascii="Arial" w:cs="Arial" w:eastAsia="Arial" w:hAnsi="Arial"/>
                <w:sz w:val="19"/>
                <w:szCs w:val="19"/>
                <w:b w:val="1"/>
                <w:bCs w:val="1"/>
                <w:color w:val="231F20"/>
              </w:rPr>
              <w:t>1,284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(2,161)</w:t>
            </w:r>
          </w:p>
        </w:tc>
      </w:tr>
      <w:tr>
        <w:trPr>
          <w:trHeight w:val="223"/>
        </w:trPr>
        <w:tc>
          <w:tcPr>
            <w:tcW w:w="4420" w:type="dxa"/>
            <w:vAlign w:val="bottom"/>
          </w:tcPr>
          <w:p>
            <w:pPr>
              <w:spacing w:after="0"/>
              <w:rPr>
                <w:sz w:val="20"/>
                <w:szCs w:val="20"/>
                <w:color w:val="auto"/>
              </w:rPr>
            </w:pPr>
            <w:r>
              <w:rPr>
                <w:rFonts w:ascii="Arial" w:cs="Arial" w:eastAsia="Arial" w:hAnsi="Arial"/>
                <w:sz w:val="19"/>
                <w:szCs w:val="19"/>
                <w:b w:val="1"/>
                <w:bCs w:val="1"/>
                <w:color w:val="231F20"/>
              </w:rPr>
              <w:t>Net cash provided by financing activities</w:t>
            </w:r>
          </w:p>
        </w:tc>
        <w:tc>
          <w:tcPr>
            <w:tcW w:w="680" w:type="dxa"/>
            <w:vAlign w:val="bottom"/>
          </w:tcPr>
          <w:p>
            <w:pPr>
              <w:spacing w:after="0"/>
              <w:rPr>
                <w:sz w:val="19"/>
                <w:szCs w:val="19"/>
                <w:color w:val="auto"/>
              </w:rPr>
            </w:pPr>
          </w:p>
        </w:tc>
        <w:tc>
          <w:tcPr>
            <w:tcW w:w="980" w:type="dxa"/>
            <w:vAlign w:val="bottom"/>
          </w:tcPr>
          <w:p>
            <w:pPr>
              <w:jc w:val="right"/>
              <w:ind w:right="29"/>
              <w:spacing w:after="0"/>
              <w:rPr>
                <w:sz w:val="20"/>
                <w:szCs w:val="20"/>
                <w:color w:val="auto"/>
              </w:rPr>
            </w:pPr>
            <w:r>
              <w:rPr>
                <w:rFonts w:ascii="Arial" w:cs="Arial" w:eastAsia="Arial" w:hAnsi="Arial"/>
                <w:sz w:val="19"/>
                <w:szCs w:val="19"/>
                <w:b w:val="1"/>
                <w:bCs w:val="1"/>
                <w:color w:val="231F20"/>
              </w:rPr>
              <w:t>10,258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78</w:t>
            </w:r>
          </w:p>
        </w:tc>
      </w:tr>
      <w:tr>
        <w:trPr>
          <w:trHeight w:val="238"/>
        </w:trPr>
        <w:tc>
          <w:tcPr>
            <w:tcW w:w="4420" w:type="dxa"/>
            <w:vAlign w:val="bottom"/>
          </w:tcPr>
          <w:p>
            <w:pPr>
              <w:spacing w:after="0"/>
              <w:rPr>
                <w:sz w:val="20"/>
                <w:szCs w:val="20"/>
                <w:color w:val="auto"/>
              </w:rPr>
            </w:pPr>
            <w:r>
              <w:rPr>
                <w:rFonts w:ascii="Arial" w:cs="Arial" w:eastAsia="Arial" w:hAnsi="Arial"/>
                <w:sz w:val="19"/>
                <w:szCs w:val="19"/>
                <w:b w:val="1"/>
                <w:bCs w:val="1"/>
                <w:color w:val="231F20"/>
              </w:rPr>
              <w:t>Net decrease in cash and cash equivalents</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231F20"/>
              </w:rPr>
              <w:t>(3,289)</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(4,358)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-720090</wp:posOffset>
            </wp:positionV>
            <wp:extent cx="4639945" cy="763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39945" cy="763270"/>
                    </a:xfrm>
                    <a:prstGeom prst="rect">
                      <a:avLst/>
                    </a:prstGeom>
                    <a:noFill/>
                  </pic:spPr>
                </pic:pic>
              </a:graphicData>
            </a:graphic>
          </wp:anchor>
        </w:drawing>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Operating Activities</w:t>
      </w:r>
    </w:p>
    <w:p>
      <w:pPr>
        <w:spacing w:after="0" w:line="128"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Net cash used in operating activities for the year ended December 31, 2025 was $14.8 million, consisting primarily of a net loss of $34.3 million and a decrease in net operating assets of $1.1 million, partially offset by non-cash charges of $18.3 million. Non-cash charges primarily consisted of depreciation, amortization, stock-based compensation, and change in fair value of warrant liabilities. Net operating assets decreased due to inventories offset with accounts payable.</w:t>
      </w:r>
    </w:p>
    <w:p>
      <w:pPr>
        <w:spacing w:after="0" w:line="243" w:lineRule="exact"/>
        <w:rPr>
          <w:sz w:val="20"/>
          <w:szCs w:val="20"/>
          <w:color w:val="auto"/>
        </w:rPr>
      </w:pPr>
    </w:p>
    <w:p>
      <w:pPr>
        <w:jc w:val="both"/>
        <w:ind w:left="140" w:right="140"/>
        <w:spacing w:after="0" w:line="299" w:lineRule="auto"/>
        <w:rPr>
          <w:sz w:val="20"/>
          <w:szCs w:val="20"/>
          <w:color w:val="auto"/>
        </w:rPr>
      </w:pPr>
      <w:r>
        <w:rPr>
          <w:rFonts w:ascii="Arial" w:cs="Arial" w:eastAsia="Arial" w:hAnsi="Arial"/>
          <w:sz w:val="16"/>
          <w:szCs w:val="16"/>
          <w:b w:val="1"/>
          <w:bCs w:val="1"/>
          <w:color w:val="231F20"/>
        </w:rPr>
        <w:t>Net cash used in operating activities for the year ended December 31, 2024 was $2.3 million, consisting primarily of a net loss of $31.4 million and a decrease in net operating assets of $3.0 million, partially offset by non-cash charges of $32.2 million. Non-cash charges consisted of depreciation, amortization, impairment of intangible assets, stock-based compensation, and change in fair value of warrant liabilities. Net operating assets decreased due to accounts receivable and inventories offset with accounts payable and accrued liabilities.</w:t>
      </w:r>
    </w:p>
    <w:p>
      <w:pPr>
        <w:spacing w:after="0" w:line="31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Investing Activities</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Net cash provided by investing activities for the year ended December 31, 2025 was $1.3 million, which consisted primarily of purchases and maturities of investments.</w:t>
      </w:r>
    </w:p>
    <w:p>
      <w:pPr>
        <w:spacing w:after="0" w:line="244"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Net cash used in investing activities for the year ended December 31, 2024 was $2.2 million, which consisted primarily of purchases and maturities of investments.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88</w:t>
      </w:r>
    </w:p>
    <w:p>
      <w:pPr>
        <w:sectPr>
          <w:pgSz w:w="12240" w:h="15840" w:orient="portrait"/>
          <w:cols w:equalWidth="0" w:num="1">
            <w:col w:w="9360"/>
          </w:cols>
          <w:pgMar w:left="1440" w:top="1440" w:right="1440" w:bottom="390" w:gutter="0" w:footer="0" w:header="0"/>
          <w:type w:val="continuous"/>
        </w:sectPr>
      </w:pPr>
    </w:p>
    <w:bookmarkStart w:id="90" w:name="page91"/>
    <w:bookmarkEnd w:id="90"/>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Financing Activities</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Net cash provided by financing activities for the year ended December 31, 2025 was $10.3 million, consisting primarily of the acquisition-related deposit received from Alcon.</w:t>
      </w:r>
    </w:p>
    <w:p>
      <w:pPr>
        <w:spacing w:after="0" w:line="244"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Net cash provided by financing activities for the year ended December 31, 2024 was $0.1 million, primarily due to the net proceeds from issuance of common stock under equity incentive plans.</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Critical Accounting Estimates</w:t>
      </w:r>
    </w:p>
    <w:p>
      <w:pPr>
        <w:spacing w:after="0" w:line="128"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101" w:lineRule="exact"/>
        <w:rPr>
          <w:sz w:val="20"/>
          <w:szCs w:val="20"/>
          <w:color w:val="auto"/>
        </w:rPr>
      </w:pPr>
    </w:p>
    <w:p>
      <w:pPr>
        <w:jc w:val="both"/>
        <w:ind w:left="140" w:right="140"/>
        <w:spacing w:after="0" w:line="261" w:lineRule="auto"/>
        <w:rPr>
          <w:sz w:val="20"/>
          <w:szCs w:val="20"/>
          <w:color w:val="auto"/>
        </w:rPr>
      </w:pPr>
      <w:r>
        <w:rPr>
          <w:rFonts w:ascii="Arial" w:cs="Arial" w:eastAsia="Arial" w:hAnsi="Arial"/>
          <w:sz w:val="18"/>
          <w:szCs w:val="18"/>
          <w:b w:val="1"/>
          <w:bCs w:val="1"/>
          <w:color w:val="231F20"/>
        </w:rPr>
        <w:t>We describe our significant accounting policies in Note 1, Summary of Significant Accounting Policies, of the notes to the financial statements. We believe the following accounting policies are the most critical in understanding the estimates and judgments that are involved in preparing our financial statements and the uncertainties that could impact our results of operations, financial condition, and cash flows.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Product and Service Revenue Recognition</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Revenue is recognized from the sale of products and services when we transfer control of such promised products and services. The amount of revenue recognized reflects the consideration we expect to be entitled to receive in exchange for these products and services. A five-step model is utilized to achieve the core principle and includes the following steps: (1) identify the customer contract; (2) identify the contract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performance obligations; (3) determine the transaction price; (4) allocate the transaction price to the performance obligations; and (5) recognize revenue when the performance obligations are satisfied.</w:t>
      </w:r>
    </w:p>
    <w:p>
      <w:pPr>
        <w:spacing w:after="0" w:line="246"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7"/>
          <w:szCs w:val="17"/>
          <w:b w:val="1"/>
          <w:bCs w:val="1"/>
          <w:color w:val="231F20"/>
        </w:rPr>
        <w:t>We principally derive our revenue from the sale and lease of systems and the sale of other related products and services, including PIDs, procedure licenses, and extended warranty service agreements. A procedure license represents a one-time right to utilize the system surgical application in connection with a surgery procedure. Without separately procuring procedure licenses granted by us, either together with the purchase of the system or under separate subsequent contracts, the customer does not have the right to use the surgical software application to perform surgical procedures. Typically, returns are not allowed.</w:t>
      </w:r>
    </w:p>
    <w:p>
      <w:pPr>
        <w:spacing w:after="0" w:line="213"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Our contracts with customers often include promises to transfer multiple products and services to a customer. Determining whether products and services are considered distinct performance obligations that should be accounted for separately may require significant judgment. Judgment is required to determine the level of interdependency between the system and the sale of other related products and services. We evaluate each product or service promised in a contract to determine whether it represents a distinct performance obligation. A performance obligation is distinct if (1) the customer can benefit from the product or service on its own or with other resources that are readily available to the customer and (2) the product or service is separately identifiable from other promises in the contract.</w:t>
      </w:r>
    </w:p>
    <w:p>
      <w:pPr>
        <w:spacing w:after="0" w:line="229" w:lineRule="exact"/>
        <w:rPr>
          <w:sz w:val="20"/>
          <w:szCs w:val="20"/>
          <w:color w:val="auto"/>
        </w:rPr>
      </w:pPr>
    </w:p>
    <w:p>
      <w:pPr>
        <w:jc w:val="both"/>
        <w:ind w:left="140" w:right="140"/>
        <w:spacing w:after="0" w:line="303" w:lineRule="auto"/>
        <w:rPr>
          <w:sz w:val="20"/>
          <w:szCs w:val="20"/>
          <w:color w:val="auto"/>
        </w:rPr>
      </w:pPr>
      <w:r>
        <w:rPr>
          <w:rFonts w:ascii="Arial" w:cs="Arial" w:eastAsia="Arial" w:hAnsi="Arial"/>
          <w:sz w:val="16"/>
          <w:szCs w:val="16"/>
          <w:b w:val="1"/>
          <w:bCs w:val="1"/>
          <w:color w:val="231F20"/>
        </w:rPr>
        <w:t>For contracts involving the sale or lease of a system, our performance obligations generally include the system, PID, procedure license, and extended warranty service agreements. In addition, our customer contracts contain provisions for installation and training services, which are not assessed as performance obligations as they are determined to be immaterial promises in the context of the contract and are required for a customer to use the system.</w:t>
      </w:r>
    </w:p>
    <w:p>
      <w:pPr>
        <w:spacing w:after="0" w:line="196"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We have determined that the system, PID and procedure license are each capable of being distinct because they are each sold separately and the customer can benefit from these products with the other readily available resources that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89</w:t>
      </w:r>
    </w:p>
    <w:p>
      <w:pPr>
        <w:sectPr>
          <w:pgSz w:w="12240" w:h="15840" w:orient="portrait"/>
          <w:cols w:equalWidth="0" w:num="1">
            <w:col w:w="9360"/>
          </w:cols>
          <w:pgMar w:left="1440" w:top="1440" w:right="1440" w:bottom="390" w:gutter="0" w:footer="0" w:header="0"/>
          <w:type w:val="continuous"/>
        </w:sectPr>
      </w:pPr>
    </w:p>
    <w:bookmarkStart w:id="91" w:name="page92"/>
    <w:bookmarkEnd w:id="91"/>
    <w:p>
      <w:pPr>
        <w:spacing w:after="0" w:line="201" w:lineRule="exact"/>
        <w:rPr>
          <w:sz w:val="20"/>
          <w:szCs w:val="20"/>
          <w:color w:val="auto"/>
        </w:rPr>
      </w:pPr>
    </w:p>
    <w:p>
      <w:pPr>
        <w:ind w:left="140" w:right="140"/>
        <w:spacing w:after="0" w:line="291" w:lineRule="auto"/>
        <w:rPr>
          <w:sz w:val="20"/>
          <w:szCs w:val="20"/>
          <w:color w:val="auto"/>
        </w:rPr>
      </w:pPr>
      <w:r>
        <w:rPr>
          <w:rFonts w:ascii="Arial" w:cs="Arial" w:eastAsia="Arial" w:hAnsi="Arial"/>
          <w:sz w:val="16"/>
          <w:szCs w:val="16"/>
          <w:b w:val="1"/>
          <w:bCs w:val="1"/>
          <w:color w:val="231F20"/>
        </w:rPr>
        <w:t>are sold by us. In addition, we have determined each are separately identifiable because the system, PID and procedure license (1) are not highly interdependent or interrelated; (2) do not modify or customize one another; and</w:t>
      </w:r>
    </w:p>
    <w:p>
      <w:pPr>
        <w:jc w:val="both"/>
        <w:ind w:left="140" w:right="140" w:firstLine="2"/>
        <w:spacing w:after="0" w:line="281" w:lineRule="auto"/>
        <w:tabs>
          <w:tab w:leader="none" w:pos="424" w:val="left"/>
        </w:tabs>
        <w:numPr>
          <w:ilvl w:val="0"/>
          <w:numId w:val="49"/>
        </w:numPr>
        <w:rPr>
          <w:rFonts w:ascii="Arial" w:cs="Arial" w:eastAsia="Arial" w:hAnsi="Arial"/>
          <w:sz w:val="17"/>
          <w:szCs w:val="17"/>
          <w:b w:val="1"/>
          <w:bCs w:val="1"/>
          <w:color w:val="231F20"/>
        </w:rPr>
      </w:pPr>
      <w:r>
        <w:rPr>
          <w:rFonts w:ascii="Arial" w:cs="Arial" w:eastAsia="Arial" w:hAnsi="Arial"/>
          <w:sz w:val="17"/>
          <w:szCs w:val="17"/>
          <w:b w:val="1"/>
          <w:bCs w:val="1"/>
          <w:color w:val="231F20"/>
        </w:rPr>
        <w:t>do not include a significant service of integrating the promised goods into a bundled output. This is because we are able to fulfill each promise in the contract independently of the others and we would be able to fulfill our promise to transfer the system even if the customer did not purchase a PID or procedure license or to fulfill our promise to provide the PID or the procedure license even if the customer acquired the system separately.</w:t>
      </w:r>
    </w:p>
    <w:p>
      <w:pPr>
        <w:spacing w:after="0" w:line="210"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extended warranty, unlike our standard product warranty, is a performance obligation because it provides an incremental service that is beyond ensuring the product delivered will be consistent with stated contractual specifications.</w:t>
      </w:r>
    </w:p>
    <w:p>
      <w:pPr>
        <w:spacing w:after="0" w:line="24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When a contract contains multiple performance obligations, revenue is allocated to each performance obligation based on its relative standalone selling price.</w:t>
      </w:r>
    </w:p>
    <w:p>
      <w:pPr>
        <w:spacing w:after="0" w:line="244"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We recognize revenue as the performance obligations are satisfied by transferring control of the product or service to a customer as described below. We record a contract liability, or deferred revenue, when we have an obligation to provide a product or service to the customer and payment is received or due in advance of our performance.</w:t>
      </w:r>
    </w:p>
    <w:p>
      <w:pPr>
        <w:spacing w:after="0" w:line="189" w:lineRule="exact"/>
        <w:rPr>
          <w:sz w:val="20"/>
          <w:szCs w:val="20"/>
          <w:color w:val="auto"/>
        </w:rPr>
      </w:pPr>
    </w:p>
    <w:p>
      <w:pPr>
        <w:ind w:left="840" w:right="140"/>
        <w:spacing w:after="0" w:line="239" w:lineRule="auto"/>
        <w:rPr>
          <w:sz w:val="20"/>
          <w:szCs w:val="20"/>
          <w:color w:val="auto"/>
        </w:rPr>
      </w:pPr>
      <w:r>
        <w:rPr>
          <w:rFonts w:ascii="Arial" w:cs="Arial" w:eastAsia="Arial" w:hAnsi="Arial"/>
          <w:sz w:val="19"/>
          <w:szCs w:val="19"/>
          <w:b w:val="1"/>
          <w:bCs w:val="1"/>
          <w:color w:val="231F20"/>
        </w:rPr>
        <w:t>Product revenue. We recognize revenue for the sale of the products at a point in time when control is transferred to customers.</w:t>
      </w:r>
    </w:p>
    <w:p>
      <w:pPr>
        <w:spacing w:after="0" w:line="244" w:lineRule="exact"/>
        <w:rPr>
          <w:sz w:val="20"/>
          <w:szCs w:val="20"/>
          <w:color w:val="auto"/>
        </w:rPr>
      </w:pPr>
    </w:p>
    <w:p>
      <w:pPr>
        <w:jc w:val="both"/>
        <w:ind w:left="1540" w:right="140"/>
        <w:spacing w:after="0" w:line="243" w:lineRule="auto"/>
        <w:rPr>
          <w:sz w:val="20"/>
          <w:szCs w:val="20"/>
          <w:color w:val="auto"/>
        </w:rPr>
      </w:pPr>
      <w:r>
        <w:rPr>
          <w:rFonts w:ascii="Arial" w:cs="Arial" w:eastAsia="Arial" w:hAnsi="Arial"/>
          <w:sz w:val="19"/>
          <w:szCs w:val="19"/>
          <w:b w:val="1"/>
          <w:bCs w:val="1"/>
          <w:color w:val="231F20"/>
        </w:rPr>
        <w:t>Equipment. System sales are recognized as Product revenue when the Company transfers control of the system. This usually occurs after the customer signs a contract, we install the system, and we perform the requisite training for use of the system for direct customers. System sales to distributors are recognized as revenue upon shipment as they do not require training and installation.</w:t>
      </w:r>
    </w:p>
    <w:p>
      <w:pPr>
        <w:spacing w:after="0" w:line="243" w:lineRule="exact"/>
        <w:rPr>
          <w:sz w:val="20"/>
          <w:szCs w:val="20"/>
          <w:color w:val="auto"/>
        </w:rPr>
      </w:pPr>
    </w:p>
    <w:p>
      <w:pPr>
        <w:jc w:val="both"/>
        <w:ind w:left="1540" w:right="140"/>
        <w:spacing w:after="0" w:line="296" w:lineRule="auto"/>
        <w:rPr>
          <w:sz w:val="20"/>
          <w:szCs w:val="20"/>
          <w:color w:val="auto"/>
        </w:rPr>
      </w:pPr>
      <w:r>
        <w:rPr>
          <w:rFonts w:ascii="Arial" w:cs="Arial" w:eastAsia="Arial" w:hAnsi="Arial"/>
          <w:sz w:val="16"/>
          <w:szCs w:val="16"/>
          <w:b w:val="1"/>
          <w:bCs w:val="1"/>
          <w:color w:val="231F20"/>
        </w:rPr>
        <w:t>PID and Procedure Licenses. The system requires both a PID and a procedure license to perform each procedure. We recognize Product revenue for PIDs when we transfer control of the PID. We recognize Product revenue for procedure licenses at the point in time when control of the procedure license is transferred to the customer. A procedure license represents a one-time right to utilize the system surgical application in connection with a procedure. For the sale of PIDs and procedure licenses, we may offer volume discounts to certain customers. To determine the amount of revenue that should be recognized at the time control over these products transfers to the customer, we estimate the average per unit price, net of discounts.</w:t>
      </w:r>
    </w:p>
    <w:p>
      <w:pPr>
        <w:spacing w:after="0" w:line="201" w:lineRule="exact"/>
        <w:rPr>
          <w:sz w:val="20"/>
          <w:szCs w:val="20"/>
          <w:color w:val="auto"/>
        </w:rPr>
      </w:pPr>
    </w:p>
    <w:p>
      <w:pPr>
        <w:jc w:val="both"/>
        <w:ind w:left="840" w:right="140"/>
        <w:spacing w:after="0" w:line="281" w:lineRule="auto"/>
        <w:rPr>
          <w:sz w:val="20"/>
          <w:szCs w:val="20"/>
          <w:color w:val="auto"/>
        </w:rPr>
      </w:pPr>
      <w:r>
        <w:rPr>
          <w:rFonts w:ascii="Arial" w:cs="Arial" w:eastAsia="Arial" w:hAnsi="Arial"/>
          <w:sz w:val="17"/>
          <w:szCs w:val="17"/>
          <w:b w:val="1"/>
          <w:bCs w:val="1"/>
          <w:color w:val="231F20"/>
        </w:rPr>
        <w:t>Service revenue. We offer an extended warranty that provides additional maintenance services beyond the standard limited warranty. We recognize Service revenue from the sale of extended warranties over the warranty period on a ratable basis as we stand ready to provide services as needed. Customers have the option of renewing the warranty period, which is considered a new and separate contract.</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Lease Revenue</w:t>
      </w:r>
    </w:p>
    <w:p>
      <w:pPr>
        <w:spacing w:after="0" w:line="128"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We lease equipment to customers under operating lease arrangements. At contract inception we perform an evaluation to determine if a lease arrangement conveys the right to control the use of an identified asset. To the extent such rights of control are conveyed, we further make an assessment as to the applicable lease classification. The identification of specified assets and determination of appropriate lease classification may require the use of management judgment.</w:t>
      </w:r>
    </w:p>
    <w:p>
      <w:pPr>
        <w:spacing w:after="0" w:line="240"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Some of our operating leases include a purchase option for the customer to purchase the leased asset at the end of the lease arrangement, subject to a new contract. We do not believe the purchase price qualifies as a bargain purchase option.</w:t>
      </w:r>
    </w:p>
    <w:p>
      <w:pPr>
        <w:spacing w:after="0" w:line="241"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6"/>
          <w:szCs w:val="16"/>
          <w:b w:val="1"/>
          <w:bCs w:val="1"/>
          <w:color w:val="231F20"/>
        </w:rPr>
        <w:t>For lease arrangements with lease and non-lease components where we are the lessor, we allocate the contract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transaction price (including discounts) to the lease and non-lease components on a relative standalone selling price, which requires judgments. For those leases with variable lease payments, the variable lease payment is typically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90</w:t>
      </w:r>
    </w:p>
    <w:p>
      <w:pPr>
        <w:sectPr>
          <w:pgSz w:w="12240" w:h="15840" w:orient="portrait"/>
          <w:cols w:equalWidth="0" w:num="1">
            <w:col w:w="9360"/>
          </w:cols>
          <w:pgMar w:left="1440" w:top="1440" w:right="1440" w:bottom="390" w:gutter="0" w:footer="0" w:header="0"/>
          <w:type w:val="continuous"/>
        </w:sectPr>
      </w:pPr>
    </w:p>
    <w:bookmarkStart w:id="92" w:name="page93"/>
    <w:bookmarkEnd w:id="92"/>
    <w:p>
      <w:pPr>
        <w:spacing w:after="0" w:line="20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based upon use of the leased equipment or the purchase of procedure licenses and PIDs used with the leased equipment.</w:t>
      </w:r>
    </w:p>
    <w:p>
      <w:pPr>
        <w:spacing w:after="0" w:line="244"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For operating leases, rental income is recognized on a straight-line basis over the lease term as lease revenue. Depreciation expense associated with the leased equipment under operating lease arrangements is reflected in cost of lease in the statements of operations.</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Lessee leases</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Lessee operating leases are included in other current liabilities and long-term operating lease liabilities in our balance sheets. We do not have lessee finance leases.</w:t>
      </w:r>
    </w:p>
    <w:p>
      <w:pPr>
        <w:spacing w:after="0" w:line="244"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Operating lease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Lease payments are discounted using our incremental borrowing rate as of the commencement date of each lease. Our remaining lease terms may include options to extend or terminate the lease when it is reasonably certain that we will exercise that option. Lease expense for lease payments is recognized on a straight-line basis as operating expense in our statements of operations over the lease term.</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Inventory</w:t>
      </w:r>
    </w:p>
    <w:p>
      <w:pPr>
        <w:spacing w:after="0" w:line="128"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7"/>
          <w:szCs w:val="17"/>
          <w:b w:val="1"/>
          <w:bCs w:val="1"/>
          <w:color w:val="231F20"/>
        </w:rPr>
        <w:t>Inventory, which consists of raw materials, work-in-process and finished goods, is stated at the lower of cost or net realizable value. Inventory levels are analyzed periodically on a first-in, first-out basis and written down to their net realizable value if they have become obsolete, have a cost basis in excess of its expected net realizable value or are in excess of expected requirements. We analyze current and future product demand relative to the remaining product shelf life to identify potential excess inventory. We build demand forecasts by considering factors such as, but not limited to, overall market potential, market share, market acceptance and patient usage.</w:t>
      </w:r>
    </w:p>
    <w:p>
      <w:pPr>
        <w:spacing w:after="0" w:line="32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Valuation of Warrant Liabilities</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We estimated the fair value of the warrant liabilities using recently quoted market prices of the Company's common stock and the Black-Scholes option pricing model. The Black-Scholes option pricing model requires the use of highly subjective and complex assumptions which impact the fair value of the warrant liabilities, including the warrant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expected term and the implied volatility of the underlying stock. Because of our limited stock trading history, we estimated stock price volatility based on an index of the historical volatilities of a group of comparable publicly-traded medical device and other peer companies, which we believe was representative of the volatility of our common stock. We have estimated the expected term based on the remaining contractual term of the warrants. The assumptions used in calculating the fair value of the warrants represent our best estimates, however the estimates involve inherent uncertainties and judgment and the use of different values could produce materially different results.</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JOBS Act Accounting Election</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 xml:space="preserve">Section 107 of the JOBS Act provides that an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emerging growth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91</w:t>
      </w:r>
    </w:p>
    <w:p>
      <w:pPr>
        <w:sectPr>
          <w:pgSz w:w="12240" w:h="15840" w:orient="portrait"/>
          <w:cols w:equalWidth="0" w:num="1">
            <w:col w:w="9360"/>
          </w:cols>
          <w:pgMar w:left="1440" w:top="1440" w:right="1440" w:bottom="390" w:gutter="0" w:footer="0" w:header="0"/>
          <w:type w:val="continuous"/>
        </w:sectPr>
      </w:pPr>
    </w:p>
    <w:bookmarkStart w:id="93" w:name="page94"/>
    <w:bookmarkEnd w:id="93"/>
    <w:p>
      <w:pPr>
        <w:spacing w:after="0" w:line="20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We intend to rely on other exemptions provided by the JOBS Act so long as we remain eligible, including without limitation, not being required to comply with the auditor attestation requirements of Section 404(b) of the Sarbanes-Oxley Act.</w:t>
      </w:r>
    </w:p>
    <w:p>
      <w:pPr>
        <w:spacing w:after="0" w:line="241"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were an emerging growth company through December 31, 2025 (the fiscal year-end following the fifth anniversary of the completion of the Spin-Off).</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Recently Issued Accounting Standards</w:t>
      </w:r>
    </w:p>
    <w:p>
      <w:pPr>
        <w:spacing w:after="0" w:line="12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See Note 2, Summary of Significant Accounting Policies, to our financial statements included elsewhere in this Annual Report for a discussion of recently adopted accounting pronouncements and recently issued accounting pronouncements not yet adopted as of December 31, 2025.</w:t>
      </w:r>
    </w:p>
    <w:p>
      <w:pPr>
        <w:spacing w:after="0" w:line="354"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7A.</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125" w:lineRule="exact"/>
        <w:rPr>
          <w:sz w:val="20"/>
          <w:szCs w:val="20"/>
          <w:color w:val="auto"/>
        </w:rPr>
      </w:pPr>
    </w:p>
    <w:p>
      <w:pPr>
        <w:jc w:val="both"/>
        <w:ind w:left="140" w:right="140"/>
        <w:spacing w:after="0" w:line="294" w:lineRule="auto"/>
        <w:rPr>
          <w:sz w:val="20"/>
          <w:szCs w:val="20"/>
          <w:color w:val="auto"/>
        </w:rPr>
      </w:pPr>
      <w:r>
        <w:rPr>
          <w:rFonts w:ascii="Arial" w:cs="Arial" w:eastAsia="Arial" w:hAnsi="Arial"/>
          <w:sz w:val="16"/>
          <w:szCs w:val="16"/>
          <w:b w:val="1"/>
          <w:bCs w:val="1"/>
          <w:color w:val="231F20"/>
        </w:rPr>
        <w:t>We had cash, cash equivalents and short-term and long-term investments of $18.0 million as of December 31, 2025. We generally hold our cash and cash equivalents in interest-bearing bank accounts, money market funds, and U.S. treasury bills. In addition, we received a $10.0 million cash deposit associated with the Merger, which is included in our cash and investments and became our property in connection with the termination of the Merger Agreement.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December 31, 2025.</w:t>
      </w:r>
    </w:p>
    <w:p>
      <w:pPr>
        <w:spacing w:after="0" w:line="209"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ability to operate for lack of payment and, in the case of notes receivable, repossess the system if scheduled payments lapse. As of December 31, 2025, no customer accounted for more than 10% of our accounts receivable, net.</w:t>
      </w:r>
    </w:p>
    <w:p>
      <w:pPr>
        <w:spacing w:after="0" w:line="24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We currently have limited exposure to foreign currency fluctuations and do not engage in any hedging activities as part of our normal course of business.</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8. Financial Statements and Supplementary Data.</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financial statements required to be filed pursuant to this Item 8 are appended to this Annual Report and are incorporated herein by reference.</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9. Changes in and Disagreements with Accountants on Accounting and Financial Disclosure.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None.</w:t>
      </w:r>
    </w:p>
    <w:p>
      <w:pPr>
        <w:spacing w:after="0" w:line="355"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9A.</w:t>
      </w:r>
      <w:r>
        <w:rPr>
          <w:sz w:val="20"/>
          <w:szCs w:val="20"/>
          <w:color w:val="auto"/>
        </w:rPr>
        <w:tab/>
      </w:r>
      <w:r>
        <w:rPr>
          <w:rFonts w:ascii="Arial" w:cs="Arial" w:eastAsia="Arial" w:hAnsi="Arial"/>
          <w:sz w:val="17"/>
          <w:szCs w:val="17"/>
          <w:b w:val="1"/>
          <w:bCs w:val="1"/>
          <w:color w:val="231F20"/>
        </w:rPr>
        <w:t>Controls and Procedures.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Limitations on Effectiveness of Controls and Procedures</w:t>
      </w:r>
    </w:p>
    <w:p>
      <w:pPr>
        <w:spacing w:after="0" w:line="125"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92</w:t>
      </w:r>
    </w:p>
    <w:p>
      <w:pPr>
        <w:sectPr>
          <w:pgSz w:w="12240" w:h="15840" w:orient="portrait"/>
          <w:cols w:equalWidth="0" w:num="1">
            <w:col w:w="9360"/>
          </w:cols>
          <w:pgMar w:left="1440" w:top="1440" w:right="1440" w:bottom="390" w:gutter="0" w:footer="0" w:header="0"/>
          <w:type w:val="continuous"/>
        </w:sectPr>
      </w:pPr>
    </w:p>
    <w:bookmarkStart w:id="94" w:name="page95"/>
    <w:bookmarkEnd w:id="94"/>
    <w:p>
      <w:pPr>
        <w:spacing w:after="0" w:line="1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Evaluation of Disclosure Controls and Procedures</w:t>
      </w:r>
    </w:p>
    <w:p>
      <w:pPr>
        <w:spacing w:after="0" w:line="128"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management has evaluated, with the participation of the chief executive officer and the chief financial officer, the effectiveness of our disclosure controls and procedures (as defined in Rules 13a-15(e) and 15d-15(e) under the Exchange Act) as of the end of the period covered by this Annual Report. Based on this evaluation, the chief executive officer and chief financial officer concluded that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disclosure controls and procedures were effective at the reasonable assurance level as of December 31, 2025.</w:t>
      </w:r>
    </w:p>
    <w:p>
      <w:pPr>
        <w:spacing w:after="0" w:line="344" w:lineRule="exact"/>
        <w:rPr>
          <w:sz w:val="20"/>
          <w:szCs w:val="20"/>
          <w:color w:val="auto"/>
        </w:rPr>
      </w:pPr>
    </w:p>
    <w:p>
      <w:pPr>
        <w:ind w:left="140"/>
        <w:spacing w:after="0" w:line="231" w:lineRule="exact"/>
        <w:rPr>
          <w:sz w:val="20"/>
          <w:szCs w:val="20"/>
          <w:color w:val="auto"/>
        </w:rPr>
      </w:pPr>
      <w:r>
        <w:rPr>
          <w:rFonts w:ascii="Arial" w:cs="Arial" w:eastAsia="Arial" w:hAnsi="Arial"/>
          <w:sz w:val="19"/>
          <w:szCs w:val="19"/>
          <w:b w:val="1"/>
          <w:bCs w:val="1"/>
          <w:color w:val="231F20"/>
        </w:rPr>
        <w:t>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Annual Report on Internal Control Over Financial Reporting</w:t>
      </w:r>
    </w:p>
    <w:p>
      <w:pPr>
        <w:spacing w:after="0" w:line="128"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 xml:space="preserve">Our management is responsible for establishing and maintaining adequate internal control over our financial reporting, as such term is defined in Rule 13a-15(f) and 15d-15(f) under the Exchange Act. Our management, under the supervision and with the participation of our principal executive officer and principal financial officer, conducted an assessment of the effectiveness of our internal control over financial reporting as of December 31, 2025 based on the criteria set forth in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Internal Control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Integrated Framework (2013)</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issued by the Committee of Sponsoring Organizations of the Treadway Commission. Based on this assessment, our management concluded that, as of December 31, 2025, our internal control over financial reporting was effective.</w:t>
      </w:r>
    </w:p>
    <w:p>
      <w:pPr>
        <w:spacing w:after="0" w:line="35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Attestation Report of the Registered Public Accounting Firm</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For so long as we qualify as a non-accelerated filer, our independent registered public accounting firm is not required to issue an attestation report on our internal control over financial reporting.</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Changes in Internal Control over Financial Reporting</w:t>
      </w:r>
    </w:p>
    <w:p>
      <w:pPr>
        <w:spacing w:after="0" w:line="125"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There were no changes in our internal control over financial reporting (as defined in Rules 13a-15(f) and 15d-15(f) under the Exchange Act) during the three months ended December 31, 2025 that have materially affected, or are reasonably likely to materially affect, our internal control over financial reporting.</w:t>
      </w:r>
    </w:p>
    <w:p>
      <w:pPr>
        <w:spacing w:after="0" w:line="337"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9B.</w:t>
      </w:r>
      <w:r>
        <w:rPr>
          <w:sz w:val="20"/>
          <w:szCs w:val="20"/>
          <w:color w:val="auto"/>
        </w:rPr>
        <w:tab/>
      </w:r>
      <w:r>
        <w:rPr>
          <w:rFonts w:ascii="Arial" w:cs="Arial" w:eastAsia="Arial" w:hAnsi="Arial"/>
          <w:sz w:val="18"/>
          <w:szCs w:val="18"/>
          <w:b w:val="1"/>
          <w:bCs w:val="1"/>
          <w:color w:val="231F20"/>
        </w:rPr>
        <w:t>Other Information.</w:t>
      </w:r>
    </w:p>
    <w:p>
      <w:pPr>
        <w:spacing w:after="0" w:line="120" w:lineRule="exact"/>
        <w:rPr>
          <w:sz w:val="20"/>
          <w:szCs w:val="20"/>
          <w:color w:val="auto"/>
        </w:rPr>
      </w:pPr>
    </w:p>
    <w:p>
      <w:pPr>
        <w:ind w:left="840" w:hanging="698"/>
        <w:spacing w:after="0"/>
        <w:tabs>
          <w:tab w:leader="none" w:pos="840" w:val="left"/>
        </w:tabs>
        <w:numPr>
          <w:ilvl w:val="0"/>
          <w:numId w:val="50"/>
        </w:numPr>
        <w:rPr>
          <w:rFonts w:ascii="Arial" w:cs="Arial" w:eastAsia="Arial" w:hAnsi="Arial"/>
          <w:sz w:val="19"/>
          <w:szCs w:val="19"/>
          <w:b w:val="1"/>
          <w:bCs w:val="1"/>
          <w:color w:val="231F20"/>
        </w:rPr>
      </w:pPr>
      <w:r>
        <w:rPr>
          <w:rFonts w:ascii="Arial" w:cs="Arial" w:eastAsia="Arial" w:hAnsi="Arial"/>
          <w:sz w:val="19"/>
          <w:szCs w:val="19"/>
          <w:b w:val="1"/>
          <w:bCs w:val="1"/>
          <w:color w:val="231F20"/>
        </w:rPr>
        <w:t>None.</w:t>
      </w:r>
    </w:p>
    <w:p>
      <w:pPr>
        <w:spacing w:after="0" w:line="127" w:lineRule="exact"/>
        <w:rPr>
          <w:rFonts w:ascii="Arial" w:cs="Arial" w:eastAsia="Arial" w:hAnsi="Arial"/>
          <w:sz w:val="19"/>
          <w:szCs w:val="19"/>
          <w:b w:val="1"/>
          <w:bCs w:val="1"/>
          <w:color w:val="231F20"/>
        </w:rPr>
      </w:pPr>
    </w:p>
    <w:p>
      <w:pPr>
        <w:jc w:val="both"/>
        <w:ind w:left="840" w:right="140" w:hanging="698"/>
        <w:spacing w:after="0" w:line="220" w:lineRule="exact"/>
        <w:tabs>
          <w:tab w:leader="none" w:pos="839" w:val="left"/>
        </w:tabs>
        <w:numPr>
          <w:ilvl w:val="0"/>
          <w:numId w:val="50"/>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During the three months ended December 31, 2025, no directors or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officers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(as defined in Rule 16a-1(f) under the Exchange Act) of the Company adopted, modified or terminated a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Rule 10b5-1 trading arrangement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and/or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non-Rule 10b5-1 trading arrangement,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as each term is defined in Item 408 of Regulation S-K.</w:t>
      </w:r>
    </w:p>
    <w:p>
      <w:pPr>
        <w:spacing w:after="0" w:line="357"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9"/>
          <w:szCs w:val="19"/>
          <w:b w:val="1"/>
          <w:bCs w:val="1"/>
          <w:color w:val="231F20"/>
        </w:rPr>
        <w:t>Item 9C.</w:t>
      </w:r>
      <w:r>
        <w:rPr>
          <w:sz w:val="20"/>
          <w:szCs w:val="20"/>
          <w:color w:val="auto"/>
        </w:rPr>
        <w:tab/>
      </w:r>
      <w:r>
        <w:rPr>
          <w:rFonts w:ascii="Arial" w:cs="Arial" w:eastAsia="Arial" w:hAnsi="Arial"/>
          <w:sz w:val="17"/>
          <w:szCs w:val="17"/>
          <w:b w:val="1"/>
          <w:bCs w:val="1"/>
          <w:color w:val="231F20"/>
        </w:rPr>
        <w:t>Disclosure Regarding Foreign Jurisdictions that Prevent Inspections.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 applicable.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93</w:t>
      </w:r>
    </w:p>
    <w:p>
      <w:pPr>
        <w:sectPr>
          <w:pgSz w:w="12240" w:h="15840" w:orient="portrait"/>
          <w:cols w:equalWidth="0" w:num="1">
            <w:col w:w="9360"/>
          </w:cols>
          <w:pgMar w:left="1440" w:top="1440" w:right="1440" w:bottom="390" w:gutter="0" w:footer="0" w:header="0"/>
          <w:type w:val="continuous"/>
        </w:sectPr>
      </w:pPr>
    </w:p>
    <w:bookmarkStart w:id="95" w:name="page96"/>
    <w:bookmarkEnd w:id="95"/>
    <w:p>
      <w:pPr>
        <w:spacing w:after="0" w:line="196"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231F20"/>
        </w:rPr>
        <w:t>Part III</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10.Directors, Executive Officers and Corporate Governance.</w:t>
      </w:r>
    </w:p>
    <w:p>
      <w:pPr>
        <w:spacing w:after="0" w:line="128"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6"/>
          <w:szCs w:val="16"/>
          <w:b w:val="1"/>
          <w:bCs w:val="1"/>
          <w:color w:val="231F20"/>
        </w:rPr>
        <w:t xml:space="preserve">The information required by this Item is incorporated herein by reference to the information that will be contained in our proxy statement related to our annual meeting of stockholders to be held in 2026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2026 Annual Meeting of Stockholders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which we intend to file with the SEC within 120 days of the year ended December 31, 2025.</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11.Executive Compensation.</w:t>
      </w:r>
    </w:p>
    <w:p>
      <w:pPr>
        <w:spacing w:after="0" w:line="128" w:lineRule="exact"/>
        <w:rPr>
          <w:sz w:val="20"/>
          <w:szCs w:val="20"/>
          <w:color w:val="auto"/>
        </w:rPr>
      </w:pPr>
    </w:p>
    <w:p>
      <w:pPr>
        <w:jc w:val="both"/>
        <w:ind w:left="140" w:right="140"/>
        <w:spacing w:after="0"/>
        <w:rPr>
          <w:sz w:val="20"/>
          <w:szCs w:val="20"/>
          <w:color w:val="auto"/>
        </w:rPr>
      </w:pPr>
      <w:r>
        <w:rPr>
          <w:rFonts w:ascii="Arial" w:cs="Arial" w:eastAsia="Arial" w:hAnsi="Arial"/>
          <w:sz w:val="19"/>
          <w:szCs w:val="19"/>
          <w:b w:val="1"/>
          <w:bCs w:val="1"/>
          <w:color w:val="231F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spacing w:after="0" w:line="3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Item 12.Security Ownership of Certain Beneficial Owners and Management Related Stockholder Matters.</w:t>
      </w:r>
    </w:p>
    <w:p>
      <w:pPr>
        <w:spacing w:after="0" w:line="131"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13.Certain Relationships and Related Transactions, and Director Independence.</w:t>
      </w:r>
    </w:p>
    <w:p>
      <w:pPr>
        <w:spacing w:after="0" w:line="12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14.Principal Accounting Fees and Services.</w:t>
      </w:r>
    </w:p>
    <w:p>
      <w:pPr>
        <w:spacing w:after="0" w:line="12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94</w:t>
      </w:r>
    </w:p>
    <w:p>
      <w:pPr>
        <w:sectPr>
          <w:pgSz w:w="12240" w:h="15840" w:orient="portrait"/>
          <w:cols w:equalWidth="0" w:num="1">
            <w:col w:w="9360"/>
          </w:cols>
          <w:pgMar w:left="1440" w:top="1440" w:right="1440" w:bottom="390" w:gutter="0" w:footer="0" w:header="0"/>
          <w:type w:val="continuous"/>
        </w:sectPr>
      </w:pPr>
    </w:p>
    <w:bookmarkStart w:id="96" w:name="page97"/>
    <w:bookmarkEnd w:id="96"/>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Part IV</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15.Exhibits, Financial Statement Schedules.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(a)(1) Financial Statements</w:t>
      </w:r>
    </w:p>
    <w:p>
      <w:pPr>
        <w:spacing w:after="0" w:line="125"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The following documents are included on pages F-1 through F-36 attached hereto and are filed as part of this Annual Report.</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3420" w:type="dxa"/>
            <w:vAlign w:val="bottom"/>
            <w:tcBorders>
              <w:bottom w:val="single" w:sz="8" w:color="231F20"/>
            </w:tcBorders>
          </w:tcPr>
          <w:p>
            <w:pPr>
              <w:spacing w:after="0"/>
              <w:rPr>
                <w:sz w:val="20"/>
                <w:szCs w:val="20"/>
                <w:color w:val="auto"/>
              </w:rPr>
            </w:pPr>
            <w:r>
              <w:rPr>
                <w:rFonts w:ascii="Arial" w:cs="Arial" w:eastAsia="Arial" w:hAnsi="Arial"/>
                <w:sz w:val="19"/>
                <w:szCs w:val="19"/>
                <w:b w:val="1"/>
                <w:bCs w:val="1"/>
                <w:color w:val="231F20"/>
              </w:rPr>
              <w:t>AUDITED FINANCIAL STATEMENTS</w:t>
            </w:r>
          </w:p>
        </w:tc>
        <w:tc>
          <w:tcPr>
            <w:tcW w:w="48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38"/>
        </w:trPr>
        <w:tc>
          <w:tcPr>
            <w:tcW w:w="8260" w:type="dxa"/>
            <w:vAlign w:val="bottom"/>
            <w:gridSpan w:val="2"/>
          </w:tcPr>
          <w:p>
            <w:pPr>
              <w:spacing w:after="0"/>
              <w:rPr>
                <w:sz w:val="20"/>
                <w:szCs w:val="20"/>
                <w:color w:val="auto"/>
              </w:rPr>
            </w:pPr>
            <w:r>
              <w:rPr>
                <w:rFonts w:ascii="Arial" w:cs="Arial" w:eastAsia="Arial" w:hAnsi="Arial"/>
                <w:sz w:val="19"/>
                <w:szCs w:val="19"/>
                <w:b w:val="1"/>
                <w:bCs w:val="1"/>
                <w:color w:val="231F20"/>
              </w:rPr>
              <w:t>REPORT OF INDEPENDENT REGISTERED PUBLIC ACCOUNTING FIRM (PCAOB ID 238)</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F-1</w:t>
            </w:r>
          </w:p>
        </w:tc>
      </w:tr>
      <w:tr>
        <w:trPr>
          <w:trHeight w:val="444"/>
        </w:trPr>
        <w:tc>
          <w:tcPr>
            <w:tcW w:w="8260" w:type="dxa"/>
            <w:vAlign w:val="bottom"/>
            <w:gridSpan w:val="2"/>
          </w:tcPr>
          <w:p>
            <w:pPr>
              <w:spacing w:after="0"/>
              <w:rPr>
                <w:sz w:val="20"/>
                <w:szCs w:val="20"/>
                <w:color w:val="auto"/>
              </w:rPr>
            </w:pPr>
            <w:r>
              <w:rPr>
                <w:rFonts w:ascii="Arial" w:cs="Arial" w:eastAsia="Arial" w:hAnsi="Arial"/>
                <w:sz w:val="19"/>
                <w:szCs w:val="19"/>
                <w:b w:val="1"/>
                <w:bCs w:val="1"/>
                <w:color w:val="231F20"/>
              </w:rPr>
              <w:t>STATEMENTS OF OPERATIONS AND COMPREHENSIVE LOSS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F-2</w:t>
            </w:r>
          </w:p>
        </w:tc>
      </w:tr>
      <w:tr>
        <w:trPr>
          <w:trHeight w:val="446"/>
        </w:trPr>
        <w:tc>
          <w:tcPr>
            <w:tcW w:w="8260" w:type="dxa"/>
            <w:vAlign w:val="bottom"/>
            <w:gridSpan w:val="2"/>
          </w:tcPr>
          <w:p>
            <w:pPr>
              <w:spacing w:after="0"/>
              <w:rPr>
                <w:sz w:val="20"/>
                <w:szCs w:val="20"/>
                <w:color w:val="auto"/>
              </w:rPr>
            </w:pPr>
            <w:r>
              <w:rPr>
                <w:rFonts w:ascii="Arial" w:cs="Arial" w:eastAsia="Arial" w:hAnsi="Arial"/>
                <w:sz w:val="19"/>
                <w:szCs w:val="19"/>
                <w:b w:val="1"/>
                <w:bCs w:val="1"/>
                <w:color w:val="231F20"/>
              </w:rPr>
              <w:t>BALANCE SHEETS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F-3</w:t>
            </w:r>
          </w:p>
        </w:tc>
      </w:tr>
      <w:tr>
        <w:trPr>
          <w:trHeight w:val="446"/>
        </w:trPr>
        <w:tc>
          <w:tcPr>
            <w:tcW w:w="8260" w:type="dxa"/>
            <w:vAlign w:val="bottom"/>
            <w:gridSpan w:val="2"/>
          </w:tcPr>
          <w:p>
            <w:pPr>
              <w:spacing w:after="0"/>
              <w:rPr>
                <w:sz w:val="20"/>
                <w:szCs w:val="20"/>
                <w:color w:val="auto"/>
              </w:rPr>
            </w:pPr>
            <w:r>
              <w:rPr>
                <w:rFonts w:ascii="Arial" w:cs="Arial" w:eastAsia="Arial" w:hAnsi="Arial"/>
                <w:sz w:val="19"/>
                <w:szCs w:val="19"/>
                <w:b w:val="1"/>
                <w:bCs w:val="1"/>
                <w:color w:val="231F20"/>
              </w:rPr>
              <w:t>STATEMENTS OF CASH FLOWS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F-4</w:t>
            </w:r>
          </w:p>
        </w:tc>
      </w:tr>
      <w:tr>
        <w:trPr>
          <w:trHeight w:val="446"/>
        </w:trPr>
        <w:tc>
          <w:tcPr>
            <w:tcW w:w="8260" w:type="dxa"/>
            <w:vAlign w:val="bottom"/>
            <w:gridSpan w:val="2"/>
          </w:tcPr>
          <w:p>
            <w:pPr>
              <w:spacing w:after="0"/>
              <w:rPr>
                <w:sz w:val="20"/>
                <w:szCs w:val="20"/>
                <w:color w:val="auto"/>
              </w:rPr>
            </w:pPr>
            <w:r>
              <w:rPr>
                <w:rFonts w:ascii="Arial" w:cs="Arial" w:eastAsia="Arial" w:hAnsi="Arial"/>
                <w:sz w:val="19"/>
                <w:szCs w:val="19"/>
                <w:b w:val="1"/>
                <w:bCs w:val="1"/>
                <w:color w:val="231F20"/>
              </w:rPr>
              <w:t>STATEMENT OF CHANGES IN REDEEMABLE CONVERTIBLE PREFERRED STOCK AND</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F-6</w:t>
            </w:r>
          </w:p>
        </w:tc>
      </w:tr>
      <w:tr>
        <w:trPr>
          <w:trHeight w:val="223"/>
        </w:trPr>
        <w:tc>
          <w:tcPr>
            <w:tcW w:w="8260" w:type="dxa"/>
            <w:vAlign w:val="bottom"/>
            <w:gridSpan w:val="2"/>
          </w:tcPr>
          <w:p>
            <w:pPr>
              <w:spacing w:after="0" w:line="223" w:lineRule="exact"/>
              <w:rPr>
                <w:sz w:val="20"/>
                <w:szCs w:val="20"/>
                <w:color w:val="auto"/>
              </w:rPr>
            </w:pPr>
            <w:r>
              <w:rPr>
                <w:rFonts w:ascii="Arial" w:cs="Arial" w:eastAsia="Arial" w:hAnsi="Arial"/>
                <w:sz w:val="19"/>
                <w:szCs w:val="19"/>
                <w:b w:val="1"/>
                <w:bCs w:val="1"/>
                <w:color w:val="231F20"/>
              </w:rPr>
              <w:t>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820" w:type="dxa"/>
            <w:vAlign w:val="bottom"/>
          </w:tcPr>
          <w:p>
            <w:pPr>
              <w:spacing w:after="0"/>
              <w:rPr>
                <w:sz w:val="19"/>
                <w:szCs w:val="19"/>
                <w:color w:val="auto"/>
              </w:rPr>
            </w:pPr>
          </w:p>
        </w:tc>
      </w:tr>
      <w:tr>
        <w:trPr>
          <w:trHeight w:val="446"/>
        </w:trPr>
        <w:tc>
          <w:tcPr>
            <w:tcW w:w="8260" w:type="dxa"/>
            <w:vAlign w:val="bottom"/>
            <w:gridSpan w:val="2"/>
          </w:tcPr>
          <w:p>
            <w:pPr>
              <w:spacing w:after="0"/>
              <w:rPr>
                <w:sz w:val="20"/>
                <w:szCs w:val="20"/>
                <w:color w:val="auto"/>
              </w:rPr>
            </w:pPr>
            <w:r>
              <w:rPr>
                <w:rFonts w:ascii="Arial" w:cs="Arial" w:eastAsia="Arial" w:hAnsi="Arial"/>
                <w:sz w:val="19"/>
                <w:szCs w:val="19"/>
                <w:b w:val="1"/>
                <w:bCs w:val="1"/>
                <w:color w:val="231F20"/>
              </w:rPr>
              <w:t>NOTES TO FINANCIAL STATEMENTS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F-7</w:t>
            </w:r>
          </w:p>
        </w:tc>
      </w:tr>
    </w:tbl>
    <w:p>
      <w:pPr>
        <w:spacing w:after="0" w:line="38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(a)(2) Financial Statement Schedules</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All financial statement schedules have been omitted because they are not applicable, not required or the information required is shown in the financial statements or the notes thereto.</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(a)(3) Exhibits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following is a list of exhibits filed as part of this Annual Report.</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jc w:val="center"/>
              <w:ind w:left="22"/>
              <w:spacing w:after="0"/>
              <w:rPr>
                <w:sz w:val="20"/>
                <w:szCs w:val="20"/>
                <w:color w:val="auto"/>
              </w:rPr>
            </w:pPr>
            <w:r>
              <w:rPr>
                <w:rFonts w:ascii="Arial" w:cs="Arial" w:eastAsia="Arial" w:hAnsi="Arial"/>
                <w:sz w:val="16"/>
                <w:szCs w:val="16"/>
                <w:b w:val="1"/>
                <w:bCs w:val="1"/>
                <w:color w:val="231F20"/>
                <w:w w:val="90"/>
              </w:rPr>
              <w:t>Filed/</w:t>
            </w:r>
          </w:p>
        </w:tc>
      </w:tr>
      <w:tr>
        <w:trPr>
          <w:trHeight w:val="178"/>
        </w:trPr>
        <w:tc>
          <w:tcPr>
            <w:tcW w:w="680" w:type="dxa"/>
            <w:vAlign w:val="bottom"/>
          </w:tcPr>
          <w:p>
            <w:pPr>
              <w:spacing w:after="0" w:line="178" w:lineRule="exact"/>
              <w:rPr>
                <w:sz w:val="20"/>
                <w:szCs w:val="20"/>
                <w:color w:val="auto"/>
              </w:rPr>
            </w:pPr>
            <w:r>
              <w:rPr>
                <w:rFonts w:ascii="Arial" w:cs="Arial" w:eastAsia="Arial" w:hAnsi="Arial"/>
                <w:sz w:val="16"/>
                <w:szCs w:val="16"/>
                <w:b w:val="1"/>
                <w:bCs w:val="1"/>
                <w:color w:val="231F20"/>
              </w:rPr>
              <w:t>Exhibit</w:t>
            </w:r>
          </w:p>
        </w:tc>
        <w:tc>
          <w:tcPr>
            <w:tcW w:w="3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jc w:val="center"/>
              <w:ind w:left="42"/>
              <w:spacing w:after="0" w:line="178" w:lineRule="exact"/>
              <w:rPr>
                <w:sz w:val="20"/>
                <w:szCs w:val="20"/>
                <w:color w:val="auto"/>
              </w:rPr>
            </w:pPr>
            <w:r>
              <w:rPr>
                <w:rFonts w:ascii="Arial" w:cs="Arial" w:eastAsia="Arial" w:hAnsi="Arial"/>
                <w:sz w:val="16"/>
                <w:szCs w:val="16"/>
                <w:b w:val="1"/>
                <w:bCs w:val="1"/>
                <w:color w:val="231F20"/>
                <w:w w:val="87"/>
              </w:rPr>
              <w:t>Furnished</w:t>
            </w:r>
          </w:p>
        </w:tc>
      </w:tr>
      <w:tr>
        <w:trPr>
          <w:trHeight w:val="180"/>
        </w:trPr>
        <w:tc>
          <w:tcPr>
            <w:tcW w:w="680" w:type="dxa"/>
            <w:vAlign w:val="bottom"/>
          </w:tcPr>
          <w:p>
            <w:pPr>
              <w:spacing w:after="0" w:line="180" w:lineRule="exact"/>
              <w:rPr>
                <w:sz w:val="20"/>
                <w:szCs w:val="20"/>
                <w:color w:val="auto"/>
              </w:rPr>
            </w:pPr>
            <w:r>
              <w:rPr>
                <w:rFonts w:ascii="Arial" w:cs="Arial" w:eastAsia="Arial" w:hAnsi="Arial"/>
                <w:sz w:val="16"/>
                <w:szCs w:val="16"/>
                <w:b w:val="1"/>
                <w:bCs w:val="1"/>
                <w:color w:val="231F20"/>
              </w:rPr>
              <w:t>Number</w:t>
            </w:r>
          </w:p>
        </w:tc>
        <w:tc>
          <w:tcPr>
            <w:tcW w:w="3760" w:type="dxa"/>
            <w:vAlign w:val="bottom"/>
          </w:tcPr>
          <w:p>
            <w:pPr>
              <w:ind w:left="140"/>
              <w:spacing w:after="0" w:line="180" w:lineRule="exact"/>
              <w:rPr>
                <w:sz w:val="20"/>
                <w:szCs w:val="20"/>
                <w:color w:val="auto"/>
              </w:rPr>
            </w:pPr>
            <w:r>
              <w:rPr>
                <w:rFonts w:ascii="Arial" w:cs="Arial" w:eastAsia="Arial" w:hAnsi="Arial"/>
                <w:sz w:val="16"/>
                <w:szCs w:val="16"/>
                <w:b w:val="1"/>
                <w:bCs w:val="1"/>
                <w:color w:val="231F20"/>
              </w:rPr>
              <w:t>Description</w:t>
            </w:r>
          </w:p>
        </w:tc>
        <w:tc>
          <w:tcPr>
            <w:tcW w:w="100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94"/>
              </w:rPr>
              <w:t>Form</w:t>
            </w:r>
          </w:p>
        </w:tc>
        <w:tc>
          <w:tcPr>
            <w:tcW w:w="1040" w:type="dxa"/>
            <w:vAlign w:val="bottom"/>
          </w:tcPr>
          <w:p>
            <w:pPr>
              <w:ind w:left="260"/>
              <w:spacing w:after="0" w:line="180" w:lineRule="exact"/>
              <w:rPr>
                <w:sz w:val="20"/>
                <w:szCs w:val="20"/>
                <w:color w:val="auto"/>
              </w:rPr>
            </w:pPr>
            <w:r>
              <w:rPr>
                <w:rFonts w:ascii="Arial" w:cs="Arial" w:eastAsia="Arial" w:hAnsi="Arial"/>
                <w:sz w:val="16"/>
                <w:szCs w:val="16"/>
                <w:b w:val="1"/>
                <w:bCs w:val="1"/>
                <w:color w:val="231F20"/>
              </w:rPr>
              <w:t>File No.</w:t>
            </w:r>
          </w:p>
        </w:tc>
        <w:tc>
          <w:tcPr>
            <w:tcW w:w="66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9"/>
              </w:rPr>
              <w:t>Exhibit</w:t>
            </w:r>
          </w:p>
        </w:tc>
        <w:tc>
          <w:tcPr>
            <w:tcW w:w="112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90"/>
              </w:rPr>
              <w:t>Filing Date</w:t>
            </w:r>
          </w:p>
        </w:tc>
        <w:tc>
          <w:tcPr>
            <w:tcW w:w="800" w:type="dxa"/>
            <w:vAlign w:val="bottom"/>
          </w:tcPr>
          <w:p>
            <w:pPr>
              <w:jc w:val="center"/>
              <w:ind w:left="22"/>
              <w:spacing w:after="0" w:line="180" w:lineRule="exact"/>
              <w:rPr>
                <w:sz w:val="20"/>
                <w:szCs w:val="20"/>
                <w:color w:val="auto"/>
              </w:rPr>
            </w:pPr>
            <w:r>
              <w:rPr>
                <w:rFonts w:ascii="Arial" w:cs="Arial" w:eastAsia="Arial" w:hAnsi="Arial"/>
                <w:sz w:val="16"/>
                <w:szCs w:val="16"/>
                <w:b w:val="1"/>
                <w:bCs w:val="1"/>
                <w:color w:val="231F20"/>
                <w:w w:val="91"/>
              </w:rPr>
              <w:t>Herewith</w:t>
            </w:r>
          </w:p>
        </w:tc>
      </w:tr>
      <w:tr>
        <w:trPr>
          <w:trHeight w:val="356"/>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1.2</w:t>
            </w: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0"/>
              </w:rPr>
              <w:t>Sales Agreement, dated April 8, 2021 by and</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89"/>
              </w:rPr>
              <w:t>Form S-3</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333-255136</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1.2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04/08/2021</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rPr>
              <w:t>between LENSAR, Inc. and SVB Leerink</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rPr>
              <w:t>LLC</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2.1+</w:t>
            </w:r>
          </w:p>
        </w:tc>
        <w:tc>
          <w:tcPr>
            <w:tcW w:w="3760" w:type="dxa"/>
            <w:vAlign w:val="bottom"/>
          </w:tcPr>
          <w:p>
            <w:pPr>
              <w:ind w:left="140"/>
              <w:spacing w:after="0"/>
              <w:rPr>
                <w:sz w:val="20"/>
                <w:szCs w:val="20"/>
                <w:color w:val="auto"/>
              </w:rPr>
            </w:pPr>
            <w:r>
              <w:rPr>
                <w:rFonts w:ascii="Arial" w:cs="Arial" w:eastAsia="Arial" w:hAnsi="Arial"/>
                <w:sz w:val="19"/>
                <w:szCs w:val="19"/>
                <w:b w:val="1"/>
                <w:bCs w:val="1"/>
                <w:color w:val="696A6C"/>
              </w:rPr>
              <w:t>Separation and Distribution Agreement</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2.1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10/02/2020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696A6C"/>
                <w:w w:val="90"/>
              </w:rPr>
              <w:t>between PDL BioPharma, Inc. and LENSAR,</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696A6C"/>
              </w:rPr>
              <w:t>Inc</w:t>
            </w:r>
            <w:r>
              <w:rPr>
                <w:rFonts w:ascii="Arial" w:cs="Arial" w:eastAsia="Arial" w:hAnsi="Arial"/>
                <w:sz w:val="19"/>
                <w:szCs w:val="19"/>
                <w:b w:val="1"/>
                <w:bCs w:val="1"/>
                <w:color w:val="231F20"/>
              </w:rPr>
              <w:t>.</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2.2+</w:t>
            </w: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3"/>
              </w:rPr>
              <w:t>Agreement and Plan of Merger, dated as of</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2.1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03/24/2025</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9"/>
              </w:rPr>
              <w:t>March 23, 2025, by and among LENSAR,</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3"/>
              </w:rPr>
              <w:t>Inc., Alcon Research, LLC, and VMI Option</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rPr>
              <w:t>Merger Sub, Inc</w:t>
            </w:r>
            <w:r>
              <w:rPr>
                <w:rFonts w:ascii="Arial" w:cs="Arial" w:eastAsia="Arial" w:hAnsi="Arial"/>
                <w:sz w:val="19"/>
                <w:szCs w:val="19"/>
                <w:b w:val="1"/>
                <w:bCs w:val="1"/>
                <w:u w:val="single" w:color="auto"/>
                <w:color w:val="6D6E70"/>
              </w:rPr>
              <w:t>.</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46"/>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3.1</w:t>
            </w:r>
          </w:p>
        </w:tc>
        <w:tc>
          <w:tcPr>
            <w:tcW w:w="3760" w:type="dxa"/>
            <w:vAlign w:val="bottom"/>
          </w:tcPr>
          <w:p>
            <w:pPr>
              <w:ind w:left="140"/>
              <w:spacing w:after="0"/>
              <w:rPr>
                <w:sz w:val="20"/>
                <w:szCs w:val="20"/>
                <w:color w:val="auto"/>
              </w:rPr>
            </w:pPr>
            <w:r>
              <w:rPr>
                <w:rFonts w:ascii="Arial" w:cs="Arial" w:eastAsia="Arial" w:hAnsi="Arial"/>
                <w:sz w:val="19"/>
                <w:szCs w:val="19"/>
                <w:b w:val="1"/>
                <w:bCs w:val="1"/>
                <w:color w:val="696A6C"/>
              </w:rPr>
              <w:t>Amended and Restated Certificate of</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3.1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10/02/2020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696A6C"/>
              </w:rPr>
              <w:t>Incorporation of LENSAR, Inc.</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3.2</w:t>
            </w: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1"/>
              </w:rPr>
              <w:t>Amended and Restated Bylaws of LENSAR,</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0"/>
              </w:rPr>
              <w:t>Form 10-Q</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3.2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11/07/2024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rPr>
              <w:t>Inc.</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3.3</w:t>
            </w: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0"/>
              </w:rPr>
              <w:t>Certificate of Designations, Preferences and</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3.1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05/18/2023</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w w:val="99"/>
              </w:rPr>
              <w:t>Rights of Series A Convertible Preferred</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9"/>
                <w:szCs w:val="19"/>
                <w:b w:val="1"/>
                <w:bCs w:val="1"/>
                <w:color w:val="231F20"/>
              </w:rPr>
              <w:t>Stock filed May 18, 2023</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95</w:t>
      </w:r>
    </w:p>
    <w:p>
      <w:pPr>
        <w:sectPr>
          <w:pgSz w:w="12240" w:h="15840" w:orient="portrait"/>
          <w:cols w:equalWidth="0" w:num="1">
            <w:col w:w="9360"/>
          </w:cols>
          <w:pgMar w:left="1440" w:top="1440" w:right="1440" w:bottom="390" w:gutter="0" w:footer="0" w:header="0"/>
          <w:type w:val="continuous"/>
        </w:sectPr>
      </w:pPr>
    </w:p>
    <w:bookmarkStart w:id="97" w:name="page98"/>
    <w:bookmarkEnd w:id="97"/>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jc w:val="center"/>
              <w:ind w:left="22"/>
              <w:spacing w:after="0"/>
              <w:rPr>
                <w:sz w:val="20"/>
                <w:szCs w:val="20"/>
                <w:color w:val="auto"/>
              </w:rPr>
            </w:pPr>
            <w:r>
              <w:rPr>
                <w:rFonts w:ascii="Arial" w:cs="Arial" w:eastAsia="Arial" w:hAnsi="Arial"/>
                <w:sz w:val="16"/>
                <w:szCs w:val="16"/>
                <w:b w:val="1"/>
                <w:bCs w:val="1"/>
                <w:color w:val="231F20"/>
                <w:w w:val="90"/>
              </w:rPr>
              <w:t>Filed/</w:t>
            </w:r>
          </w:p>
        </w:tc>
      </w:tr>
      <w:tr>
        <w:trPr>
          <w:trHeight w:val="180"/>
        </w:trPr>
        <w:tc>
          <w:tcPr>
            <w:tcW w:w="680" w:type="dxa"/>
            <w:vAlign w:val="bottom"/>
          </w:tcPr>
          <w:p>
            <w:pPr>
              <w:spacing w:after="0" w:line="180" w:lineRule="exact"/>
              <w:rPr>
                <w:sz w:val="20"/>
                <w:szCs w:val="20"/>
                <w:color w:val="auto"/>
              </w:rPr>
            </w:pPr>
            <w:r>
              <w:rPr>
                <w:rFonts w:ascii="Arial" w:cs="Arial" w:eastAsia="Arial" w:hAnsi="Arial"/>
                <w:sz w:val="16"/>
                <w:szCs w:val="16"/>
                <w:b w:val="1"/>
                <w:bCs w:val="1"/>
                <w:color w:val="231F20"/>
              </w:rPr>
              <w:t>Exhibit</w:t>
            </w:r>
          </w:p>
        </w:tc>
        <w:tc>
          <w:tcPr>
            <w:tcW w:w="3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jc w:val="center"/>
              <w:ind w:left="42"/>
              <w:spacing w:after="0" w:line="180" w:lineRule="exact"/>
              <w:rPr>
                <w:sz w:val="20"/>
                <w:szCs w:val="20"/>
                <w:color w:val="auto"/>
              </w:rPr>
            </w:pPr>
            <w:r>
              <w:rPr>
                <w:rFonts w:ascii="Arial" w:cs="Arial" w:eastAsia="Arial" w:hAnsi="Arial"/>
                <w:sz w:val="16"/>
                <w:szCs w:val="16"/>
                <w:b w:val="1"/>
                <w:bCs w:val="1"/>
                <w:color w:val="231F20"/>
                <w:w w:val="87"/>
              </w:rPr>
              <w:t>Furnished</w:t>
            </w:r>
          </w:p>
        </w:tc>
      </w:tr>
      <w:tr>
        <w:trPr>
          <w:trHeight w:val="178"/>
        </w:trPr>
        <w:tc>
          <w:tcPr>
            <w:tcW w:w="680" w:type="dxa"/>
            <w:vAlign w:val="bottom"/>
          </w:tcPr>
          <w:p>
            <w:pPr>
              <w:spacing w:after="0" w:line="178" w:lineRule="exact"/>
              <w:rPr>
                <w:sz w:val="20"/>
                <w:szCs w:val="20"/>
                <w:color w:val="auto"/>
              </w:rPr>
            </w:pPr>
            <w:r>
              <w:rPr>
                <w:rFonts w:ascii="Arial" w:cs="Arial" w:eastAsia="Arial" w:hAnsi="Arial"/>
                <w:sz w:val="16"/>
                <w:szCs w:val="16"/>
                <w:b w:val="1"/>
                <w:bCs w:val="1"/>
                <w:color w:val="231F20"/>
              </w:rPr>
              <w:t>Number</w:t>
            </w:r>
          </w:p>
        </w:tc>
        <w:tc>
          <w:tcPr>
            <w:tcW w:w="3800" w:type="dxa"/>
            <w:vAlign w:val="bottom"/>
          </w:tcPr>
          <w:p>
            <w:pPr>
              <w:ind w:left="140"/>
              <w:spacing w:after="0" w:line="178" w:lineRule="exact"/>
              <w:rPr>
                <w:sz w:val="20"/>
                <w:szCs w:val="20"/>
                <w:color w:val="auto"/>
              </w:rPr>
            </w:pPr>
            <w:r>
              <w:rPr>
                <w:rFonts w:ascii="Arial" w:cs="Arial" w:eastAsia="Arial" w:hAnsi="Arial"/>
                <w:sz w:val="16"/>
                <w:szCs w:val="16"/>
                <w:b w:val="1"/>
                <w:bCs w:val="1"/>
                <w:color w:val="231F20"/>
              </w:rPr>
              <w:t>Description</w:t>
            </w:r>
          </w:p>
        </w:tc>
        <w:tc>
          <w:tcPr>
            <w:tcW w:w="96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4"/>
              </w:rPr>
              <w:t>Form</w:t>
            </w:r>
          </w:p>
        </w:tc>
        <w:tc>
          <w:tcPr>
            <w:tcW w:w="1040" w:type="dxa"/>
            <w:vAlign w:val="bottom"/>
          </w:tcPr>
          <w:p>
            <w:pPr>
              <w:ind w:left="260"/>
              <w:spacing w:after="0" w:line="178" w:lineRule="exact"/>
              <w:rPr>
                <w:sz w:val="20"/>
                <w:szCs w:val="20"/>
                <w:color w:val="auto"/>
              </w:rPr>
            </w:pPr>
            <w:r>
              <w:rPr>
                <w:rFonts w:ascii="Arial" w:cs="Arial" w:eastAsia="Arial" w:hAnsi="Arial"/>
                <w:sz w:val="16"/>
                <w:szCs w:val="16"/>
                <w:b w:val="1"/>
                <w:bCs w:val="1"/>
                <w:color w:val="231F20"/>
              </w:rPr>
              <w:t>File No.</w:t>
            </w:r>
          </w:p>
        </w:tc>
        <w:tc>
          <w:tcPr>
            <w:tcW w:w="660" w:type="dxa"/>
            <w:vAlign w:val="bottom"/>
          </w:tcPr>
          <w:p>
            <w:pPr>
              <w:ind w:left="60"/>
              <w:spacing w:after="0" w:line="178" w:lineRule="exact"/>
              <w:rPr>
                <w:sz w:val="20"/>
                <w:szCs w:val="20"/>
                <w:color w:val="auto"/>
              </w:rPr>
            </w:pPr>
            <w:r>
              <w:rPr>
                <w:rFonts w:ascii="Arial" w:cs="Arial" w:eastAsia="Arial" w:hAnsi="Arial"/>
                <w:sz w:val="16"/>
                <w:szCs w:val="16"/>
                <w:b w:val="1"/>
                <w:bCs w:val="1"/>
                <w:color w:val="231F20"/>
              </w:rPr>
              <w:t>Exhibit</w:t>
            </w:r>
          </w:p>
        </w:tc>
        <w:tc>
          <w:tcPr>
            <w:tcW w:w="11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0"/>
              </w:rPr>
              <w:t>Filing Date</w:t>
            </w:r>
          </w:p>
        </w:tc>
        <w:tc>
          <w:tcPr>
            <w:tcW w:w="800" w:type="dxa"/>
            <w:vAlign w:val="bottom"/>
          </w:tcPr>
          <w:p>
            <w:pPr>
              <w:jc w:val="center"/>
              <w:ind w:left="22"/>
              <w:spacing w:after="0" w:line="178" w:lineRule="exact"/>
              <w:rPr>
                <w:sz w:val="20"/>
                <w:szCs w:val="20"/>
                <w:color w:val="auto"/>
              </w:rPr>
            </w:pPr>
            <w:r>
              <w:rPr>
                <w:rFonts w:ascii="Arial" w:cs="Arial" w:eastAsia="Arial" w:hAnsi="Arial"/>
                <w:sz w:val="16"/>
                <w:szCs w:val="16"/>
                <w:b w:val="1"/>
                <w:bCs w:val="1"/>
                <w:color w:val="231F20"/>
                <w:w w:val="91"/>
              </w:rPr>
              <w:t>Herewith</w:t>
            </w:r>
          </w:p>
        </w:tc>
      </w:tr>
      <w:tr>
        <w:trPr>
          <w:trHeight w:val="356"/>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4.1</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Form of Certificate of Common Stock</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2"/>
              </w:rPr>
              <w:t>Form 10/A</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4.1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09/14/2020</w:t>
            </w:r>
          </w:p>
        </w:tc>
        <w:tc>
          <w:tcPr>
            <w:tcW w:w="800" w:type="dxa"/>
            <w:vAlign w:val="bottom"/>
          </w:tcPr>
          <w:p>
            <w:pPr>
              <w:spacing w:after="0"/>
              <w:rPr>
                <w:sz w:val="24"/>
                <w:szCs w:val="24"/>
                <w:color w:val="auto"/>
              </w:rPr>
            </w:pPr>
          </w:p>
        </w:tc>
      </w:tr>
      <w:tr>
        <w:trPr>
          <w:trHeight w:val="358"/>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4.2</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Description of Registered Securities</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1"/>
              </w:rPr>
              <w:t>Form 10-K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4.2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03/04/2024</w:t>
            </w:r>
          </w:p>
        </w:tc>
        <w:tc>
          <w:tcPr>
            <w:tcW w:w="800" w:type="dxa"/>
            <w:vAlign w:val="bottom"/>
          </w:tcPr>
          <w:p>
            <w:pPr>
              <w:spacing w:after="0"/>
              <w:rPr>
                <w:sz w:val="24"/>
                <w:szCs w:val="24"/>
                <w:color w:val="auto"/>
              </w:rPr>
            </w:pPr>
          </w:p>
        </w:tc>
      </w:tr>
      <w:tr>
        <w:trPr>
          <w:trHeight w:val="358"/>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4.3</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87"/>
              </w:rPr>
              <w:t>Registration Rights Agreement, dated May 12,</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05/18/2023</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9"/>
              </w:rPr>
              <w:t>2023, between LENSAR, Inc. and NR-GRI</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Partners, LP</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4.4</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3"/>
              </w:rPr>
              <w:t>Class A Common Stock Purchase Warrant,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4.1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05/18/2023</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dated May 18, 2023</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ind w:left="100"/>
              <w:spacing w:after="0"/>
              <w:rPr>
                <w:sz w:val="20"/>
                <w:szCs w:val="20"/>
                <w:color w:val="auto"/>
              </w:rPr>
            </w:pPr>
            <w:r>
              <w:rPr>
                <w:rFonts w:ascii="Arial" w:cs="Arial" w:eastAsia="Arial" w:hAnsi="Arial"/>
                <w:sz w:val="19"/>
                <w:szCs w:val="19"/>
                <w:b w:val="1"/>
                <w:bCs w:val="1"/>
                <w:color w:val="231F20"/>
              </w:rPr>
              <w:t>4.5</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3"/>
              </w:rPr>
              <w:t>Class B Common Stock Purchase Warrant,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0"/>
              </w:rPr>
              <w:t>4.2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05/18/2023</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dated May 18, 2023</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w w:val="90"/>
              </w:rPr>
              <w:t>Transition Services Agreement between PDL</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10/02/2020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BioPharma, Inc. and LENSAR, Inc</w:t>
            </w:r>
            <w:r>
              <w:rPr>
                <w:rFonts w:ascii="Arial" w:cs="Arial" w:eastAsia="Arial" w:hAnsi="Arial"/>
                <w:sz w:val="19"/>
                <w:szCs w:val="19"/>
                <w:b w:val="1"/>
                <w:bCs w:val="1"/>
                <w:color w:val="231F20"/>
              </w:rPr>
              <w:t>.</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10.2</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Tax Matters Agreement between PDL</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10/02/2020</w:t>
            </w:r>
          </w:p>
        </w:tc>
        <w:tc>
          <w:tcPr>
            <w:tcW w:w="800" w:type="dxa"/>
            <w:vAlign w:val="bottom"/>
          </w:tcPr>
          <w:p>
            <w:pPr>
              <w:spacing w:after="0"/>
              <w:rPr>
                <w:sz w:val="24"/>
                <w:szCs w:val="24"/>
                <w:color w:val="auto"/>
              </w:rPr>
            </w:pPr>
          </w:p>
        </w:tc>
      </w:tr>
      <w:tr>
        <w:trPr>
          <w:trHeight w:val="221"/>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BioPharma, Inc. and LENSAR, Inc.</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10.3#</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2020 Incentive Award Plan</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89"/>
              </w:rPr>
              <w:t>Form S-8</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333-249323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10/05/2020</w:t>
            </w:r>
          </w:p>
        </w:tc>
        <w:tc>
          <w:tcPr>
            <w:tcW w:w="800" w:type="dxa"/>
            <w:vAlign w:val="bottom"/>
          </w:tcPr>
          <w:p>
            <w:pPr>
              <w:spacing w:after="0"/>
              <w:rPr>
                <w:sz w:val="24"/>
                <w:szCs w:val="24"/>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10.4#</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87"/>
              </w:rPr>
              <w:t>Form of Restricted Stock Agreement pursuant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89"/>
              </w:rPr>
              <w:t>Form S-8</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333-249323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10/05/2020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to 2020 Incentive 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10.5#</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89"/>
              </w:rPr>
              <w:t>Form of Stock Option Agreement pursuant to</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1"/>
              </w:rPr>
              <w:t>Form 10-K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10.5</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03/03/2022</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2020 Incentive 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spacing w:after="0"/>
              <w:rPr>
                <w:sz w:val="20"/>
                <w:szCs w:val="20"/>
                <w:color w:val="auto"/>
              </w:rPr>
            </w:pPr>
            <w:r>
              <w:rPr>
                <w:rFonts w:ascii="Arial" w:cs="Arial" w:eastAsia="Arial" w:hAnsi="Arial"/>
                <w:sz w:val="19"/>
                <w:szCs w:val="19"/>
                <w:b w:val="1"/>
                <w:bCs w:val="1"/>
                <w:color w:val="231F20"/>
              </w:rPr>
              <w:t>10.6#</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7"/>
              </w:rPr>
              <w:t>Form of Restricted Stock Unit Agreement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1"/>
              </w:rPr>
              <w:t>Form 10-K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10.6</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03/03/2022</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pursuant to 2020 Incentive 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10.7#</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3"/>
              </w:rPr>
              <w:t>Form of Performance Restricted Stock Unit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0"/>
              </w:rPr>
              <w:t>Form 10-Q</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05/09/2024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89"/>
              </w:rPr>
              <w:t>Agreement pursuant to 2020 Incentive Award</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10.8#</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3"/>
              </w:rPr>
              <w:t>Form of Performance Restricted Stock Unit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0"/>
              </w:rPr>
              <w:t>Form 10-Q</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10.3</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05/09/2024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line="223" w:lineRule="exact"/>
              <w:rPr>
                <w:sz w:val="20"/>
                <w:szCs w:val="20"/>
                <w:color w:val="auto"/>
              </w:rPr>
            </w:pPr>
            <w:r>
              <w:rPr>
                <w:rFonts w:ascii="Arial" w:cs="Arial" w:eastAsia="Arial" w:hAnsi="Arial"/>
                <w:sz w:val="19"/>
                <w:szCs w:val="19"/>
                <w:b w:val="1"/>
                <w:bCs w:val="1"/>
                <w:color w:val="231F20"/>
                <w:w w:val="95"/>
              </w:rPr>
              <w:t xml:space="preserve">Agreement </w:t>
            </w:r>
            <w:r>
              <w:rPr>
                <w:rFonts w:ascii="PMingLiU" w:cs="PMingLiU" w:eastAsia="PMingLiU" w:hAnsi="PMingLiU"/>
                <w:sz w:val="19"/>
                <w:szCs w:val="19"/>
                <w:b w:val="1"/>
                <w:bCs w:val="1"/>
                <w:color w:val="231F20"/>
                <w:w w:val="95"/>
              </w:rPr>
              <w:t></w:t>
            </w:r>
            <w:r>
              <w:rPr>
                <w:rFonts w:ascii="Arial" w:cs="Arial" w:eastAsia="Arial" w:hAnsi="Arial"/>
                <w:sz w:val="19"/>
                <w:szCs w:val="19"/>
                <w:b w:val="1"/>
                <w:bCs w:val="1"/>
                <w:color w:val="231F20"/>
                <w:w w:val="95"/>
              </w:rPr>
              <w:t xml:space="preserve"> Director Deferral pursuant to</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2020 Incentive 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spacing w:after="0"/>
              <w:rPr>
                <w:sz w:val="20"/>
                <w:szCs w:val="20"/>
                <w:color w:val="auto"/>
              </w:rPr>
            </w:pPr>
            <w:r>
              <w:rPr>
                <w:rFonts w:ascii="Arial" w:cs="Arial" w:eastAsia="Arial" w:hAnsi="Arial"/>
                <w:sz w:val="19"/>
                <w:szCs w:val="19"/>
                <w:b w:val="1"/>
                <w:bCs w:val="1"/>
                <w:color w:val="231F20"/>
              </w:rPr>
              <w:t>10.9#</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2020 Employee Stock Purchase Plan</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2"/>
              </w:rPr>
              <w:t>Form 10/A</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10.5</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09/14/2020</w:t>
            </w:r>
          </w:p>
        </w:tc>
        <w:tc>
          <w:tcPr>
            <w:tcW w:w="800" w:type="dxa"/>
            <w:vAlign w:val="bottom"/>
          </w:tcPr>
          <w:p>
            <w:pPr>
              <w:spacing w:after="0"/>
              <w:rPr>
                <w:sz w:val="24"/>
                <w:szCs w:val="24"/>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10.10#</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2024 Employment Inducement Incentive</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02/26/2024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10.11#</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89"/>
              </w:rPr>
              <w:t>Form of Stock Option Agreement pursuant to</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02/26/2024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2024 Employment Inducement Incentive</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spacing w:after="0"/>
              <w:rPr>
                <w:sz w:val="20"/>
                <w:szCs w:val="20"/>
                <w:color w:val="auto"/>
              </w:rPr>
            </w:pPr>
            <w:r>
              <w:rPr>
                <w:rFonts w:ascii="Arial" w:cs="Arial" w:eastAsia="Arial" w:hAnsi="Arial"/>
                <w:sz w:val="19"/>
                <w:szCs w:val="19"/>
                <w:b w:val="1"/>
                <w:bCs w:val="1"/>
                <w:color w:val="231F20"/>
              </w:rPr>
              <w:t>10.12#</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7"/>
              </w:rPr>
              <w:t>Form of Restricted Stock Unit Agreement</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10.3</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02/26/2024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w w:val="94"/>
              </w:rPr>
              <w:t>pursuant to 2024 Employment Inducement</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Incentive Award Plan</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10.13#</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Non-Employee Director Compensation</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90"/>
              </w:rPr>
              <w:t>Form 10-Q</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05/09/2024</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231F20"/>
              </w:rPr>
              <w:t>Program, as amended</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10.14#</w:t>
            </w: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w w:val="90"/>
              </w:rPr>
              <w:t>Employment Agreement, dated as of July 21,</w:t>
            </w:r>
          </w:p>
        </w:tc>
        <w:tc>
          <w:tcPr>
            <w:tcW w:w="960" w:type="dxa"/>
            <w:vAlign w:val="bottom"/>
          </w:tcPr>
          <w:p>
            <w:pPr>
              <w:jc w:val="center"/>
              <w:spacing w:after="0"/>
              <w:rPr>
                <w:sz w:val="20"/>
                <w:szCs w:val="20"/>
                <w:color w:val="auto"/>
              </w:rPr>
            </w:pPr>
            <w:r>
              <w:rPr>
                <w:rFonts w:ascii="Arial" w:cs="Arial" w:eastAsia="Arial" w:hAnsi="Arial"/>
                <w:sz w:val="19"/>
                <w:szCs w:val="19"/>
                <w:b w:val="1"/>
                <w:bCs w:val="1"/>
                <w:color w:val="231F20"/>
                <w:w w:val="89"/>
              </w:rPr>
              <w:t>Form 10</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w w:val="92"/>
              </w:rPr>
              <w:t>001-39473</w:t>
            </w:r>
          </w:p>
        </w:tc>
        <w:tc>
          <w:tcPr>
            <w:tcW w:w="660" w:type="dxa"/>
            <w:vAlign w:val="bottom"/>
          </w:tcPr>
          <w:p>
            <w:pPr>
              <w:jc w:val="center"/>
              <w:spacing w:after="0"/>
              <w:rPr>
                <w:sz w:val="20"/>
                <w:szCs w:val="20"/>
                <w:color w:val="auto"/>
              </w:rPr>
            </w:pPr>
            <w:r>
              <w:rPr>
                <w:rFonts w:ascii="Arial" w:cs="Arial" w:eastAsia="Arial" w:hAnsi="Arial"/>
                <w:sz w:val="19"/>
                <w:szCs w:val="19"/>
                <w:b w:val="1"/>
                <w:bCs w:val="1"/>
                <w:color w:val="231F20"/>
                <w:w w:val="91"/>
              </w:rPr>
              <w:t>10.6</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08/26/2020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2020, by and between LENSAR, Inc. and</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9"/>
                <w:szCs w:val="19"/>
                <w:b w:val="1"/>
                <w:bCs w:val="1"/>
                <w:color w:val="696A6C"/>
              </w:rPr>
              <w:t>Nicholas Curtis</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96</w:t>
      </w:r>
    </w:p>
    <w:p>
      <w:pPr>
        <w:sectPr>
          <w:pgSz w:w="12240" w:h="15840" w:orient="portrait"/>
          <w:cols w:equalWidth="0" w:num="1">
            <w:col w:w="9360"/>
          </w:cols>
          <w:pgMar w:left="1440" w:top="1440" w:right="1440" w:bottom="390" w:gutter="0" w:footer="0" w:header="0"/>
          <w:type w:val="continuous"/>
        </w:sectPr>
      </w:pPr>
    </w:p>
    <w:bookmarkStart w:id="98" w:name="page99"/>
    <w:bookmarkEnd w:id="98"/>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jc w:val="center"/>
              <w:ind w:left="10"/>
              <w:spacing w:after="0"/>
              <w:rPr>
                <w:sz w:val="20"/>
                <w:szCs w:val="20"/>
                <w:color w:val="auto"/>
              </w:rPr>
            </w:pPr>
            <w:r>
              <w:rPr>
                <w:rFonts w:ascii="Arial" w:cs="Arial" w:eastAsia="Arial" w:hAnsi="Arial"/>
                <w:sz w:val="16"/>
                <w:szCs w:val="16"/>
                <w:b w:val="1"/>
                <w:bCs w:val="1"/>
                <w:color w:val="231F20"/>
                <w:w w:val="90"/>
              </w:rPr>
              <w:t>Filed/</w:t>
            </w:r>
          </w:p>
        </w:tc>
      </w:tr>
      <w:tr>
        <w:trPr>
          <w:trHeight w:val="180"/>
        </w:trPr>
        <w:tc>
          <w:tcPr>
            <w:tcW w:w="680" w:type="dxa"/>
            <w:vAlign w:val="bottom"/>
          </w:tcPr>
          <w:p>
            <w:pPr>
              <w:spacing w:after="0" w:line="180" w:lineRule="exact"/>
              <w:rPr>
                <w:sz w:val="20"/>
                <w:szCs w:val="20"/>
                <w:color w:val="auto"/>
              </w:rPr>
            </w:pPr>
            <w:r>
              <w:rPr>
                <w:rFonts w:ascii="Arial" w:cs="Arial" w:eastAsia="Arial" w:hAnsi="Arial"/>
                <w:sz w:val="16"/>
                <w:szCs w:val="16"/>
                <w:b w:val="1"/>
                <w:bCs w:val="1"/>
                <w:color w:val="231F20"/>
              </w:rPr>
              <w:t>Exhibit</w:t>
            </w:r>
          </w:p>
        </w:tc>
        <w:tc>
          <w:tcPr>
            <w:tcW w:w="3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jc w:val="center"/>
              <w:ind w:left="30"/>
              <w:spacing w:after="0" w:line="180" w:lineRule="exact"/>
              <w:rPr>
                <w:sz w:val="20"/>
                <w:szCs w:val="20"/>
                <w:color w:val="auto"/>
              </w:rPr>
            </w:pPr>
            <w:r>
              <w:rPr>
                <w:rFonts w:ascii="Arial" w:cs="Arial" w:eastAsia="Arial" w:hAnsi="Arial"/>
                <w:sz w:val="16"/>
                <w:szCs w:val="16"/>
                <w:b w:val="1"/>
                <w:bCs w:val="1"/>
                <w:color w:val="231F20"/>
                <w:w w:val="87"/>
              </w:rPr>
              <w:t>Furnished</w:t>
            </w:r>
          </w:p>
        </w:tc>
      </w:tr>
      <w:tr>
        <w:trPr>
          <w:trHeight w:val="178"/>
        </w:trPr>
        <w:tc>
          <w:tcPr>
            <w:tcW w:w="680" w:type="dxa"/>
            <w:vAlign w:val="bottom"/>
          </w:tcPr>
          <w:p>
            <w:pPr>
              <w:spacing w:after="0" w:line="178" w:lineRule="exact"/>
              <w:rPr>
                <w:sz w:val="20"/>
                <w:szCs w:val="20"/>
                <w:color w:val="auto"/>
              </w:rPr>
            </w:pPr>
            <w:r>
              <w:rPr>
                <w:rFonts w:ascii="Arial" w:cs="Arial" w:eastAsia="Arial" w:hAnsi="Arial"/>
                <w:sz w:val="16"/>
                <w:szCs w:val="16"/>
                <w:b w:val="1"/>
                <w:bCs w:val="1"/>
                <w:color w:val="231F20"/>
              </w:rPr>
              <w:t>Number</w:t>
            </w:r>
          </w:p>
        </w:tc>
        <w:tc>
          <w:tcPr>
            <w:tcW w:w="3780" w:type="dxa"/>
            <w:vAlign w:val="bottom"/>
          </w:tcPr>
          <w:p>
            <w:pPr>
              <w:ind w:left="140"/>
              <w:spacing w:after="0" w:line="178" w:lineRule="exact"/>
              <w:rPr>
                <w:sz w:val="20"/>
                <w:szCs w:val="20"/>
                <w:color w:val="auto"/>
              </w:rPr>
            </w:pPr>
            <w:r>
              <w:rPr>
                <w:rFonts w:ascii="Arial" w:cs="Arial" w:eastAsia="Arial" w:hAnsi="Arial"/>
                <w:sz w:val="16"/>
                <w:szCs w:val="16"/>
                <w:b w:val="1"/>
                <w:bCs w:val="1"/>
                <w:color w:val="231F20"/>
              </w:rPr>
              <w:t>Description</w:t>
            </w:r>
          </w:p>
        </w:tc>
        <w:tc>
          <w:tcPr>
            <w:tcW w:w="100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4"/>
              </w:rPr>
              <w:t>Form</w:t>
            </w:r>
          </w:p>
        </w:tc>
        <w:tc>
          <w:tcPr>
            <w:tcW w:w="1000" w:type="dxa"/>
            <w:vAlign w:val="bottom"/>
          </w:tcPr>
          <w:p>
            <w:pPr>
              <w:ind w:left="240"/>
              <w:spacing w:after="0" w:line="178" w:lineRule="exact"/>
              <w:rPr>
                <w:sz w:val="20"/>
                <w:szCs w:val="20"/>
                <w:color w:val="auto"/>
              </w:rPr>
            </w:pPr>
            <w:r>
              <w:rPr>
                <w:rFonts w:ascii="Arial" w:cs="Arial" w:eastAsia="Arial" w:hAnsi="Arial"/>
                <w:sz w:val="16"/>
                <w:szCs w:val="16"/>
                <w:b w:val="1"/>
                <w:bCs w:val="1"/>
                <w:color w:val="231F20"/>
              </w:rPr>
              <w:t>File No.</w:t>
            </w:r>
          </w:p>
        </w:tc>
        <w:tc>
          <w:tcPr>
            <w:tcW w:w="6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9"/>
              </w:rPr>
              <w:t>Exhibit</w:t>
            </w:r>
          </w:p>
        </w:tc>
        <w:tc>
          <w:tcPr>
            <w:tcW w:w="11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0"/>
              </w:rPr>
              <w:t>Filing Date</w:t>
            </w:r>
          </w:p>
        </w:tc>
        <w:tc>
          <w:tcPr>
            <w:tcW w:w="800" w:type="dxa"/>
            <w:vAlign w:val="bottom"/>
          </w:tcPr>
          <w:p>
            <w:pPr>
              <w:jc w:val="center"/>
              <w:ind w:left="10"/>
              <w:spacing w:after="0" w:line="178" w:lineRule="exact"/>
              <w:rPr>
                <w:sz w:val="20"/>
                <w:szCs w:val="20"/>
                <w:color w:val="auto"/>
              </w:rPr>
            </w:pPr>
            <w:r>
              <w:rPr>
                <w:rFonts w:ascii="Arial" w:cs="Arial" w:eastAsia="Arial" w:hAnsi="Arial"/>
                <w:sz w:val="16"/>
                <w:szCs w:val="16"/>
                <w:b w:val="1"/>
                <w:bCs w:val="1"/>
                <w:color w:val="231F20"/>
                <w:w w:val="91"/>
              </w:rPr>
              <w:t>Herewith</w:t>
            </w:r>
          </w:p>
        </w:tc>
      </w:tr>
      <w:tr>
        <w:trPr>
          <w:trHeight w:val="356"/>
        </w:trPr>
        <w:tc>
          <w:tcPr>
            <w:tcW w:w="680" w:type="dxa"/>
            <w:vAlign w:val="bottom"/>
          </w:tcPr>
          <w:p>
            <w:pPr>
              <w:spacing w:after="0"/>
              <w:rPr>
                <w:sz w:val="20"/>
                <w:szCs w:val="20"/>
                <w:color w:val="auto"/>
              </w:rPr>
            </w:pPr>
            <w:r>
              <w:rPr>
                <w:rFonts w:ascii="Arial" w:cs="Arial" w:eastAsia="Arial" w:hAnsi="Arial"/>
                <w:sz w:val="19"/>
                <w:szCs w:val="19"/>
                <w:b w:val="1"/>
                <w:bCs w:val="1"/>
                <w:color w:val="231F20"/>
              </w:rPr>
              <w:t>10.15#</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w w:val="89"/>
              </w:rPr>
              <w:t>Employment Agreement, dated as of July 21,</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89"/>
              </w:rPr>
              <w:t>Form 10</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10.7</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08/26/2020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rPr>
              <w:t>2020, by and between LENSAR, Inc. and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rPr>
              <w:t>Alan Connaughton</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10.16#</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w w:val="89"/>
              </w:rPr>
              <w:t>Employment Agreement, dated as of July 21,</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89"/>
              </w:rPr>
              <w:t>Form 10</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10.8</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08/26/2020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rPr>
              <w:t>2020, by and between LENSAR, Inc. and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rPr>
              <w:t>Thomas R. Staab II</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10.17#</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w w:val="89"/>
              </w:rPr>
              <w:t>Form of Indemnification Agreement between</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89"/>
              </w:rPr>
              <w:t>Form 10</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10.9</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08/26/2020</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696A6C"/>
                <w:w w:val="93"/>
              </w:rPr>
              <w:t>LENSAR, Inc. and its directors and officers</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680" w:type="dxa"/>
            <w:vAlign w:val="bottom"/>
          </w:tcPr>
          <w:p>
            <w:pPr>
              <w:spacing w:after="0"/>
              <w:rPr>
                <w:sz w:val="20"/>
                <w:szCs w:val="20"/>
                <w:color w:val="auto"/>
              </w:rPr>
            </w:pPr>
            <w:r>
              <w:rPr>
                <w:rFonts w:ascii="Arial" w:cs="Arial" w:eastAsia="Arial" w:hAnsi="Arial"/>
                <w:sz w:val="19"/>
                <w:szCs w:val="19"/>
                <w:b w:val="1"/>
                <w:bCs w:val="1"/>
                <w:color w:val="231F20"/>
              </w:rPr>
              <w:t>10.18+</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89"/>
              </w:rPr>
              <w:t>Industrial Real Estate Lease, dated as of July</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0"/>
              </w:rPr>
              <w:t>Form 10-Q</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11/06/2025</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2"/>
              </w:rPr>
              <w:t>30, 2010, by and between LENSAR, Inc. and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87"/>
              </w:rPr>
              <w:t>Challenger-Discovery, LLC, as amended as of</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2"/>
              </w:rPr>
              <w:t>March 15, 2016, December 16, 2016, August</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3"/>
              </w:rPr>
              <w:t>20, 2020, September 9, 2020, December 17,</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2024, and September 29, 2025</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10.19+</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2"/>
              </w:rPr>
              <w:t>Securities Purchase Agreement, dated May</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05/15/2023</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9"/>
              </w:rPr>
              <w:t>12, 2023, between LENSAR, Inc. and NR-</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GRI Partners, LP</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10.20</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1"/>
              </w:rPr>
              <w:t>Form of Voting Agreement between NR-GRI</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05/18/2023</w:t>
            </w:r>
          </w:p>
        </w:tc>
        <w:tc>
          <w:tcPr>
            <w:tcW w:w="800" w:type="dxa"/>
            <w:vAlign w:val="bottom"/>
          </w:tcPr>
          <w:p>
            <w:pPr>
              <w:spacing w:after="0"/>
              <w:rPr>
                <w:sz w:val="24"/>
                <w:szCs w:val="24"/>
                <w:color w:val="auto"/>
              </w:rPr>
            </w:pPr>
          </w:p>
        </w:tc>
      </w:tr>
      <w:tr>
        <w:trPr>
          <w:trHeight w:val="221"/>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9"/>
              </w:rPr>
              <w:t>Partners, LLP, and each of the executive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officers and directors of LENSAR, Inc.</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10.21</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0"/>
              </w:rPr>
              <w:t>Termination and Mutual Release Agreement,</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3"/>
              </w:rPr>
              <w:t>Form 8-K</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10.1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03/17/2026</w:t>
            </w:r>
          </w:p>
        </w:tc>
        <w:tc>
          <w:tcPr>
            <w:tcW w:w="8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3"/>
              </w:rPr>
              <w:t>dated March 16, 2026, by and among Alcon</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2"/>
              </w:rPr>
              <w:t>Research LLC, VMI Option Merger Sub, Inc.</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and LENSAR, Inc.</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19.1</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Insider Trading Compliance Policy</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1"/>
              </w:rPr>
              <w:t>Form 10-K</w:t>
            </w:r>
          </w:p>
        </w:tc>
        <w:tc>
          <w:tcPr>
            <w:tcW w:w="1680" w:type="dxa"/>
            <w:vAlign w:val="bottom"/>
            <w:gridSpan w:val="2"/>
          </w:tcPr>
          <w:p>
            <w:pPr>
              <w:ind w:left="80"/>
              <w:spacing w:after="0"/>
              <w:rPr>
                <w:sz w:val="20"/>
                <w:szCs w:val="20"/>
                <w:color w:val="auto"/>
              </w:rPr>
            </w:pPr>
            <w:r>
              <w:rPr>
                <w:rFonts w:ascii="Arial" w:cs="Arial" w:eastAsia="Arial" w:hAnsi="Arial"/>
                <w:sz w:val="19"/>
                <w:szCs w:val="19"/>
                <w:b w:val="1"/>
                <w:bCs w:val="1"/>
                <w:color w:val="231F20"/>
              </w:rPr>
              <w:t>001-39473   19.1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02/27/2025</w:t>
            </w:r>
          </w:p>
        </w:tc>
        <w:tc>
          <w:tcPr>
            <w:tcW w:w="800" w:type="dxa"/>
            <w:vAlign w:val="bottom"/>
          </w:tcPr>
          <w:p>
            <w:pPr>
              <w:spacing w:after="0"/>
              <w:rPr>
                <w:sz w:val="24"/>
                <w:szCs w:val="24"/>
                <w:color w:val="auto"/>
              </w:rPr>
            </w:pPr>
          </w:p>
        </w:tc>
      </w:tr>
      <w:tr>
        <w:trPr>
          <w:trHeight w:val="355"/>
        </w:trPr>
        <w:tc>
          <w:tcPr>
            <w:tcW w:w="680" w:type="dxa"/>
            <w:vAlign w:val="bottom"/>
          </w:tcPr>
          <w:p>
            <w:pPr>
              <w:spacing w:after="0"/>
              <w:rPr>
                <w:sz w:val="20"/>
                <w:szCs w:val="20"/>
                <w:color w:val="auto"/>
              </w:rPr>
            </w:pPr>
            <w:r>
              <w:rPr>
                <w:rFonts w:ascii="Arial" w:cs="Arial" w:eastAsia="Arial" w:hAnsi="Arial"/>
                <w:sz w:val="19"/>
                <w:szCs w:val="19"/>
                <w:b w:val="1"/>
                <w:bCs w:val="1"/>
                <w:color w:val="231F20"/>
              </w:rPr>
              <w:t>21.1</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Subsidiaries of the Registrant</w:t>
            </w:r>
          </w:p>
        </w:tc>
        <w:tc>
          <w:tcPr>
            <w:tcW w:w="1000" w:type="dxa"/>
            <w:vAlign w:val="bottom"/>
          </w:tcPr>
          <w:p>
            <w:pPr>
              <w:jc w:val="center"/>
              <w:spacing w:after="0"/>
              <w:rPr>
                <w:sz w:val="20"/>
                <w:szCs w:val="20"/>
                <w:color w:val="auto"/>
              </w:rPr>
            </w:pPr>
            <w:r>
              <w:rPr>
                <w:rFonts w:ascii="Arial" w:cs="Arial" w:eastAsia="Arial" w:hAnsi="Arial"/>
                <w:sz w:val="19"/>
                <w:szCs w:val="19"/>
                <w:b w:val="1"/>
                <w:bCs w:val="1"/>
                <w:color w:val="231F20"/>
                <w:w w:val="91"/>
              </w:rPr>
              <w:t>Form 10-K</w:t>
            </w:r>
          </w:p>
        </w:tc>
        <w:tc>
          <w:tcPr>
            <w:tcW w:w="1000" w:type="dxa"/>
            <w:vAlign w:val="bottom"/>
          </w:tcPr>
          <w:p>
            <w:pPr>
              <w:ind w:left="80"/>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center"/>
              <w:spacing w:after="0"/>
              <w:rPr>
                <w:sz w:val="20"/>
                <w:szCs w:val="20"/>
                <w:color w:val="auto"/>
              </w:rPr>
            </w:pPr>
            <w:r>
              <w:rPr>
                <w:rFonts w:ascii="Arial" w:cs="Arial" w:eastAsia="Arial" w:hAnsi="Arial"/>
                <w:sz w:val="19"/>
                <w:szCs w:val="19"/>
                <w:b w:val="1"/>
                <w:bCs w:val="1"/>
                <w:color w:val="231F20"/>
                <w:w w:val="91"/>
              </w:rPr>
              <w:t>21.1</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231F20"/>
                <w:w w:val="94"/>
              </w:rPr>
              <w:t>03/12/2021</w:t>
            </w:r>
          </w:p>
        </w:tc>
        <w:tc>
          <w:tcPr>
            <w:tcW w:w="800" w:type="dxa"/>
            <w:vAlign w:val="bottom"/>
          </w:tcPr>
          <w:p>
            <w:pPr>
              <w:spacing w:after="0"/>
              <w:rPr>
                <w:sz w:val="24"/>
                <w:szCs w:val="24"/>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23.1</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4"/>
              </w:rPr>
              <w:t>Consent of Independent Registered Public</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0"/>
              <w:spacing w:after="0"/>
              <w:rPr>
                <w:sz w:val="20"/>
                <w:szCs w:val="20"/>
                <w:color w:val="auto"/>
              </w:rPr>
            </w:pPr>
            <w:r>
              <w:rPr>
                <w:rFonts w:ascii="Arial" w:cs="Arial" w:eastAsia="Arial" w:hAnsi="Arial"/>
                <w:sz w:val="19"/>
                <w:szCs w:val="19"/>
                <w:b w:val="1"/>
                <w:bCs w:val="1"/>
                <w:color w:val="231F20"/>
              </w:rPr>
              <w:t>*</w:t>
            </w: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Accounting Firm</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31.1</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5"/>
              </w:rPr>
              <w:t>Certification of Principal Executive Officer</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0"/>
              <w:spacing w:after="0"/>
              <w:rPr>
                <w:sz w:val="20"/>
                <w:szCs w:val="20"/>
                <w:color w:val="auto"/>
              </w:rPr>
            </w:pPr>
            <w:r>
              <w:rPr>
                <w:rFonts w:ascii="Arial" w:cs="Arial" w:eastAsia="Arial" w:hAnsi="Arial"/>
                <w:sz w:val="19"/>
                <w:szCs w:val="19"/>
                <w:b w:val="1"/>
                <w:bCs w:val="1"/>
                <w:color w:val="231F20"/>
              </w:rPr>
              <w:t>*</w:t>
            </w: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4"/>
              </w:rPr>
              <w:t>and Principal Financial Officer pursuant to</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Rule 13a-14(a) or Rule 15d-14(a) of the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87"/>
              </w:rPr>
              <w:t>Securities Exchange Act of 1934, as amended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31.2</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6"/>
              </w:rPr>
              <w:t>Certification of Principal Financial Officer</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0"/>
              <w:spacing w:after="0"/>
              <w:rPr>
                <w:sz w:val="20"/>
                <w:szCs w:val="20"/>
                <w:color w:val="auto"/>
              </w:rPr>
            </w:pPr>
            <w:r>
              <w:rPr>
                <w:rFonts w:ascii="Arial" w:cs="Arial" w:eastAsia="Arial" w:hAnsi="Arial"/>
                <w:sz w:val="19"/>
                <w:szCs w:val="19"/>
                <w:b w:val="1"/>
                <w:bCs w:val="1"/>
                <w:color w:val="231F20"/>
              </w:rPr>
              <w:t>*</w:t>
            </w:r>
          </w:p>
        </w:tc>
      </w:tr>
      <w:tr>
        <w:trPr>
          <w:trHeight w:val="221"/>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0"/>
              </w:rPr>
              <w:t>pursuant to Rule 13a-14(a) or Rule 15d-14(a)</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4"/>
              </w:rPr>
              <w:t>of the Securities Exchange Act of 1934, as</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amended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32.1</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5"/>
              </w:rPr>
              <w:t>Certification of Principal Executive Officer</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0"/>
              <w:spacing w:after="0"/>
              <w:rPr>
                <w:sz w:val="20"/>
                <w:szCs w:val="20"/>
                <w:color w:val="auto"/>
              </w:rPr>
            </w:pPr>
            <w:r>
              <w:rPr>
                <w:rFonts w:ascii="Arial" w:cs="Arial" w:eastAsia="Arial" w:hAnsi="Arial"/>
                <w:sz w:val="19"/>
                <w:szCs w:val="19"/>
                <w:b w:val="1"/>
                <w:bCs w:val="1"/>
                <w:color w:val="231F20"/>
              </w:rPr>
              <w:t>**</w:t>
            </w: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pursuant to 18 U.S.C. Section 1350, as</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adopted pursuant to Section 906 of the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rPr>
              <w:t>Sarbanes-Oxley Act of 2002</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9"/>
                <w:szCs w:val="19"/>
                <w:b w:val="1"/>
                <w:bCs w:val="1"/>
                <w:color w:val="231F20"/>
              </w:rPr>
              <w:t>32.2</w:t>
            </w: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95"/>
              </w:rPr>
              <w:t>Certification of Principal Executive Officer</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0"/>
              <w:spacing w:after="0"/>
              <w:rPr>
                <w:sz w:val="20"/>
                <w:szCs w:val="20"/>
                <w:color w:val="auto"/>
              </w:rPr>
            </w:pPr>
            <w:r>
              <w:rPr>
                <w:rFonts w:ascii="Arial" w:cs="Arial" w:eastAsia="Arial" w:hAnsi="Arial"/>
                <w:sz w:val="19"/>
                <w:szCs w:val="19"/>
                <w:b w:val="1"/>
                <w:bCs w:val="1"/>
                <w:color w:val="231F20"/>
              </w:rPr>
              <w:t>**</w:t>
            </w:r>
          </w:p>
        </w:tc>
      </w:tr>
      <w:tr>
        <w:trPr>
          <w:trHeight w:val="223"/>
        </w:trPr>
        <w:tc>
          <w:tcPr>
            <w:tcW w:w="68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9"/>
                <w:szCs w:val="19"/>
                <w:b w:val="1"/>
                <w:bCs w:val="1"/>
                <w:color w:val="231F20"/>
                <w:w w:val="88"/>
              </w:rPr>
              <w:t>and Principal Financial Officer pursuant to 18</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5"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U.S.C. Section 1350, as adopted pursuant to</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Section 906 of the Sarbanes-Oxley Act of</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2002</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97</w:t>
      </w:r>
    </w:p>
    <w:p>
      <w:pPr>
        <w:sectPr>
          <w:pgSz w:w="12240" w:h="15840" w:orient="portrait"/>
          <w:cols w:equalWidth="0" w:num="1">
            <w:col w:w="9360"/>
          </w:cols>
          <w:pgMar w:left="1440" w:top="1440" w:right="1440" w:bottom="390" w:gutter="0" w:footer="0" w:header="0"/>
          <w:type w:val="continuous"/>
        </w:sectPr>
      </w:pPr>
    </w:p>
    <w:bookmarkStart w:id="99" w:name="page100"/>
    <w:bookmarkEnd w:id="99"/>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jc w:val="center"/>
              <w:ind w:left="12"/>
              <w:spacing w:after="0"/>
              <w:rPr>
                <w:sz w:val="20"/>
                <w:szCs w:val="20"/>
                <w:color w:val="auto"/>
              </w:rPr>
            </w:pPr>
            <w:r>
              <w:rPr>
                <w:rFonts w:ascii="Arial" w:cs="Arial" w:eastAsia="Arial" w:hAnsi="Arial"/>
                <w:sz w:val="16"/>
                <w:szCs w:val="16"/>
                <w:b w:val="1"/>
                <w:bCs w:val="1"/>
                <w:color w:val="231F20"/>
                <w:w w:val="90"/>
              </w:rPr>
              <w:t>Filed/</w:t>
            </w:r>
          </w:p>
        </w:tc>
      </w:tr>
      <w:tr>
        <w:trPr>
          <w:trHeight w:val="180"/>
        </w:trPr>
        <w:tc>
          <w:tcPr>
            <w:tcW w:w="760" w:type="dxa"/>
            <w:vAlign w:val="bottom"/>
          </w:tcPr>
          <w:p>
            <w:pPr>
              <w:spacing w:after="0" w:line="180" w:lineRule="exact"/>
              <w:rPr>
                <w:sz w:val="20"/>
                <w:szCs w:val="20"/>
                <w:color w:val="auto"/>
              </w:rPr>
            </w:pPr>
            <w:r>
              <w:rPr>
                <w:rFonts w:ascii="Arial" w:cs="Arial" w:eastAsia="Arial" w:hAnsi="Arial"/>
                <w:sz w:val="16"/>
                <w:szCs w:val="16"/>
                <w:b w:val="1"/>
                <w:bCs w:val="1"/>
                <w:color w:val="231F20"/>
              </w:rPr>
              <w:t>Exhibit</w:t>
            </w:r>
          </w:p>
        </w:tc>
        <w:tc>
          <w:tcPr>
            <w:tcW w:w="3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jc w:val="center"/>
              <w:ind w:left="32"/>
              <w:spacing w:after="0" w:line="180" w:lineRule="exact"/>
              <w:rPr>
                <w:sz w:val="20"/>
                <w:szCs w:val="20"/>
                <w:color w:val="auto"/>
              </w:rPr>
            </w:pPr>
            <w:r>
              <w:rPr>
                <w:rFonts w:ascii="Arial" w:cs="Arial" w:eastAsia="Arial" w:hAnsi="Arial"/>
                <w:sz w:val="16"/>
                <w:szCs w:val="16"/>
                <w:b w:val="1"/>
                <w:bCs w:val="1"/>
                <w:color w:val="231F20"/>
                <w:w w:val="87"/>
              </w:rPr>
              <w:t>Furnished</w:t>
            </w:r>
          </w:p>
        </w:tc>
      </w:tr>
      <w:tr>
        <w:trPr>
          <w:trHeight w:val="178"/>
        </w:trPr>
        <w:tc>
          <w:tcPr>
            <w:tcW w:w="760" w:type="dxa"/>
            <w:vAlign w:val="bottom"/>
          </w:tcPr>
          <w:p>
            <w:pPr>
              <w:spacing w:after="0" w:line="178" w:lineRule="exact"/>
              <w:rPr>
                <w:sz w:val="20"/>
                <w:szCs w:val="20"/>
                <w:color w:val="auto"/>
              </w:rPr>
            </w:pPr>
            <w:r>
              <w:rPr>
                <w:rFonts w:ascii="Arial" w:cs="Arial" w:eastAsia="Arial" w:hAnsi="Arial"/>
                <w:sz w:val="16"/>
                <w:szCs w:val="16"/>
                <w:b w:val="1"/>
                <w:bCs w:val="1"/>
                <w:color w:val="231F20"/>
              </w:rPr>
              <w:t>Number</w:t>
            </w:r>
          </w:p>
        </w:tc>
        <w:tc>
          <w:tcPr>
            <w:tcW w:w="3720" w:type="dxa"/>
            <w:vAlign w:val="bottom"/>
          </w:tcPr>
          <w:p>
            <w:pPr>
              <w:ind w:left="60"/>
              <w:spacing w:after="0" w:line="178" w:lineRule="exact"/>
              <w:rPr>
                <w:sz w:val="20"/>
                <w:szCs w:val="20"/>
                <w:color w:val="auto"/>
              </w:rPr>
            </w:pPr>
            <w:r>
              <w:rPr>
                <w:rFonts w:ascii="Arial" w:cs="Arial" w:eastAsia="Arial" w:hAnsi="Arial"/>
                <w:sz w:val="16"/>
                <w:szCs w:val="16"/>
                <w:b w:val="1"/>
                <w:bCs w:val="1"/>
                <w:color w:val="231F20"/>
              </w:rPr>
              <w:t>Description</w:t>
            </w:r>
          </w:p>
        </w:tc>
        <w:tc>
          <w:tcPr>
            <w:tcW w:w="9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4"/>
              </w:rPr>
              <w:t>Form</w:t>
            </w:r>
          </w:p>
        </w:tc>
        <w:tc>
          <w:tcPr>
            <w:tcW w:w="100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9"/>
              </w:rPr>
              <w:t>File No.</w:t>
            </w:r>
          </w:p>
        </w:tc>
        <w:tc>
          <w:tcPr>
            <w:tcW w:w="6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9"/>
              </w:rPr>
              <w:t>Exhibit</w:t>
            </w:r>
          </w:p>
        </w:tc>
        <w:tc>
          <w:tcPr>
            <w:tcW w:w="11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0"/>
              </w:rPr>
              <w:t>Filing Date</w:t>
            </w:r>
          </w:p>
        </w:tc>
        <w:tc>
          <w:tcPr>
            <w:tcW w:w="800" w:type="dxa"/>
            <w:vAlign w:val="bottom"/>
          </w:tcPr>
          <w:p>
            <w:pPr>
              <w:jc w:val="center"/>
              <w:ind w:left="12"/>
              <w:spacing w:after="0" w:line="178" w:lineRule="exact"/>
              <w:rPr>
                <w:sz w:val="20"/>
                <w:szCs w:val="20"/>
                <w:color w:val="auto"/>
              </w:rPr>
            </w:pPr>
            <w:r>
              <w:rPr>
                <w:rFonts w:ascii="Arial" w:cs="Arial" w:eastAsia="Arial" w:hAnsi="Arial"/>
                <w:sz w:val="16"/>
                <w:szCs w:val="16"/>
                <w:b w:val="1"/>
                <w:bCs w:val="1"/>
                <w:color w:val="231F20"/>
                <w:w w:val="91"/>
              </w:rPr>
              <w:t>Herewith</w:t>
            </w:r>
          </w:p>
        </w:tc>
      </w:tr>
      <w:tr>
        <w:trPr>
          <w:trHeight w:val="356"/>
        </w:trPr>
        <w:tc>
          <w:tcPr>
            <w:tcW w:w="760" w:type="dxa"/>
            <w:vAlign w:val="bottom"/>
          </w:tcPr>
          <w:p>
            <w:pPr>
              <w:spacing w:after="0"/>
              <w:rPr>
                <w:sz w:val="20"/>
                <w:szCs w:val="20"/>
                <w:color w:val="auto"/>
              </w:rPr>
            </w:pPr>
            <w:r>
              <w:rPr>
                <w:rFonts w:ascii="Arial" w:cs="Arial" w:eastAsia="Arial" w:hAnsi="Arial"/>
                <w:sz w:val="19"/>
                <w:szCs w:val="19"/>
                <w:b w:val="1"/>
                <w:bCs w:val="1"/>
                <w:color w:val="231F20"/>
              </w:rPr>
              <w:t>97.1</w:t>
            </w: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w w:val="93"/>
              </w:rPr>
              <w:t>Policy Relating to Recovery of Erroneously</w:t>
            </w:r>
          </w:p>
        </w:tc>
        <w:tc>
          <w:tcPr>
            <w:tcW w:w="980" w:type="dxa"/>
            <w:vAlign w:val="bottom"/>
          </w:tcPr>
          <w:p>
            <w:pPr>
              <w:jc w:val="center"/>
              <w:spacing w:after="0"/>
              <w:rPr>
                <w:sz w:val="20"/>
                <w:szCs w:val="20"/>
                <w:color w:val="auto"/>
              </w:rPr>
            </w:pPr>
            <w:r>
              <w:rPr>
                <w:rFonts w:ascii="Arial" w:cs="Arial" w:eastAsia="Arial" w:hAnsi="Arial"/>
                <w:sz w:val="19"/>
                <w:szCs w:val="19"/>
                <w:b w:val="1"/>
                <w:bCs w:val="1"/>
                <w:color w:val="231F20"/>
                <w:w w:val="91"/>
              </w:rPr>
              <w:t>Form 10-K</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w w:val="99"/>
              </w:rPr>
              <w:t>001-39473</w:t>
            </w:r>
          </w:p>
        </w:tc>
        <w:tc>
          <w:tcPr>
            <w:tcW w:w="680" w:type="dxa"/>
            <w:vAlign w:val="bottom"/>
          </w:tcPr>
          <w:p>
            <w:pPr>
              <w:jc w:val="right"/>
              <w:ind w:right="112"/>
              <w:spacing w:after="0"/>
              <w:rPr>
                <w:sz w:val="20"/>
                <w:szCs w:val="20"/>
                <w:color w:val="auto"/>
              </w:rPr>
            </w:pPr>
            <w:r>
              <w:rPr>
                <w:rFonts w:ascii="Arial" w:cs="Arial" w:eastAsia="Arial" w:hAnsi="Arial"/>
                <w:sz w:val="19"/>
                <w:szCs w:val="19"/>
                <w:b w:val="1"/>
                <w:bCs w:val="1"/>
                <w:color w:val="231F20"/>
              </w:rPr>
              <w:t>97.1</w:t>
            </w:r>
          </w:p>
        </w:tc>
        <w:tc>
          <w:tcPr>
            <w:tcW w:w="1120" w:type="dxa"/>
            <w:vAlign w:val="bottom"/>
          </w:tcPr>
          <w:p>
            <w:pPr>
              <w:jc w:val="right"/>
              <w:ind w:right="12"/>
              <w:spacing w:after="0"/>
              <w:rPr>
                <w:sz w:val="20"/>
                <w:szCs w:val="20"/>
                <w:color w:val="auto"/>
              </w:rPr>
            </w:pPr>
            <w:r>
              <w:rPr>
                <w:rFonts w:ascii="Arial" w:cs="Arial" w:eastAsia="Arial" w:hAnsi="Arial"/>
                <w:sz w:val="19"/>
                <w:szCs w:val="19"/>
                <w:b w:val="1"/>
                <w:bCs w:val="1"/>
                <w:color w:val="231F20"/>
              </w:rPr>
              <w:t>03/04/2024</w:t>
            </w:r>
          </w:p>
        </w:tc>
        <w:tc>
          <w:tcPr>
            <w:tcW w:w="800" w:type="dxa"/>
            <w:vAlign w:val="bottom"/>
          </w:tcPr>
          <w:p>
            <w:pPr>
              <w:spacing w:after="0"/>
              <w:rPr>
                <w:sz w:val="24"/>
                <w:szCs w:val="24"/>
                <w:color w:val="auto"/>
              </w:rPr>
            </w:pP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rPr>
              <w:t>Awarded Compensation</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9"/>
                <w:szCs w:val="19"/>
                <w:b w:val="1"/>
                <w:bCs w:val="1"/>
                <w:color w:val="231F20"/>
              </w:rPr>
              <w:t>101.INS</w:t>
            </w:r>
          </w:p>
        </w:tc>
        <w:tc>
          <w:tcPr>
            <w:tcW w:w="3720" w:type="dxa"/>
            <w:vAlign w:val="bottom"/>
          </w:tcPr>
          <w:p>
            <w:pPr>
              <w:ind w:left="60"/>
              <w:spacing w:after="0" w:line="231" w:lineRule="exact"/>
              <w:rPr>
                <w:sz w:val="20"/>
                <w:szCs w:val="20"/>
                <w:color w:val="auto"/>
              </w:rPr>
            </w:pPr>
            <w:r>
              <w:rPr>
                <w:rFonts w:ascii="Arial" w:cs="Arial" w:eastAsia="Arial" w:hAnsi="Arial"/>
                <w:sz w:val="19"/>
                <w:szCs w:val="19"/>
                <w:b w:val="1"/>
                <w:bCs w:val="1"/>
                <w:color w:val="231F20"/>
              </w:rPr>
              <w:t xml:space="preserve">Inline XBRL Instance Document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the</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Arial" w:cs="Arial" w:eastAsia="Arial" w:hAnsi="Arial"/>
                <w:sz w:val="19"/>
                <w:szCs w:val="19"/>
                <w:b w:val="1"/>
                <w:bCs w:val="1"/>
                <w:color w:val="231F20"/>
              </w:rPr>
              <w:t>*</w:t>
            </w: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w w:val="95"/>
              </w:rPr>
              <w:t>instance document does not appear in the</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w w:val="94"/>
              </w:rPr>
              <w:t>Interactive Data file because its XBRL tags</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rPr>
              <w:t>are embedded within the Inline XBRL</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rPr>
              <w:t>document</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9"/>
                <w:szCs w:val="19"/>
                <w:b w:val="1"/>
                <w:bCs w:val="1"/>
                <w:color w:val="231F20"/>
                <w:w w:val="95"/>
              </w:rPr>
              <w:t>101.SCH</w:t>
            </w: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w w:val="95"/>
              </w:rPr>
              <w:t>Inline XBRL Taxonomy Extension Schema</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Arial" w:cs="Arial" w:eastAsia="Arial" w:hAnsi="Arial"/>
                <w:sz w:val="19"/>
                <w:szCs w:val="19"/>
                <w:b w:val="1"/>
                <w:bCs w:val="1"/>
                <w:color w:val="231F20"/>
              </w:rPr>
              <w:t>*</w:t>
            </w: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rPr>
              <w:t>With Embedded Linkbase Documents</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760" w:type="dxa"/>
            <w:vAlign w:val="bottom"/>
          </w:tcPr>
          <w:p>
            <w:pPr>
              <w:spacing w:after="0"/>
              <w:rPr>
                <w:sz w:val="20"/>
                <w:szCs w:val="20"/>
                <w:color w:val="auto"/>
              </w:rPr>
            </w:pPr>
            <w:r>
              <w:rPr>
                <w:rFonts w:ascii="Arial" w:cs="Arial" w:eastAsia="Arial" w:hAnsi="Arial"/>
                <w:sz w:val="19"/>
                <w:szCs w:val="19"/>
                <w:b w:val="1"/>
                <w:bCs w:val="1"/>
                <w:color w:val="231F20"/>
              </w:rPr>
              <w:t>104</w:t>
            </w: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w w:val="87"/>
              </w:rPr>
              <w:t>Cover Page Interactive Data File (as formatted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Arial" w:cs="Arial" w:eastAsia="Arial" w:hAnsi="Arial"/>
                <w:sz w:val="19"/>
                <w:szCs w:val="19"/>
                <w:b w:val="1"/>
                <w:bCs w:val="1"/>
                <w:color w:val="231F20"/>
              </w:rPr>
              <w:t>*</w:t>
            </w:r>
          </w:p>
        </w:tc>
      </w:tr>
      <w:tr>
        <w:trPr>
          <w:trHeight w:val="223"/>
        </w:trPr>
        <w:tc>
          <w:tcPr>
            <w:tcW w:w="760" w:type="dxa"/>
            <w:vAlign w:val="bottom"/>
          </w:tcPr>
          <w:p>
            <w:pPr>
              <w:spacing w:after="0"/>
              <w:rPr>
                <w:sz w:val="19"/>
                <w:szCs w:val="19"/>
                <w:color w:val="auto"/>
              </w:rPr>
            </w:pPr>
          </w:p>
        </w:tc>
        <w:tc>
          <w:tcPr>
            <w:tcW w:w="3720" w:type="dxa"/>
            <w:vAlign w:val="bottom"/>
          </w:tcPr>
          <w:p>
            <w:pPr>
              <w:ind w:left="60"/>
              <w:spacing w:after="0"/>
              <w:rPr>
                <w:sz w:val="20"/>
                <w:szCs w:val="20"/>
                <w:color w:val="auto"/>
              </w:rPr>
            </w:pPr>
            <w:r>
              <w:rPr>
                <w:rFonts w:ascii="Arial" w:cs="Arial" w:eastAsia="Arial" w:hAnsi="Arial"/>
                <w:sz w:val="19"/>
                <w:szCs w:val="19"/>
                <w:b w:val="1"/>
                <w:bCs w:val="1"/>
                <w:color w:val="231F20"/>
                <w:w w:val="90"/>
              </w:rPr>
              <w:t>as Inline XBRL and contained in Exhibit 101)</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99060</wp:posOffset>
            </wp:positionV>
            <wp:extent cx="88709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7095" cy="7620"/>
                    </a:xfrm>
                    <a:prstGeom prst="rect">
                      <a:avLst/>
                    </a:prstGeom>
                    <a:noFill/>
                  </pic:spPr>
                </pic:pic>
              </a:graphicData>
            </a:graphic>
          </wp:anchor>
        </w:drawing>
      </w:r>
    </w:p>
    <w:p>
      <w:pPr>
        <w:spacing w:after="0" w:line="192" w:lineRule="exact"/>
        <w:rPr>
          <w:sz w:val="20"/>
          <w:szCs w:val="20"/>
          <w:color w:val="auto"/>
        </w:rPr>
      </w:pPr>
    </w:p>
    <w:p>
      <w:pPr>
        <w:ind w:left="140" w:right="140" w:firstLine="2"/>
        <w:spacing w:after="0" w:line="239" w:lineRule="auto"/>
        <w:tabs>
          <w:tab w:leader="none" w:pos="301" w:val="left"/>
        </w:tabs>
        <w:numPr>
          <w:ilvl w:val="0"/>
          <w:numId w:val="51"/>
        </w:numPr>
        <w:rPr>
          <w:rFonts w:ascii="Arial" w:cs="Arial" w:eastAsia="Arial" w:hAnsi="Arial"/>
          <w:sz w:val="19"/>
          <w:szCs w:val="19"/>
          <w:b w:val="1"/>
          <w:bCs w:val="1"/>
          <w:color w:val="231F20"/>
        </w:rPr>
      </w:pPr>
      <w:r>
        <w:rPr>
          <w:rFonts w:ascii="Arial" w:cs="Arial" w:eastAsia="Arial" w:hAnsi="Arial"/>
          <w:sz w:val="19"/>
          <w:szCs w:val="19"/>
          <w:b w:val="1"/>
          <w:bCs w:val="1"/>
          <w:color w:val="231F20"/>
        </w:rPr>
        <w:t>Certain schedules and attachments to certain of these exhibits have been omitted pursuant to Regulation S-K, Item 601(a)(5).</w:t>
      </w:r>
    </w:p>
    <w:p>
      <w:pPr>
        <w:spacing w:after="0" w:line="206" w:lineRule="exact"/>
        <w:rPr>
          <w:sz w:val="20"/>
          <w:szCs w:val="20"/>
          <w:color w:val="auto"/>
        </w:rPr>
      </w:pPr>
    </w:p>
    <w:p>
      <w:pPr>
        <w:ind w:left="140" w:right="3660" w:firstLine="2"/>
        <w:spacing w:after="0" w:line="452" w:lineRule="auto"/>
        <w:tabs>
          <w:tab w:leader="none" w:pos="286" w:val="left"/>
        </w:tabs>
        <w:numPr>
          <w:ilvl w:val="0"/>
          <w:numId w:val="52"/>
        </w:numPr>
        <w:rPr>
          <w:rFonts w:ascii="Arial" w:cs="Arial" w:eastAsia="Arial" w:hAnsi="Arial"/>
          <w:sz w:val="19"/>
          <w:szCs w:val="19"/>
          <w:b w:val="1"/>
          <w:bCs w:val="1"/>
          <w:color w:val="231F20"/>
        </w:rPr>
      </w:pPr>
      <w:r>
        <w:rPr>
          <w:rFonts w:ascii="Arial" w:cs="Arial" w:eastAsia="Arial" w:hAnsi="Arial"/>
          <w:sz w:val="19"/>
          <w:szCs w:val="19"/>
          <w:b w:val="1"/>
          <w:bCs w:val="1"/>
          <w:color w:val="231F20"/>
        </w:rPr>
        <w:t>Indicates management contract or compensatory plan or arrangement. * Filed herewith.</w:t>
      </w:r>
    </w:p>
    <w:p>
      <w:pPr>
        <w:spacing w:after="0" w:line="6" w:lineRule="exact"/>
        <w:rPr>
          <w:rFonts w:ascii="Arial" w:cs="Arial" w:eastAsia="Arial" w:hAnsi="Arial"/>
          <w:sz w:val="19"/>
          <w:szCs w:val="19"/>
          <w:b w:val="1"/>
          <w:bCs w:val="1"/>
          <w:color w:val="231F20"/>
        </w:rPr>
      </w:pPr>
    </w:p>
    <w:p>
      <w:pPr>
        <w:ind w:left="140"/>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 Furnished herewith.</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Item 16.Form 10-K Summary.</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None.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98</w:t>
      </w:r>
    </w:p>
    <w:p>
      <w:pPr>
        <w:sectPr>
          <w:pgSz w:w="12240" w:h="15840" w:orient="portrait"/>
          <w:cols w:equalWidth="0" w:num="1">
            <w:col w:w="9360"/>
          </w:cols>
          <w:pgMar w:left="1440" w:top="1440" w:right="1440" w:bottom="390" w:gutter="0" w:footer="0" w:header="0"/>
          <w:type w:val="continuous"/>
        </w:sectPr>
      </w:pPr>
    </w:p>
    <w:bookmarkStart w:id="100" w:name="page101"/>
    <w:bookmarkEnd w:id="100"/>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SIGNATURES</w:t>
      </w:r>
    </w:p>
    <w:p>
      <w:pPr>
        <w:spacing w:after="0" w:line="204"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6140" w:type="dxa"/>
            <w:vAlign w:val="bottom"/>
            <w:gridSpan w:val="2"/>
          </w:tcPr>
          <w:p>
            <w:pPr>
              <w:ind w:left="1100"/>
              <w:spacing w:after="0"/>
              <w:rPr>
                <w:sz w:val="20"/>
                <w:szCs w:val="20"/>
                <w:color w:val="auto"/>
              </w:rPr>
            </w:pPr>
            <w:r>
              <w:rPr>
                <w:rFonts w:ascii="Arial" w:cs="Arial" w:eastAsia="Arial" w:hAnsi="Arial"/>
                <w:sz w:val="19"/>
                <w:szCs w:val="19"/>
                <w:b w:val="1"/>
                <w:bCs w:val="1"/>
                <w:color w:val="231F20"/>
              </w:rPr>
              <w:t>LENSAR, Inc.</w:t>
            </w:r>
          </w:p>
        </w:tc>
      </w:tr>
      <w:tr>
        <w:trPr>
          <w:trHeight w:val="446"/>
        </w:trPr>
        <w:tc>
          <w:tcPr>
            <w:tcW w:w="2840" w:type="dxa"/>
            <w:vAlign w:val="bottom"/>
          </w:tcPr>
          <w:p>
            <w:pPr>
              <w:spacing w:after="0"/>
              <w:rPr>
                <w:sz w:val="20"/>
                <w:szCs w:val="20"/>
                <w:color w:val="auto"/>
              </w:rPr>
            </w:pPr>
            <w:r>
              <w:rPr>
                <w:rFonts w:ascii="Arial" w:cs="Arial" w:eastAsia="Arial" w:hAnsi="Arial"/>
                <w:sz w:val="19"/>
                <w:szCs w:val="19"/>
                <w:b w:val="1"/>
                <w:bCs w:val="1"/>
                <w:color w:val="231F20"/>
              </w:rPr>
              <w:t>Date: March 31, 2026</w:t>
            </w:r>
          </w:p>
        </w:tc>
        <w:tc>
          <w:tcPr>
            <w:tcW w:w="6140" w:type="dxa"/>
            <w:vAlign w:val="bottom"/>
            <w:gridSpan w:val="2"/>
          </w:tcPr>
          <w:p>
            <w:pPr>
              <w:ind w:left="2180"/>
              <w:spacing w:after="0"/>
              <w:rPr>
                <w:sz w:val="20"/>
                <w:szCs w:val="20"/>
                <w:color w:val="auto"/>
              </w:rPr>
            </w:pPr>
            <w:r>
              <w:rPr>
                <w:rFonts w:ascii="Arial" w:cs="Arial" w:eastAsia="Arial" w:hAnsi="Arial"/>
                <w:sz w:val="19"/>
                <w:szCs w:val="19"/>
                <w:b w:val="1"/>
                <w:bCs w:val="1"/>
                <w:color w:val="231F20"/>
              </w:rPr>
              <w:t>By: /s/ Nicholas T. Curtis</w:t>
            </w:r>
          </w:p>
        </w:tc>
      </w:tr>
      <w:tr>
        <w:trPr>
          <w:trHeight w:val="213"/>
        </w:trPr>
        <w:tc>
          <w:tcPr>
            <w:tcW w:w="2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560" w:type="dxa"/>
            <w:vAlign w:val="bottom"/>
            <w:tcBorders>
              <w:top w:val="single" w:sz="8" w:color="231F20"/>
            </w:tcBorders>
          </w:tcPr>
          <w:p>
            <w:pPr>
              <w:spacing w:after="0" w:line="214" w:lineRule="exact"/>
              <w:rPr>
                <w:sz w:val="20"/>
                <w:szCs w:val="20"/>
                <w:color w:val="auto"/>
              </w:rPr>
            </w:pPr>
            <w:r>
              <w:rPr>
                <w:rFonts w:ascii="Arial" w:cs="Arial" w:eastAsia="Arial" w:hAnsi="Arial"/>
                <w:sz w:val="19"/>
                <w:szCs w:val="19"/>
                <w:b w:val="1"/>
                <w:bCs w:val="1"/>
                <w:color w:val="231F20"/>
              </w:rPr>
              <w:t>Nicholas T. Curtis</w:t>
            </w:r>
          </w:p>
        </w:tc>
      </w:tr>
      <w:tr>
        <w:trPr>
          <w:trHeight w:val="223"/>
        </w:trPr>
        <w:tc>
          <w:tcPr>
            <w:tcW w:w="28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9"/>
                <w:szCs w:val="19"/>
                <w:b w:val="1"/>
                <w:bCs w:val="1"/>
                <w:color w:val="231F20"/>
              </w:rPr>
              <w:t>Chief Executive Officer</w:t>
            </w:r>
          </w:p>
        </w:tc>
      </w:tr>
      <w:tr>
        <w:trPr>
          <w:trHeight w:val="223"/>
        </w:trPr>
        <w:tc>
          <w:tcPr>
            <w:tcW w:w="28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9"/>
                <w:szCs w:val="19"/>
                <w:b w:val="1"/>
                <w:bCs w:val="1"/>
                <w:color w:val="231F20"/>
              </w:rPr>
              <w:t>(Principal Executive Officer)</w:t>
            </w:r>
          </w:p>
        </w:tc>
      </w:tr>
      <w:tr>
        <w:trPr>
          <w:trHeight w:val="446"/>
        </w:trPr>
        <w:tc>
          <w:tcPr>
            <w:tcW w:w="2840" w:type="dxa"/>
            <w:vAlign w:val="bottom"/>
          </w:tcPr>
          <w:p>
            <w:pPr>
              <w:spacing w:after="0"/>
              <w:rPr>
                <w:sz w:val="20"/>
                <w:szCs w:val="20"/>
                <w:color w:val="auto"/>
              </w:rPr>
            </w:pPr>
            <w:r>
              <w:rPr>
                <w:rFonts w:ascii="Arial" w:cs="Arial" w:eastAsia="Arial" w:hAnsi="Arial"/>
                <w:sz w:val="19"/>
                <w:szCs w:val="19"/>
                <w:b w:val="1"/>
                <w:bCs w:val="1"/>
                <w:color w:val="231F20"/>
              </w:rPr>
              <w:t>Date: March 31, 2026</w:t>
            </w:r>
          </w:p>
        </w:tc>
        <w:tc>
          <w:tcPr>
            <w:tcW w:w="2580" w:type="dxa"/>
            <w:vAlign w:val="bottom"/>
          </w:tcPr>
          <w:p>
            <w:pPr>
              <w:spacing w:after="0"/>
              <w:rPr>
                <w:sz w:val="24"/>
                <w:szCs w:val="24"/>
                <w:color w:val="auto"/>
              </w:rPr>
            </w:pPr>
          </w:p>
        </w:tc>
        <w:tc>
          <w:tcPr>
            <w:tcW w:w="3560" w:type="dxa"/>
            <w:vAlign w:val="bottom"/>
            <w:tcBorders>
              <w:bottom w:val="single" w:sz="8" w:color="231F20"/>
            </w:tcBorders>
          </w:tcPr>
          <w:p>
            <w:pPr>
              <w:spacing w:after="0"/>
              <w:rPr>
                <w:sz w:val="20"/>
                <w:szCs w:val="20"/>
                <w:color w:val="auto"/>
              </w:rPr>
            </w:pPr>
            <w:r>
              <w:rPr>
                <w:rFonts w:ascii="Arial" w:cs="Arial" w:eastAsia="Arial" w:hAnsi="Arial"/>
                <w:sz w:val="19"/>
                <w:szCs w:val="19"/>
                <w:b w:val="1"/>
                <w:bCs w:val="1"/>
                <w:color w:val="231F20"/>
              </w:rPr>
              <w:t>/s/ Thomas R. Staab, II</w:t>
            </w:r>
          </w:p>
        </w:tc>
      </w:tr>
      <w:tr>
        <w:trPr>
          <w:trHeight w:val="213"/>
        </w:trPr>
        <w:tc>
          <w:tcPr>
            <w:tcW w:w="2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560" w:type="dxa"/>
            <w:vAlign w:val="bottom"/>
          </w:tcPr>
          <w:p>
            <w:pPr>
              <w:spacing w:after="0" w:line="214" w:lineRule="exact"/>
              <w:rPr>
                <w:sz w:val="20"/>
                <w:szCs w:val="20"/>
                <w:color w:val="auto"/>
              </w:rPr>
            </w:pPr>
            <w:r>
              <w:rPr>
                <w:rFonts w:ascii="Arial" w:cs="Arial" w:eastAsia="Arial" w:hAnsi="Arial"/>
                <w:sz w:val="19"/>
                <w:szCs w:val="19"/>
                <w:b w:val="1"/>
                <w:bCs w:val="1"/>
                <w:color w:val="231F20"/>
              </w:rPr>
              <w:t>Thomas R. Staab, II</w:t>
            </w:r>
          </w:p>
        </w:tc>
      </w:tr>
      <w:tr>
        <w:trPr>
          <w:trHeight w:val="223"/>
        </w:trPr>
        <w:tc>
          <w:tcPr>
            <w:tcW w:w="28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9"/>
                <w:szCs w:val="19"/>
                <w:b w:val="1"/>
                <w:bCs w:val="1"/>
                <w:color w:val="231F20"/>
              </w:rPr>
              <w:t>Chief Financial Officer</w:t>
            </w:r>
          </w:p>
        </w:tc>
      </w:tr>
      <w:tr>
        <w:trPr>
          <w:trHeight w:val="223"/>
        </w:trPr>
        <w:tc>
          <w:tcPr>
            <w:tcW w:w="28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9"/>
                <w:szCs w:val="19"/>
                <w:b w:val="1"/>
                <w:bCs w:val="1"/>
                <w:color w:val="231F20"/>
              </w:rPr>
              <w:t>(Principal Financial Officer)</w:t>
            </w:r>
          </w:p>
        </w:tc>
      </w:tr>
    </w:tbl>
    <w:p>
      <w:pPr>
        <w:spacing w:after="0" w:line="233" w:lineRule="exact"/>
        <w:rPr>
          <w:sz w:val="20"/>
          <w:szCs w:val="20"/>
          <w:color w:val="auto"/>
        </w:rPr>
      </w:pPr>
    </w:p>
    <w:p>
      <w:pPr>
        <w:ind w:left="140" w:right="140"/>
        <w:spacing w:after="0" w:line="295" w:lineRule="auto"/>
        <w:rPr>
          <w:sz w:val="20"/>
          <w:szCs w:val="20"/>
          <w:color w:val="auto"/>
        </w:rPr>
      </w:pPr>
      <w:r>
        <w:rPr>
          <w:rFonts w:ascii="Arial" w:cs="Arial" w:eastAsia="Arial" w:hAnsi="Arial"/>
          <w:sz w:val="17"/>
          <w:szCs w:val="17"/>
          <w:b w:val="1"/>
          <w:bCs w:val="1"/>
          <w:color w:val="231F20"/>
        </w:rPr>
        <w:t>Pursuant to the requirements of the Securities Exchange Act of 1934, as amended, this Report has been signed below by the following persons on behalf of the Registrant in the capacities and on the dates indicated.</w:t>
      </w:r>
    </w:p>
    <w:p>
      <w:pPr>
        <w:spacing w:after="0" w:line="181"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3000" w:type="dxa"/>
            <w:vAlign w:val="bottom"/>
          </w:tcPr>
          <w:p>
            <w:pPr>
              <w:jc w:val="center"/>
              <w:spacing w:after="0"/>
              <w:rPr>
                <w:sz w:val="20"/>
                <w:szCs w:val="20"/>
                <w:color w:val="auto"/>
              </w:rPr>
            </w:pPr>
            <w:r>
              <w:rPr>
                <w:rFonts w:ascii="Arial" w:cs="Arial" w:eastAsia="Arial" w:hAnsi="Arial"/>
                <w:sz w:val="19"/>
                <w:szCs w:val="19"/>
                <w:b w:val="1"/>
                <w:bCs w:val="1"/>
                <w:color w:val="231F20"/>
                <w:w w:val="92"/>
              </w:rPr>
              <w:t>Name</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rPr>
              <w:t>Title</w:t>
            </w:r>
          </w:p>
        </w:tc>
        <w:tc>
          <w:tcPr>
            <w:tcW w:w="19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7"/>
              </w:rPr>
              <w:t>Date</w:t>
            </w:r>
          </w:p>
        </w:tc>
      </w:tr>
      <w:tr>
        <w:trPr>
          <w:trHeight w:val="441"/>
        </w:trPr>
        <w:tc>
          <w:tcPr>
            <w:tcW w:w="30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8"/>
              </w:rPr>
              <w:t>Chief Executive Officer and Director</w:t>
            </w:r>
          </w:p>
        </w:tc>
        <w:tc>
          <w:tcPr>
            <w:tcW w:w="1960" w:type="dxa"/>
            <w:vAlign w:val="bottom"/>
          </w:tcPr>
          <w:p>
            <w:pPr>
              <w:spacing w:after="0"/>
              <w:rPr>
                <w:sz w:val="24"/>
                <w:szCs w:val="24"/>
                <w:color w:val="auto"/>
              </w:rPr>
            </w:pPr>
          </w:p>
        </w:tc>
      </w:tr>
      <w:tr>
        <w:trPr>
          <w:trHeight w:val="223"/>
        </w:trPr>
        <w:tc>
          <w:tcPr>
            <w:tcW w:w="3000" w:type="dxa"/>
            <w:vAlign w:val="bottom"/>
          </w:tcPr>
          <w:p>
            <w:pPr>
              <w:jc w:val="center"/>
              <w:spacing w:after="0"/>
              <w:rPr>
                <w:sz w:val="20"/>
                <w:szCs w:val="20"/>
                <w:color w:val="auto"/>
              </w:rPr>
            </w:pPr>
            <w:r>
              <w:rPr>
                <w:rFonts w:ascii="Arial" w:cs="Arial" w:eastAsia="Arial" w:hAnsi="Arial"/>
                <w:sz w:val="19"/>
                <w:szCs w:val="19"/>
                <w:b w:val="1"/>
                <w:bCs w:val="1"/>
                <w:color w:val="231F20"/>
                <w:w w:val="88"/>
              </w:rPr>
              <w:t>/s/ Nicholas T. Curtis</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(principal executive officer)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38"/>
        </w:trPr>
        <w:tc>
          <w:tcPr>
            <w:tcW w:w="3000" w:type="dxa"/>
            <w:vAlign w:val="bottom"/>
          </w:tcPr>
          <w:p>
            <w:pPr>
              <w:jc w:val="center"/>
              <w:spacing w:after="0"/>
              <w:rPr>
                <w:sz w:val="20"/>
                <w:szCs w:val="20"/>
                <w:color w:val="auto"/>
              </w:rPr>
            </w:pPr>
            <w:r>
              <w:rPr>
                <w:rFonts w:ascii="Arial" w:cs="Arial" w:eastAsia="Arial" w:hAnsi="Arial"/>
                <w:sz w:val="19"/>
                <w:szCs w:val="19"/>
                <w:b w:val="1"/>
                <w:bCs w:val="1"/>
                <w:color w:val="231F20"/>
                <w:w w:val="94"/>
              </w:rPr>
              <w:t>Nicholas T. Curtis</w:t>
            </w:r>
          </w:p>
        </w:tc>
        <w:tc>
          <w:tcPr>
            <w:tcW w:w="4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6"/>
        </w:trPr>
        <w:tc>
          <w:tcPr>
            <w:tcW w:w="30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9"/>
              </w:rPr>
              <w:t>Chief Financial Officer</w:t>
            </w:r>
          </w:p>
        </w:tc>
        <w:tc>
          <w:tcPr>
            <w:tcW w:w="1960" w:type="dxa"/>
            <w:vAlign w:val="bottom"/>
          </w:tcPr>
          <w:p>
            <w:pPr>
              <w:spacing w:after="0"/>
              <w:rPr>
                <w:sz w:val="24"/>
                <w:szCs w:val="24"/>
                <w:color w:val="auto"/>
              </w:rPr>
            </w:pPr>
          </w:p>
        </w:tc>
      </w:tr>
      <w:tr>
        <w:trPr>
          <w:trHeight w:val="223"/>
        </w:trPr>
        <w:tc>
          <w:tcPr>
            <w:tcW w:w="3000" w:type="dxa"/>
            <w:vAlign w:val="bottom"/>
          </w:tcPr>
          <w:p>
            <w:pPr>
              <w:jc w:val="center"/>
              <w:spacing w:after="0"/>
              <w:rPr>
                <w:sz w:val="20"/>
                <w:szCs w:val="20"/>
                <w:color w:val="auto"/>
              </w:rPr>
            </w:pPr>
            <w:r>
              <w:rPr>
                <w:rFonts w:ascii="Arial" w:cs="Arial" w:eastAsia="Arial" w:hAnsi="Arial"/>
                <w:sz w:val="19"/>
                <w:szCs w:val="19"/>
                <w:b w:val="1"/>
                <w:bCs w:val="1"/>
                <w:color w:val="231F20"/>
                <w:w w:val="89"/>
              </w:rPr>
              <w:t>/s/ Thomas R. Staab, II</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9"/>
              </w:rPr>
              <w:t>(principal financial officer)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38"/>
        </w:trPr>
        <w:tc>
          <w:tcPr>
            <w:tcW w:w="3000" w:type="dxa"/>
            <w:vAlign w:val="bottom"/>
          </w:tcPr>
          <w:p>
            <w:pPr>
              <w:jc w:val="center"/>
              <w:spacing w:after="0"/>
              <w:rPr>
                <w:sz w:val="20"/>
                <w:szCs w:val="20"/>
                <w:color w:val="auto"/>
              </w:rPr>
            </w:pPr>
            <w:r>
              <w:rPr>
                <w:rFonts w:ascii="Arial" w:cs="Arial" w:eastAsia="Arial" w:hAnsi="Arial"/>
                <w:sz w:val="19"/>
                <w:szCs w:val="19"/>
                <w:b w:val="1"/>
                <w:bCs w:val="1"/>
                <w:color w:val="231F20"/>
                <w:w w:val="95"/>
              </w:rPr>
              <w:t>Thomas R. Staab, II</w:t>
            </w:r>
          </w:p>
        </w:tc>
        <w:tc>
          <w:tcPr>
            <w:tcW w:w="4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6"/>
        </w:trPr>
        <w:tc>
          <w:tcPr>
            <w:tcW w:w="30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8"/>
              </w:rPr>
              <w:t>Principal Accounting Officer</w:t>
            </w:r>
          </w:p>
        </w:tc>
        <w:tc>
          <w:tcPr>
            <w:tcW w:w="1960" w:type="dxa"/>
            <w:vAlign w:val="bottom"/>
          </w:tcPr>
          <w:p>
            <w:pPr>
              <w:spacing w:after="0"/>
              <w:rPr>
                <w:sz w:val="24"/>
                <w:szCs w:val="24"/>
                <w:color w:val="auto"/>
              </w:rPr>
            </w:pPr>
          </w:p>
        </w:tc>
      </w:tr>
      <w:tr>
        <w:trPr>
          <w:trHeight w:val="224"/>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9"/>
              </w:rPr>
              <w:t>/s/ Kendra W. Wong</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8"/>
              </w:rPr>
              <w:t>(principal accounting officer)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2"/>
        </w:trPr>
        <w:tc>
          <w:tcPr>
            <w:tcW w:w="3000" w:type="dxa"/>
            <w:vAlign w:val="bottom"/>
          </w:tcPr>
          <w:p>
            <w:pPr>
              <w:jc w:val="center"/>
              <w:spacing w:after="0" w:line="212" w:lineRule="exact"/>
              <w:rPr>
                <w:sz w:val="20"/>
                <w:szCs w:val="20"/>
                <w:color w:val="auto"/>
              </w:rPr>
            </w:pPr>
            <w:r>
              <w:rPr>
                <w:rFonts w:ascii="Arial" w:cs="Arial" w:eastAsia="Arial" w:hAnsi="Arial"/>
                <w:sz w:val="19"/>
                <w:szCs w:val="19"/>
                <w:b w:val="1"/>
                <w:bCs w:val="1"/>
                <w:color w:val="231F20"/>
                <w:w w:val="97"/>
              </w:rPr>
              <w:t>Kendra W. Wong</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7"/>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1"/>
              </w:rPr>
              <w:t>/s/ William J. Link, Ph.D.</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6"/>
              </w:rPr>
              <w:t>Chairperson of the Board of Directors</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7"/>
        </w:trPr>
        <w:tc>
          <w:tcPr>
            <w:tcW w:w="3000" w:type="dxa"/>
            <w:vAlign w:val="bottom"/>
          </w:tcPr>
          <w:p>
            <w:pPr>
              <w:jc w:val="center"/>
              <w:spacing w:after="0" w:line="217" w:lineRule="exact"/>
              <w:rPr>
                <w:sz w:val="20"/>
                <w:szCs w:val="20"/>
                <w:color w:val="auto"/>
              </w:rPr>
            </w:pPr>
            <w:r>
              <w:rPr>
                <w:rFonts w:ascii="Arial" w:cs="Arial" w:eastAsia="Arial" w:hAnsi="Arial"/>
                <w:sz w:val="19"/>
                <w:szCs w:val="19"/>
                <w:b w:val="1"/>
                <w:bCs w:val="1"/>
                <w:color w:val="231F20"/>
                <w:w w:val="98"/>
              </w:rPr>
              <w:t>William J. Link, Ph.D.</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7"/>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Thomas B. Ellis</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2"/>
        </w:trPr>
        <w:tc>
          <w:tcPr>
            <w:tcW w:w="3000" w:type="dxa"/>
            <w:vAlign w:val="bottom"/>
          </w:tcPr>
          <w:p>
            <w:pPr>
              <w:jc w:val="center"/>
              <w:spacing w:after="0" w:line="212" w:lineRule="exact"/>
              <w:rPr>
                <w:sz w:val="20"/>
                <w:szCs w:val="20"/>
                <w:color w:val="auto"/>
              </w:rPr>
            </w:pPr>
            <w:r>
              <w:rPr>
                <w:rFonts w:ascii="Arial" w:cs="Arial" w:eastAsia="Arial" w:hAnsi="Arial"/>
                <w:sz w:val="19"/>
                <w:szCs w:val="19"/>
                <w:b w:val="1"/>
                <w:bCs w:val="1"/>
                <w:color w:val="231F20"/>
                <w:w w:val="93"/>
              </w:rPr>
              <w:t>Thomas B. Ellis</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6"/>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9"/>
              </w:rPr>
              <w:t>/s/ Todd B. Hammer</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3"/>
        </w:trPr>
        <w:tc>
          <w:tcPr>
            <w:tcW w:w="3000" w:type="dxa"/>
            <w:vAlign w:val="bottom"/>
          </w:tcPr>
          <w:p>
            <w:pPr>
              <w:jc w:val="center"/>
              <w:spacing w:after="0" w:line="214" w:lineRule="exact"/>
              <w:rPr>
                <w:sz w:val="20"/>
                <w:szCs w:val="20"/>
                <w:color w:val="auto"/>
              </w:rPr>
            </w:pPr>
            <w:r>
              <w:rPr>
                <w:rFonts w:ascii="Arial" w:cs="Arial" w:eastAsia="Arial" w:hAnsi="Arial"/>
                <w:sz w:val="19"/>
                <w:szCs w:val="19"/>
                <w:b w:val="1"/>
                <w:bCs w:val="1"/>
                <w:color w:val="231F20"/>
                <w:w w:val="96"/>
              </w:rPr>
              <w:t>Todd B. Hammer</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7"/>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0"/>
              </w:rPr>
              <w:t>/s/ Richard L. Lindstrom, M.D.</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7"/>
        </w:trPr>
        <w:tc>
          <w:tcPr>
            <w:tcW w:w="3000" w:type="dxa"/>
            <w:vAlign w:val="bottom"/>
          </w:tcPr>
          <w:p>
            <w:pPr>
              <w:jc w:val="center"/>
              <w:spacing w:after="0" w:line="217" w:lineRule="exact"/>
              <w:rPr>
                <w:sz w:val="20"/>
                <w:szCs w:val="20"/>
                <w:color w:val="auto"/>
              </w:rPr>
            </w:pPr>
            <w:r>
              <w:rPr>
                <w:rFonts w:ascii="Arial" w:cs="Arial" w:eastAsia="Arial" w:hAnsi="Arial"/>
                <w:sz w:val="19"/>
                <w:szCs w:val="19"/>
                <w:b w:val="1"/>
                <w:bCs w:val="1"/>
                <w:color w:val="231F20"/>
                <w:w w:val="97"/>
              </w:rPr>
              <w:t>Richard L. Lindstrom, M.D.</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6"/>
        </w:trPr>
        <w:tc>
          <w:tcPr>
            <w:tcW w:w="3000" w:type="dxa"/>
            <w:vAlign w:val="bottom"/>
            <w:tcBorders>
              <w:bottom w:val="single" w:sz="8" w:color="231F20"/>
            </w:tcBorders>
          </w:tcPr>
          <w:p>
            <w:pPr>
              <w:jc w:val="center"/>
              <w:spacing w:after="0" w:line="231" w:lineRule="exact"/>
              <w:rPr>
                <w:sz w:val="20"/>
                <w:szCs w:val="20"/>
                <w:color w:val="auto"/>
              </w:rPr>
            </w:pPr>
            <w:r>
              <w:rPr>
                <w:rFonts w:ascii="Arial" w:cs="Arial" w:eastAsia="Arial" w:hAnsi="Arial"/>
                <w:sz w:val="19"/>
                <w:szCs w:val="19"/>
                <w:b w:val="1"/>
                <w:bCs w:val="1"/>
                <w:color w:val="231F20"/>
                <w:w w:val="90"/>
              </w:rPr>
              <w:t>/s/ Elizabeth G. O</w:t>
            </w:r>
            <w:r>
              <w:rPr>
                <w:rFonts w:ascii="PMingLiU" w:cs="PMingLiU" w:eastAsia="PMingLiU" w:hAnsi="PMingLiU"/>
                <w:sz w:val="19"/>
                <w:szCs w:val="19"/>
                <w:b w:val="1"/>
                <w:bCs w:val="1"/>
                <w:color w:val="231F20"/>
                <w:w w:val="90"/>
              </w:rPr>
              <w:t></w:t>
            </w:r>
            <w:r>
              <w:rPr>
                <w:rFonts w:ascii="Arial" w:cs="Arial" w:eastAsia="Arial" w:hAnsi="Arial"/>
                <w:sz w:val="19"/>
                <w:szCs w:val="19"/>
                <w:b w:val="1"/>
                <w:bCs w:val="1"/>
                <w:color w:val="231F20"/>
                <w:w w:val="90"/>
              </w:rPr>
              <w:t>Farrell</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3"/>
        </w:trPr>
        <w:tc>
          <w:tcPr>
            <w:tcW w:w="3000" w:type="dxa"/>
            <w:vAlign w:val="bottom"/>
          </w:tcPr>
          <w:p>
            <w:pPr>
              <w:jc w:val="center"/>
              <w:spacing w:after="0" w:line="213" w:lineRule="exact"/>
              <w:rPr>
                <w:sz w:val="20"/>
                <w:szCs w:val="20"/>
                <w:color w:val="auto"/>
              </w:rPr>
            </w:pPr>
            <w:r>
              <w:rPr>
                <w:rFonts w:ascii="Arial" w:cs="Arial" w:eastAsia="Arial" w:hAnsi="Arial"/>
                <w:sz w:val="19"/>
                <w:szCs w:val="19"/>
                <w:b w:val="1"/>
                <w:bCs w:val="1"/>
                <w:color w:val="231F20"/>
                <w:w w:val="98"/>
              </w:rPr>
              <w:t>Elizabeth G. O</w:t>
            </w:r>
            <w:r>
              <w:rPr>
                <w:rFonts w:ascii="PMingLiU" w:cs="PMingLiU" w:eastAsia="PMingLiU" w:hAnsi="PMingLiU"/>
                <w:sz w:val="19"/>
                <w:szCs w:val="19"/>
                <w:b w:val="1"/>
                <w:bCs w:val="1"/>
                <w:color w:val="231F20"/>
                <w:w w:val="98"/>
              </w:rPr>
              <w:t></w:t>
            </w:r>
            <w:r>
              <w:rPr>
                <w:rFonts w:ascii="Arial" w:cs="Arial" w:eastAsia="Arial" w:hAnsi="Arial"/>
                <w:sz w:val="19"/>
                <w:szCs w:val="19"/>
                <w:b w:val="1"/>
                <w:bCs w:val="1"/>
                <w:color w:val="231F20"/>
                <w:w w:val="98"/>
              </w:rPr>
              <w:t>Farrell</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6"/>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Aimee S. Weisner</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3"/>
        </w:trPr>
        <w:tc>
          <w:tcPr>
            <w:tcW w:w="3000" w:type="dxa"/>
            <w:vAlign w:val="bottom"/>
          </w:tcPr>
          <w:p>
            <w:pPr>
              <w:jc w:val="center"/>
              <w:spacing w:after="0" w:line="214" w:lineRule="exact"/>
              <w:rPr>
                <w:sz w:val="20"/>
                <w:szCs w:val="20"/>
                <w:color w:val="auto"/>
              </w:rPr>
            </w:pPr>
            <w:r>
              <w:rPr>
                <w:rFonts w:ascii="Arial" w:cs="Arial" w:eastAsia="Arial" w:hAnsi="Arial"/>
                <w:sz w:val="19"/>
                <w:szCs w:val="19"/>
                <w:b w:val="1"/>
                <w:bCs w:val="1"/>
                <w:color w:val="231F20"/>
                <w:w w:val="92"/>
              </w:rPr>
              <w:t>Aimee S. Weisner</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46"/>
        </w:trPr>
        <w:tc>
          <w:tcPr>
            <w:tcW w:w="3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3"/>
              </w:rPr>
              <w:t>/s/ Gary M. Winer</w:t>
            </w:r>
          </w:p>
        </w:tc>
        <w:tc>
          <w:tcPr>
            <w:tcW w:w="412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31, 2026</w:t>
            </w:r>
          </w:p>
        </w:tc>
      </w:tr>
      <w:tr>
        <w:trPr>
          <w:trHeight w:val="213"/>
        </w:trPr>
        <w:tc>
          <w:tcPr>
            <w:tcW w:w="3000" w:type="dxa"/>
            <w:vAlign w:val="bottom"/>
          </w:tcPr>
          <w:p>
            <w:pPr>
              <w:jc w:val="center"/>
              <w:spacing w:after="0" w:line="214" w:lineRule="exact"/>
              <w:rPr>
                <w:sz w:val="20"/>
                <w:szCs w:val="20"/>
                <w:color w:val="auto"/>
              </w:rPr>
            </w:pPr>
            <w:r>
              <w:rPr>
                <w:rFonts w:ascii="Arial" w:cs="Arial" w:eastAsia="Arial" w:hAnsi="Arial"/>
                <w:sz w:val="19"/>
                <w:szCs w:val="19"/>
                <w:b w:val="1"/>
                <w:bCs w:val="1"/>
                <w:color w:val="231F20"/>
              </w:rPr>
              <w:t>Gary M. Winer</w:t>
            </w:r>
          </w:p>
        </w:tc>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-4770755</wp:posOffset>
            </wp:positionV>
            <wp:extent cx="4486275" cy="1046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86275" cy="1046480"/>
                    </a:xfrm>
                    <a:prstGeom prst="rect">
                      <a:avLst/>
                    </a:prstGeom>
                    <a:noFill/>
                  </pic:spPr>
                </pic:pic>
              </a:graphicData>
            </a:graphic>
          </wp:anchor>
        </w:drawing>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99</w:t>
      </w:r>
    </w:p>
    <w:p>
      <w:pPr>
        <w:sectPr>
          <w:pgSz w:w="12240" w:h="15840" w:orient="portrait"/>
          <w:cols w:equalWidth="0" w:num="1">
            <w:col w:w="9360"/>
          </w:cols>
          <w:pgMar w:left="1440" w:top="1440" w:right="1440" w:bottom="390" w:gutter="0" w:footer="0" w:header="0"/>
          <w:type w:val="continuous"/>
        </w:sectPr>
      </w:pPr>
    </w:p>
    <w:bookmarkStart w:id="101" w:name="page102"/>
    <w:bookmarkEnd w:id="101"/>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LENSAR,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INDEX TO FINANCIAL STATEMENTS</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8260" w:type="dxa"/>
            <w:vAlign w:val="bottom"/>
          </w:tcPr>
          <w:p>
            <w:pPr>
              <w:spacing w:after="0"/>
              <w:rPr>
                <w:sz w:val="20"/>
                <w:szCs w:val="20"/>
                <w:color w:val="auto"/>
              </w:rPr>
            </w:pPr>
            <w:r>
              <w:rPr>
                <w:rFonts w:ascii="Arial" w:cs="Arial" w:eastAsia="Arial" w:hAnsi="Arial"/>
                <w:sz w:val="19"/>
                <w:szCs w:val="19"/>
                <w:b w:val="1"/>
                <w:bCs w:val="1"/>
                <w:color w:val="231F20"/>
              </w:rPr>
              <w:t>As of December 31, 2025 and 2024 and for the Years Ended December 31, 2025 and 2024</w:t>
            </w:r>
          </w:p>
        </w:tc>
        <w:tc>
          <w:tcPr>
            <w:tcW w:w="820" w:type="dxa"/>
            <w:vAlign w:val="bottom"/>
          </w:tcPr>
          <w:p>
            <w:pPr>
              <w:spacing w:after="0"/>
              <w:rPr>
                <w:sz w:val="18"/>
                <w:szCs w:val="18"/>
                <w:color w:val="auto"/>
              </w:rPr>
            </w:pPr>
          </w:p>
        </w:tc>
      </w:tr>
      <w:tr>
        <w:trPr>
          <w:trHeight w:val="492"/>
        </w:trPr>
        <w:tc>
          <w:tcPr>
            <w:tcW w:w="8260" w:type="dxa"/>
            <w:vAlign w:val="bottom"/>
          </w:tcPr>
          <w:p>
            <w:pPr>
              <w:spacing w:after="0"/>
              <w:rPr>
                <w:sz w:val="20"/>
                <w:szCs w:val="20"/>
                <w:color w:val="auto"/>
              </w:rPr>
            </w:pPr>
            <w:r>
              <w:rPr>
                <w:rFonts w:ascii="Arial" w:cs="Arial" w:eastAsia="Arial" w:hAnsi="Arial"/>
                <w:sz w:val="19"/>
                <w:szCs w:val="19"/>
                <w:b w:val="1"/>
                <w:bCs w:val="1"/>
                <w:u w:val="single" w:color="auto"/>
                <w:color w:val="231F20"/>
              </w:rPr>
              <w:t>AUDITED FINANCIAL STATEMENTS</w:t>
            </w:r>
          </w:p>
        </w:tc>
        <w:tc>
          <w:tcPr>
            <w:tcW w:w="820" w:type="dxa"/>
            <w:vAlign w:val="bottom"/>
          </w:tcPr>
          <w:p>
            <w:pPr>
              <w:spacing w:after="0"/>
              <w:rPr>
                <w:sz w:val="24"/>
                <w:szCs w:val="24"/>
                <w:color w:val="auto"/>
              </w:rPr>
            </w:pPr>
          </w:p>
        </w:tc>
      </w:tr>
      <w:tr>
        <w:trPr>
          <w:trHeight w:val="446"/>
        </w:trPr>
        <w:tc>
          <w:tcPr>
            <w:tcW w:w="8260" w:type="dxa"/>
            <w:vAlign w:val="bottom"/>
          </w:tcPr>
          <w:p>
            <w:pPr>
              <w:spacing w:after="0"/>
              <w:rPr>
                <w:sz w:val="20"/>
                <w:szCs w:val="20"/>
                <w:color w:val="auto"/>
              </w:rPr>
            </w:pPr>
            <w:r>
              <w:rPr>
                <w:rFonts w:ascii="Arial" w:cs="Arial" w:eastAsia="Arial" w:hAnsi="Arial"/>
                <w:sz w:val="19"/>
                <w:szCs w:val="19"/>
                <w:b w:val="1"/>
                <w:bCs w:val="1"/>
                <w:color w:val="231F20"/>
              </w:rPr>
              <w:t>REPORT OF INDEPENDENT REGISTERED PUBLIC ACCOUNTING FIRM (PCAOB ID 238)</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F-1</w:t>
            </w:r>
          </w:p>
        </w:tc>
      </w:tr>
      <w:tr>
        <w:trPr>
          <w:trHeight w:val="446"/>
        </w:trPr>
        <w:tc>
          <w:tcPr>
            <w:tcW w:w="8260" w:type="dxa"/>
            <w:vAlign w:val="bottom"/>
          </w:tcPr>
          <w:p>
            <w:pPr>
              <w:spacing w:after="0"/>
              <w:rPr>
                <w:sz w:val="20"/>
                <w:szCs w:val="20"/>
                <w:color w:val="auto"/>
              </w:rPr>
            </w:pPr>
            <w:r>
              <w:rPr>
                <w:rFonts w:ascii="Arial" w:cs="Arial" w:eastAsia="Arial" w:hAnsi="Arial"/>
                <w:sz w:val="19"/>
                <w:szCs w:val="19"/>
                <w:b w:val="1"/>
                <w:bCs w:val="1"/>
                <w:color w:val="231F20"/>
              </w:rPr>
              <w:t>STATEMENTS OF OPERATIONS AND COMPREHENSIVE LOSS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F-2</w:t>
            </w:r>
          </w:p>
        </w:tc>
      </w:tr>
      <w:tr>
        <w:trPr>
          <w:trHeight w:val="446"/>
        </w:trPr>
        <w:tc>
          <w:tcPr>
            <w:tcW w:w="8260" w:type="dxa"/>
            <w:vAlign w:val="bottom"/>
          </w:tcPr>
          <w:p>
            <w:pPr>
              <w:spacing w:after="0"/>
              <w:rPr>
                <w:sz w:val="20"/>
                <w:szCs w:val="20"/>
                <w:color w:val="auto"/>
              </w:rPr>
            </w:pPr>
            <w:r>
              <w:rPr>
                <w:rFonts w:ascii="Arial" w:cs="Arial" w:eastAsia="Arial" w:hAnsi="Arial"/>
                <w:sz w:val="19"/>
                <w:szCs w:val="19"/>
                <w:b w:val="1"/>
                <w:bCs w:val="1"/>
                <w:color w:val="231F20"/>
              </w:rPr>
              <w:t>BALANCE SHEETS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F-3</w:t>
            </w:r>
          </w:p>
        </w:tc>
      </w:tr>
      <w:tr>
        <w:trPr>
          <w:trHeight w:val="446"/>
        </w:trPr>
        <w:tc>
          <w:tcPr>
            <w:tcW w:w="8260" w:type="dxa"/>
            <w:vAlign w:val="bottom"/>
          </w:tcPr>
          <w:p>
            <w:pPr>
              <w:spacing w:after="0"/>
              <w:rPr>
                <w:sz w:val="20"/>
                <w:szCs w:val="20"/>
                <w:color w:val="auto"/>
              </w:rPr>
            </w:pPr>
            <w:r>
              <w:rPr>
                <w:rFonts w:ascii="Arial" w:cs="Arial" w:eastAsia="Arial" w:hAnsi="Arial"/>
                <w:sz w:val="19"/>
                <w:szCs w:val="19"/>
                <w:b w:val="1"/>
                <w:bCs w:val="1"/>
                <w:color w:val="231F20"/>
              </w:rPr>
              <w:t>STATEMENTS OF CASH FLOWS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F-4</w:t>
            </w:r>
          </w:p>
        </w:tc>
      </w:tr>
      <w:tr>
        <w:trPr>
          <w:trHeight w:val="444"/>
        </w:trPr>
        <w:tc>
          <w:tcPr>
            <w:tcW w:w="8260" w:type="dxa"/>
            <w:vAlign w:val="bottom"/>
          </w:tcPr>
          <w:p>
            <w:pPr>
              <w:spacing w:after="0"/>
              <w:rPr>
                <w:sz w:val="20"/>
                <w:szCs w:val="20"/>
                <w:color w:val="auto"/>
              </w:rPr>
            </w:pPr>
            <w:r>
              <w:rPr>
                <w:rFonts w:ascii="Arial" w:cs="Arial" w:eastAsia="Arial" w:hAnsi="Arial"/>
                <w:sz w:val="19"/>
                <w:szCs w:val="19"/>
                <w:b w:val="1"/>
                <w:bCs w:val="1"/>
                <w:color w:val="231F20"/>
              </w:rPr>
              <w:t>STATEMENT OF CHANGES IN REDEEMABLE CONVERTIBLE PREFERRED STOCK AND</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F-6</w:t>
            </w:r>
          </w:p>
        </w:tc>
      </w:tr>
      <w:tr>
        <w:trPr>
          <w:trHeight w:val="223"/>
        </w:trPr>
        <w:tc>
          <w:tcPr>
            <w:tcW w:w="8260" w:type="dxa"/>
            <w:vAlign w:val="bottom"/>
          </w:tcPr>
          <w:p>
            <w:pPr>
              <w:spacing w:after="0" w:line="223" w:lineRule="exact"/>
              <w:rPr>
                <w:sz w:val="20"/>
                <w:szCs w:val="20"/>
                <w:color w:val="auto"/>
              </w:rPr>
            </w:pPr>
            <w:r>
              <w:rPr>
                <w:rFonts w:ascii="Arial" w:cs="Arial" w:eastAsia="Arial" w:hAnsi="Arial"/>
                <w:sz w:val="19"/>
                <w:szCs w:val="19"/>
                <w:b w:val="1"/>
                <w:bCs w:val="1"/>
                <w:color w:val="231F20"/>
              </w:rPr>
              <w:t>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820" w:type="dxa"/>
            <w:vAlign w:val="bottom"/>
          </w:tcPr>
          <w:p>
            <w:pPr>
              <w:spacing w:after="0"/>
              <w:rPr>
                <w:sz w:val="19"/>
                <w:szCs w:val="19"/>
                <w:color w:val="auto"/>
              </w:rPr>
            </w:pPr>
          </w:p>
        </w:tc>
      </w:tr>
      <w:tr>
        <w:trPr>
          <w:trHeight w:val="446"/>
        </w:trPr>
        <w:tc>
          <w:tcPr>
            <w:tcW w:w="8260" w:type="dxa"/>
            <w:vAlign w:val="bottom"/>
          </w:tcPr>
          <w:p>
            <w:pPr>
              <w:spacing w:after="0"/>
              <w:rPr>
                <w:sz w:val="20"/>
                <w:szCs w:val="20"/>
                <w:color w:val="auto"/>
              </w:rPr>
            </w:pPr>
            <w:r>
              <w:rPr>
                <w:rFonts w:ascii="Arial" w:cs="Arial" w:eastAsia="Arial" w:hAnsi="Arial"/>
                <w:sz w:val="19"/>
                <w:szCs w:val="19"/>
                <w:b w:val="1"/>
                <w:bCs w:val="1"/>
                <w:color w:val="231F20"/>
              </w:rPr>
              <w:t>NOTES TO FINANCIAL STATEMENTS</w:t>
            </w:r>
          </w:p>
        </w:tc>
        <w:tc>
          <w:tcPr>
            <w:tcW w:w="820" w:type="dxa"/>
            <w:vAlign w:val="bottom"/>
          </w:tcPr>
          <w:p>
            <w:pPr>
              <w:ind w:left="540"/>
              <w:spacing w:after="0"/>
              <w:rPr>
                <w:sz w:val="20"/>
                <w:szCs w:val="20"/>
                <w:color w:val="auto"/>
              </w:rPr>
            </w:pPr>
            <w:r>
              <w:rPr>
                <w:rFonts w:ascii="Arial" w:cs="Arial" w:eastAsia="Arial" w:hAnsi="Arial"/>
                <w:sz w:val="19"/>
                <w:szCs w:val="19"/>
                <w:b w:val="1"/>
                <w:bCs w:val="1"/>
                <w:color w:val="231F20"/>
                <w:w w:val="91"/>
              </w:rPr>
              <w:t>F-7</w:t>
            </w:r>
          </w:p>
        </w:tc>
      </w:tr>
    </w:tbl>
    <w:p>
      <w:pPr>
        <w:spacing w:after="0" w:line="200" w:lineRule="exact"/>
        <w:rPr>
          <w:sz w:val="20"/>
          <w:szCs w:val="20"/>
          <w:color w:val="auto"/>
        </w:rPr>
      </w:pPr>
    </w:p>
    <w:p>
      <w:pPr>
        <w:sectPr>
          <w:pgSz w:w="12240" w:h="15840" w:orient="portrait"/>
          <w:cols w:equalWidth="0" w:num="1">
            <w:col w:w="9360"/>
          </w:cols>
          <w:pgMar w:left="1440" w:top="1440" w:right="144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100</w:t>
      </w:r>
    </w:p>
    <w:p>
      <w:pPr>
        <w:sectPr>
          <w:pgSz w:w="12240" w:h="15840" w:orient="portrait"/>
          <w:cols w:equalWidth="0" w:num="1">
            <w:col w:w="9360"/>
          </w:cols>
          <w:pgMar w:left="1440" w:top="1440" w:right="1440" w:bottom="401" w:gutter="0" w:footer="0" w:header="0"/>
          <w:type w:val="continuous"/>
        </w:sectPr>
      </w:pPr>
    </w:p>
    <w:bookmarkStart w:id="102" w:name="page103"/>
    <w:bookmarkEnd w:id="102"/>
    <w:p>
      <w:pPr>
        <w:spacing w:after="0" w:line="112" w:lineRule="exact"/>
        <w:rPr>
          <w:sz w:val="20"/>
          <w:szCs w:val="20"/>
          <w:color w:val="auto"/>
        </w:rPr>
      </w:pPr>
    </w:p>
    <w:p>
      <w:pPr>
        <w:ind w:left="2720"/>
        <w:spacing w:after="0"/>
        <w:rPr>
          <w:sz w:val="20"/>
          <w:szCs w:val="20"/>
          <w:color w:val="auto"/>
        </w:rPr>
      </w:pPr>
      <w:r>
        <w:rPr>
          <w:rFonts w:ascii="Arial" w:cs="Arial" w:eastAsia="Arial" w:hAnsi="Arial"/>
          <w:sz w:val="19"/>
          <w:szCs w:val="19"/>
          <w:b w:val="1"/>
          <w:bCs w:val="1"/>
          <w:color w:val="231F20"/>
        </w:rPr>
        <w:t>Report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To the Board of Directors and Stockholders of LENSAR, Inc.</w:t>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Opinion on the Financial Statements</w:t>
      </w:r>
    </w:p>
    <w:p>
      <w:pPr>
        <w:spacing w:after="0" w:line="231" w:lineRule="exact"/>
        <w:rPr>
          <w:sz w:val="20"/>
          <w:szCs w:val="20"/>
          <w:color w:val="auto"/>
        </w:rPr>
      </w:pPr>
    </w:p>
    <w:p>
      <w:pPr>
        <w:jc w:val="both"/>
        <w:ind w:left="140" w:right="120"/>
        <w:spacing w:after="0" w:line="222" w:lineRule="exact"/>
        <w:rPr>
          <w:sz w:val="20"/>
          <w:szCs w:val="20"/>
          <w:color w:val="auto"/>
        </w:rPr>
      </w:pPr>
      <w:r>
        <w:rPr>
          <w:rFonts w:ascii="Arial" w:cs="Arial" w:eastAsia="Arial" w:hAnsi="Arial"/>
          <w:sz w:val="18"/>
          <w:szCs w:val="18"/>
          <w:b w:val="1"/>
          <w:bCs w:val="1"/>
          <w:color w:val="231F20"/>
        </w:rPr>
        <w:t xml:space="preserve">We have audited the accompanying balance sheets of LENSAR, Inc.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as of December 31, 2025 and 2024, and the related statements of operations and comprehensive loss, of changes in redeemable convertible preferred stock and stockholders' equity and of cash flows for the years then ended, including the related notes (collectively referred to as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financial statements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Basis for Opinion</w:t>
      </w:r>
    </w:p>
    <w:p>
      <w:pPr>
        <w:spacing w:after="0" w:line="233"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These financial statements are the responsibility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management. Our responsibility is to express an opinion on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7"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4"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Emphasis of Matter</w:t>
      </w:r>
    </w:p>
    <w:p>
      <w:pPr>
        <w:spacing w:after="0" w:line="233"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8"/>
          <w:szCs w:val="18"/>
          <w:b w:val="1"/>
          <w:bCs w:val="1"/>
          <w:color w:val="231F20"/>
        </w:rPr>
        <w:t>As discussed in Note 1 to the financial statements, the Company has incurred recurring losses and operating cash outflows since its inception and as of December 31, 2025. Management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evaluation of the events and conditions and management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plans to mitigate these matters are also described in Note 1.</w:t>
      </w: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 PricewaterhouseCoopers LLP</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Raleigh, North Carolina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March 31, 2026</w:t>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We have served as the Company's auditor since 2020.</w:t>
      </w:r>
    </w:p>
    <w:p>
      <w:pPr>
        <w:sectPr>
          <w:pgSz w:w="12240" w:h="15840" w:orient="portrait"/>
          <w:cols w:equalWidth="0" w:num="1">
            <w:col w:w="9360"/>
          </w:cols>
          <w:pgMar w:left="1440" w:top="1440"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F-1</w:t>
      </w:r>
    </w:p>
    <w:p>
      <w:pPr>
        <w:sectPr>
          <w:pgSz w:w="12240" w:h="15840" w:orient="portrait"/>
          <w:cols w:equalWidth="0" w:num="1">
            <w:col w:w="9360"/>
          </w:cols>
          <w:pgMar w:left="1440" w:top="1440" w:right="1440" w:bottom="378"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9"/>
          <w:szCs w:val="19"/>
          <w:b w:val="1"/>
          <w:bCs w:val="1"/>
          <w:color w:val="231F20"/>
        </w:rPr>
        <w:t>LENSAR,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(In thousands, except per share amounts)</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0" w:type="dxa"/>
            <w:vAlign w:val="bottom"/>
            <w:gridSpan w:val="3"/>
          </w:tcPr>
          <w:p>
            <w:pPr>
              <w:jc w:val="right"/>
              <w:ind w:right="504"/>
              <w:spacing w:after="0"/>
              <w:rPr>
                <w:sz w:val="20"/>
                <w:szCs w:val="20"/>
                <w:color w:val="auto"/>
              </w:rPr>
            </w:pPr>
            <w:r>
              <w:rPr>
                <w:rFonts w:ascii="Arial" w:cs="Arial" w:eastAsia="Arial" w:hAnsi="Arial"/>
                <w:sz w:val="16"/>
                <w:szCs w:val="16"/>
                <w:b w:val="1"/>
                <w:bCs w:val="1"/>
                <w:color w:val="231F20"/>
              </w:rPr>
              <w:t>Year Ended December 31,</w:t>
            </w:r>
          </w:p>
        </w:tc>
      </w:tr>
      <w:tr>
        <w:trPr>
          <w:trHeight w:val="206"/>
        </w:trPr>
        <w:tc>
          <w:tcPr>
            <w:tcW w:w="5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544"/>
              <w:spacing w:after="0"/>
              <w:rPr>
                <w:sz w:val="20"/>
                <w:szCs w:val="20"/>
                <w:color w:val="auto"/>
              </w:rPr>
            </w:pPr>
            <w:r>
              <w:rPr>
                <w:rFonts w:ascii="Arial" w:cs="Arial" w:eastAsia="Arial" w:hAnsi="Arial"/>
                <w:sz w:val="16"/>
                <w:szCs w:val="16"/>
                <w:b w:val="1"/>
                <w:bCs w:val="1"/>
                <w:color w:val="231F20"/>
              </w:rPr>
              <w:t>2025</w:t>
            </w:r>
          </w:p>
        </w:tc>
        <w:tc>
          <w:tcPr>
            <w:tcW w:w="380" w:type="dxa"/>
            <w:vAlign w:val="bottom"/>
          </w:tcPr>
          <w:p>
            <w:pPr>
              <w:spacing w:after="0"/>
              <w:rPr>
                <w:sz w:val="17"/>
                <w:szCs w:val="17"/>
                <w:color w:val="auto"/>
              </w:rPr>
            </w:pPr>
          </w:p>
        </w:tc>
        <w:tc>
          <w:tcPr>
            <w:tcW w:w="1060" w:type="dxa"/>
            <w:vAlign w:val="bottom"/>
          </w:tcPr>
          <w:p>
            <w:pPr>
              <w:jc w:val="right"/>
              <w:ind w:right="464"/>
              <w:spacing w:after="0"/>
              <w:rPr>
                <w:sz w:val="20"/>
                <w:szCs w:val="20"/>
                <w:color w:val="auto"/>
              </w:rPr>
            </w:pPr>
            <w:r>
              <w:rPr>
                <w:rFonts w:ascii="Arial" w:cs="Arial" w:eastAsia="Arial" w:hAnsi="Arial"/>
                <w:sz w:val="16"/>
                <w:szCs w:val="16"/>
                <w:b w:val="1"/>
                <w:bCs w:val="1"/>
                <w:color w:val="231F20"/>
              </w:rPr>
              <w:t>2024</w:t>
            </w:r>
          </w:p>
        </w:tc>
      </w:tr>
      <w:tr>
        <w:trPr>
          <w:trHeight w:val="253"/>
        </w:trPr>
        <w:tc>
          <w:tcPr>
            <w:tcW w:w="5980" w:type="dxa"/>
            <w:vAlign w:val="bottom"/>
          </w:tcPr>
          <w:p>
            <w:pPr>
              <w:spacing w:after="0"/>
              <w:rPr>
                <w:sz w:val="20"/>
                <w:szCs w:val="20"/>
                <w:color w:val="auto"/>
              </w:rPr>
            </w:pPr>
            <w:r>
              <w:rPr>
                <w:rFonts w:ascii="Arial" w:cs="Arial" w:eastAsia="Arial" w:hAnsi="Arial"/>
                <w:sz w:val="19"/>
                <w:szCs w:val="19"/>
                <w:b w:val="1"/>
                <w:bCs w:val="1"/>
                <w:color w:val="231F20"/>
              </w:rPr>
              <w:t>Revenue</w:t>
            </w: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Product</w:t>
            </w:r>
          </w:p>
        </w:tc>
        <w:tc>
          <w:tcPr>
            <w:tcW w:w="4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45,928</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41,065</w:t>
            </w:r>
          </w:p>
        </w:tc>
      </w:tr>
      <w:tr>
        <w:trPr>
          <w:trHeight w:val="238"/>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Lease</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6,779</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7,532</w:t>
            </w:r>
          </w:p>
        </w:tc>
      </w:tr>
      <w:tr>
        <w:trPr>
          <w:trHeight w:val="235"/>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Service</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5,728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4,897</w:t>
            </w:r>
          </w:p>
        </w:tc>
      </w:tr>
      <w:tr>
        <w:trPr>
          <w:trHeight w:val="252"/>
        </w:trPr>
        <w:tc>
          <w:tcPr>
            <w:tcW w:w="5980" w:type="dxa"/>
            <w:vAlign w:val="bottom"/>
          </w:tcPr>
          <w:p>
            <w:pPr>
              <w:ind w:left="200"/>
              <w:spacing w:after="0"/>
              <w:rPr>
                <w:sz w:val="20"/>
                <w:szCs w:val="20"/>
                <w:color w:val="auto"/>
              </w:rPr>
            </w:pPr>
            <w:r>
              <w:rPr>
                <w:rFonts w:ascii="Arial" w:cs="Arial" w:eastAsia="Arial" w:hAnsi="Arial"/>
                <w:sz w:val="19"/>
                <w:szCs w:val="19"/>
                <w:b w:val="1"/>
                <w:bCs w:val="1"/>
                <w:color w:val="231F20"/>
              </w:rPr>
              <w:t>Total revenue</w:t>
            </w:r>
          </w:p>
        </w:tc>
        <w:tc>
          <w:tcPr>
            <w:tcW w:w="4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58,435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53,494</w:t>
            </w:r>
          </w:p>
        </w:tc>
      </w:tr>
      <w:tr>
        <w:trPr>
          <w:trHeight w:val="252"/>
        </w:trPr>
        <w:tc>
          <w:tcPr>
            <w:tcW w:w="5980" w:type="dxa"/>
            <w:vAlign w:val="bottom"/>
          </w:tcPr>
          <w:p>
            <w:pPr>
              <w:spacing w:after="0"/>
              <w:rPr>
                <w:sz w:val="20"/>
                <w:szCs w:val="20"/>
                <w:color w:val="auto"/>
              </w:rPr>
            </w:pPr>
            <w:r>
              <w:rPr>
                <w:rFonts w:ascii="Arial" w:cs="Arial" w:eastAsia="Arial" w:hAnsi="Arial"/>
                <w:sz w:val="19"/>
                <w:szCs w:val="19"/>
                <w:b w:val="1"/>
                <w:bCs w:val="1"/>
                <w:color w:val="231F20"/>
              </w:rPr>
              <w:t>Cost of revenue (exclusive of amortization)</w:t>
            </w: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Product</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20,561</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18,254</w:t>
            </w:r>
          </w:p>
        </w:tc>
      </w:tr>
      <w:tr>
        <w:trPr>
          <w:trHeight w:val="238"/>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Lease</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3,515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2,930</w:t>
            </w:r>
          </w:p>
        </w:tc>
      </w:tr>
      <w:tr>
        <w:trPr>
          <w:trHeight w:val="238"/>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Service</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7,237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6,459</w:t>
            </w:r>
          </w:p>
        </w:tc>
      </w:tr>
      <w:tr>
        <w:trPr>
          <w:trHeight w:val="250"/>
        </w:trPr>
        <w:tc>
          <w:tcPr>
            <w:tcW w:w="5980" w:type="dxa"/>
            <w:vAlign w:val="bottom"/>
          </w:tcPr>
          <w:p>
            <w:pPr>
              <w:ind w:left="200"/>
              <w:spacing w:after="0"/>
              <w:rPr>
                <w:sz w:val="20"/>
                <w:szCs w:val="20"/>
                <w:color w:val="auto"/>
              </w:rPr>
            </w:pPr>
            <w:r>
              <w:rPr>
                <w:rFonts w:ascii="Arial" w:cs="Arial" w:eastAsia="Arial" w:hAnsi="Arial"/>
                <w:sz w:val="19"/>
                <w:szCs w:val="19"/>
                <w:b w:val="1"/>
                <w:bCs w:val="1"/>
                <w:color w:val="231F20"/>
              </w:rPr>
              <w:t>Total cost of revenue</w:t>
            </w:r>
          </w:p>
        </w:tc>
        <w:tc>
          <w:tcPr>
            <w:tcW w:w="4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31,313</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27,643</w:t>
            </w:r>
          </w:p>
        </w:tc>
      </w:tr>
      <w:tr>
        <w:trPr>
          <w:trHeight w:val="252"/>
        </w:trPr>
        <w:tc>
          <w:tcPr>
            <w:tcW w:w="5980" w:type="dxa"/>
            <w:vAlign w:val="bottom"/>
          </w:tcPr>
          <w:p>
            <w:pPr>
              <w:spacing w:after="0"/>
              <w:rPr>
                <w:sz w:val="20"/>
                <w:szCs w:val="20"/>
                <w:color w:val="auto"/>
              </w:rPr>
            </w:pPr>
            <w:r>
              <w:rPr>
                <w:rFonts w:ascii="Arial" w:cs="Arial" w:eastAsia="Arial" w:hAnsi="Arial"/>
                <w:sz w:val="19"/>
                <w:szCs w:val="19"/>
                <w:b w:val="1"/>
                <w:bCs w:val="1"/>
                <w:color w:val="231F20"/>
              </w:rPr>
              <w:t>Operating expenses</w:t>
            </w: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8"/>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Selling, general and administrative expenses</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45,157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26,488</w:t>
            </w:r>
          </w:p>
        </w:tc>
      </w:tr>
      <w:tr>
        <w:trPr>
          <w:trHeight w:val="235"/>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Research and development expenses</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5,622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5,329</w:t>
            </w:r>
          </w:p>
        </w:tc>
      </w:tr>
      <w:tr>
        <w:trPr>
          <w:trHeight w:val="238"/>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Amortization of intangible assets</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921</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970</w:t>
            </w:r>
          </w:p>
        </w:tc>
      </w:tr>
      <w:tr>
        <w:trPr>
          <w:trHeight w:val="235"/>
        </w:trPr>
        <w:tc>
          <w:tcPr>
            <w:tcW w:w="5980" w:type="dxa"/>
            <w:vAlign w:val="bottom"/>
          </w:tcPr>
          <w:p>
            <w:pPr>
              <w:ind w:left="100"/>
              <w:spacing w:after="0"/>
              <w:rPr>
                <w:sz w:val="20"/>
                <w:szCs w:val="20"/>
                <w:color w:val="auto"/>
              </w:rPr>
            </w:pPr>
            <w:r>
              <w:rPr>
                <w:rFonts w:ascii="Arial" w:cs="Arial" w:eastAsia="Arial" w:hAnsi="Arial"/>
                <w:sz w:val="19"/>
                <w:szCs w:val="19"/>
                <w:b w:val="1"/>
                <w:bCs w:val="1"/>
                <w:color w:val="231F20"/>
              </w:rPr>
              <w:t>Impairment of intangible assets</w:t>
            </w:r>
          </w:p>
        </w:tc>
        <w:tc>
          <w:tcPr>
            <w:tcW w:w="480" w:type="dxa"/>
            <w:vAlign w:val="bottom"/>
          </w:tcPr>
          <w:p>
            <w:pPr>
              <w:spacing w:after="0"/>
              <w:rPr>
                <w:sz w:val="20"/>
                <w:szCs w:val="20"/>
                <w:color w:val="auto"/>
              </w:rPr>
            </w:pPr>
          </w:p>
        </w:tc>
        <w:tc>
          <w:tcPr>
            <w:tcW w:w="1160" w:type="dxa"/>
            <w:vAlign w:val="bottom"/>
          </w:tcPr>
          <w:p>
            <w:pPr>
              <w:jc w:val="right"/>
              <w:ind w:right="64"/>
              <w:spacing w:after="0" w:line="228" w:lineRule="exact"/>
              <w:rPr>
                <w:sz w:val="20"/>
                <w:szCs w:val="20"/>
                <w:color w:val="auto"/>
              </w:rPr>
            </w:pPr>
            <w:r>
              <w:rPr>
                <w:rFonts w:ascii="PMingLiU" w:cs="PMingLiU" w:eastAsia="PMingLiU" w:hAnsi="PMingLiU"/>
                <w:sz w:val="19"/>
                <w:szCs w:val="19"/>
                <w:b w:val="1"/>
                <w:bCs w:val="1"/>
                <w:color w:val="231F20"/>
              </w:rPr>
              <w:t></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3,729</w:t>
            </w:r>
          </w:p>
        </w:tc>
      </w:tr>
      <w:tr>
        <w:trPr>
          <w:trHeight w:val="252"/>
        </w:trPr>
        <w:tc>
          <w:tcPr>
            <w:tcW w:w="5980" w:type="dxa"/>
            <w:vAlign w:val="bottom"/>
          </w:tcPr>
          <w:p>
            <w:pPr>
              <w:ind w:left="200"/>
              <w:spacing w:after="0"/>
              <w:rPr>
                <w:sz w:val="20"/>
                <w:szCs w:val="20"/>
                <w:color w:val="auto"/>
              </w:rPr>
            </w:pPr>
            <w:r>
              <w:rPr>
                <w:rFonts w:ascii="Arial" w:cs="Arial" w:eastAsia="Arial" w:hAnsi="Arial"/>
                <w:sz w:val="19"/>
                <w:szCs w:val="19"/>
                <w:b w:val="1"/>
                <w:bCs w:val="1"/>
                <w:color w:val="231F20"/>
              </w:rPr>
              <w:t>Total operating expenses</w:t>
            </w:r>
          </w:p>
        </w:tc>
        <w:tc>
          <w:tcPr>
            <w:tcW w:w="4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51,700</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36,516</w:t>
            </w:r>
          </w:p>
        </w:tc>
      </w:tr>
      <w:tr>
        <w:trPr>
          <w:trHeight w:val="252"/>
        </w:trPr>
        <w:tc>
          <w:tcPr>
            <w:tcW w:w="5980" w:type="dxa"/>
            <w:vAlign w:val="bottom"/>
          </w:tcPr>
          <w:p>
            <w:pPr>
              <w:spacing w:after="0"/>
              <w:rPr>
                <w:sz w:val="20"/>
                <w:szCs w:val="20"/>
                <w:color w:val="auto"/>
              </w:rPr>
            </w:pPr>
            <w:r>
              <w:rPr>
                <w:rFonts w:ascii="Arial" w:cs="Arial" w:eastAsia="Arial" w:hAnsi="Arial"/>
                <w:sz w:val="19"/>
                <w:szCs w:val="19"/>
                <w:b w:val="1"/>
                <w:bCs w:val="1"/>
                <w:color w:val="231F20"/>
              </w:rPr>
              <w:t>Operating loss</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(24,578)</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(10,665)</w:t>
            </w:r>
          </w:p>
        </w:tc>
      </w:tr>
      <w:tr>
        <w:trPr>
          <w:trHeight w:val="235"/>
        </w:trPr>
        <w:tc>
          <w:tcPr>
            <w:tcW w:w="5980" w:type="dxa"/>
            <w:vAlign w:val="bottom"/>
          </w:tcPr>
          <w:p>
            <w:pPr>
              <w:spacing w:after="0"/>
              <w:rPr>
                <w:sz w:val="20"/>
                <w:szCs w:val="20"/>
                <w:color w:val="auto"/>
              </w:rPr>
            </w:pPr>
            <w:r>
              <w:rPr>
                <w:rFonts w:ascii="Arial" w:cs="Arial" w:eastAsia="Arial" w:hAnsi="Arial"/>
                <w:sz w:val="19"/>
                <w:szCs w:val="19"/>
                <w:b w:val="1"/>
                <w:bCs w:val="1"/>
                <w:color w:val="231F20"/>
              </w:rPr>
              <w:t>Other (expense) income</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5980" w:type="dxa"/>
            <w:vAlign w:val="bottom"/>
          </w:tcPr>
          <w:p>
            <w:pPr>
              <w:spacing w:after="0"/>
              <w:rPr>
                <w:sz w:val="20"/>
                <w:szCs w:val="20"/>
                <w:color w:val="auto"/>
              </w:rPr>
            </w:pPr>
            <w:r>
              <w:rPr>
                <w:rFonts w:ascii="Arial" w:cs="Arial" w:eastAsia="Arial" w:hAnsi="Arial"/>
                <w:sz w:val="19"/>
                <w:szCs w:val="19"/>
                <w:b w:val="1"/>
                <w:bCs w:val="1"/>
                <w:color w:val="231F20"/>
              </w:rPr>
              <w:t>Change in fair value of warrant liabilities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(10,338)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(21,399)</w:t>
            </w:r>
          </w:p>
        </w:tc>
      </w:tr>
      <w:tr>
        <w:trPr>
          <w:trHeight w:val="238"/>
        </w:trPr>
        <w:tc>
          <w:tcPr>
            <w:tcW w:w="5980" w:type="dxa"/>
            <w:vAlign w:val="bottom"/>
          </w:tcPr>
          <w:p>
            <w:pPr>
              <w:spacing w:after="0"/>
              <w:rPr>
                <w:sz w:val="20"/>
                <w:szCs w:val="20"/>
                <w:color w:val="auto"/>
              </w:rPr>
            </w:pPr>
            <w:r>
              <w:rPr>
                <w:rFonts w:ascii="Arial" w:cs="Arial" w:eastAsia="Arial" w:hAnsi="Arial"/>
                <w:sz w:val="19"/>
                <w:szCs w:val="19"/>
                <w:b w:val="1"/>
                <w:bCs w:val="1"/>
                <w:color w:val="231F20"/>
              </w:rPr>
              <w:t>Other income, net</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636</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660</w:t>
            </w:r>
          </w:p>
        </w:tc>
      </w:tr>
      <w:tr>
        <w:trPr>
          <w:trHeight w:val="250"/>
        </w:trPr>
        <w:tc>
          <w:tcPr>
            <w:tcW w:w="598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r>
        <w:trPr>
          <w:trHeight w:val="252"/>
        </w:trPr>
        <w:tc>
          <w:tcPr>
            <w:tcW w:w="5980" w:type="dxa"/>
            <w:vAlign w:val="bottom"/>
          </w:tcPr>
          <w:p>
            <w:pPr>
              <w:spacing w:after="0"/>
              <w:rPr>
                <w:sz w:val="20"/>
                <w:szCs w:val="20"/>
                <w:color w:val="auto"/>
              </w:rPr>
            </w:pPr>
            <w:r>
              <w:rPr>
                <w:rFonts w:ascii="Arial" w:cs="Arial" w:eastAsia="Arial" w:hAnsi="Arial"/>
                <w:sz w:val="19"/>
                <w:szCs w:val="19"/>
                <w:b w:val="1"/>
                <w:bCs w:val="1"/>
                <w:color w:val="231F20"/>
              </w:rPr>
              <w:t>Other comprehensive (loss) gain</w:t>
            </w: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8"/>
        </w:trPr>
        <w:tc>
          <w:tcPr>
            <w:tcW w:w="5980" w:type="dxa"/>
            <w:vAlign w:val="bottom"/>
          </w:tcPr>
          <w:p>
            <w:pPr>
              <w:spacing w:after="0"/>
              <w:rPr>
                <w:sz w:val="20"/>
                <w:szCs w:val="20"/>
                <w:color w:val="auto"/>
              </w:rPr>
            </w:pPr>
            <w:r>
              <w:rPr>
                <w:rFonts w:ascii="Arial" w:cs="Arial" w:eastAsia="Arial" w:hAnsi="Arial"/>
                <w:sz w:val="19"/>
                <w:szCs w:val="19"/>
                <w:b w:val="1"/>
                <w:bCs w:val="1"/>
                <w:color w:val="231F20"/>
              </w:rPr>
              <w:t>Change in unrealized gain on investments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w:t>
            </w:r>
          </w:p>
        </w:tc>
      </w:tr>
      <w:tr>
        <w:trPr>
          <w:trHeight w:val="250"/>
        </w:trPr>
        <w:tc>
          <w:tcPr>
            <w:tcW w:w="5980" w:type="dxa"/>
            <w:vAlign w:val="bottom"/>
          </w:tcPr>
          <w:p>
            <w:pPr>
              <w:spacing w:after="0"/>
              <w:rPr>
                <w:sz w:val="20"/>
                <w:szCs w:val="20"/>
                <w:color w:val="auto"/>
              </w:rPr>
            </w:pPr>
            <w:r>
              <w:rPr>
                <w:rFonts w:ascii="Arial" w:cs="Arial" w:eastAsia="Arial" w:hAnsi="Arial"/>
                <w:sz w:val="19"/>
                <w:szCs w:val="19"/>
                <w:b w:val="1"/>
                <w:bCs w:val="1"/>
                <w:color w:val="231F20"/>
              </w:rPr>
              <w:t>Net loss and comprehensive loss</w:t>
            </w:r>
          </w:p>
        </w:tc>
        <w:tc>
          <w:tcPr>
            <w:tcW w:w="4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(34,282)</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(31,402)</w:t>
            </w:r>
          </w:p>
        </w:tc>
      </w:tr>
      <w:tr>
        <w:trPr>
          <w:trHeight w:val="281"/>
        </w:trPr>
        <w:tc>
          <w:tcPr>
            <w:tcW w:w="5980" w:type="dxa"/>
            <w:vAlign w:val="bottom"/>
          </w:tcPr>
          <w:p>
            <w:pPr>
              <w:spacing w:after="0"/>
              <w:rPr>
                <w:sz w:val="20"/>
                <w:szCs w:val="20"/>
                <w:color w:val="auto"/>
              </w:rPr>
            </w:pPr>
            <w:r>
              <w:rPr>
                <w:rFonts w:ascii="Arial" w:cs="Arial" w:eastAsia="Arial" w:hAnsi="Arial"/>
                <w:sz w:val="19"/>
                <w:szCs w:val="19"/>
                <w:b w:val="1"/>
                <w:bCs w:val="1"/>
                <w:color w:val="231F20"/>
              </w:rPr>
              <w:t>Net loss per common share:</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8"/>
        </w:trPr>
        <w:tc>
          <w:tcPr>
            <w:tcW w:w="5980" w:type="dxa"/>
            <w:vAlign w:val="bottom"/>
          </w:tcPr>
          <w:p>
            <w:pPr>
              <w:spacing w:after="0"/>
              <w:rPr>
                <w:sz w:val="20"/>
                <w:szCs w:val="20"/>
                <w:color w:val="auto"/>
              </w:rPr>
            </w:pPr>
            <w:r>
              <w:rPr>
                <w:rFonts w:ascii="Arial" w:cs="Arial" w:eastAsia="Arial" w:hAnsi="Arial"/>
                <w:sz w:val="19"/>
                <w:szCs w:val="19"/>
                <w:b w:val="1"/>
                <w:bCs w:val="1"/>
                <w:color w:val="231F20"/>
              </w:rPr>
              <w:t>Basic and diluted</w:t>
            </w:r>
          </w:p>
        </w:tc>
        <w:tc>
          <w:tcPr>
            <w:tcW w:w="4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(2.87)</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(2.73)</w:t>
            </w:r>
          </w:p>
        </w:tc>
      </w:tr>
      <w:tr>
        <w:trPr>
          <w:trHeight w:val="281"/>
        </w:trPr>
        <w:tc>
          <w:tcPr>
            <w:tcW w:w="5980" w:type="dxa"/>
            <w:vAlign w:val="bottom"/>
          </w:tcPr>
          <w:p>
            <w:pPr>
              <w:spacing w:after="0"/>
              <w:rPr>
                <w:sz w:val="20"/>
                <w:szCs w:val="20"/>
                <w:color w:val="auto"/>
              </w:rPr>
            </w:pPr>
            <w:r>
              <w:rPr>
                <w:rFonts w:ascii="Arial" w:cs="Arial" w:eastAsia="Arial" w:hAnsi="Arial"/>
                <w:sz w:val="19"/>
                <w:szCs w:val="19"/>
                <w:b w:val="1"/>
                <w:bCs w:val="1"/>
                <w:color w:val="231F20"/>
                <w:w w:val="93"/>
              </w:rPr>
              <w:t>Weighted-average number of shares used in calculation of net loss per</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1"/>
        </w:trPr>
        <w:tc>
          <w:tcPr>
            <w:tcW w:w="5980" w:type="dxa"/>
            <w:vAlign w:val="bottom"/>
          </w:tcPr>
          <w:p>
            <w:pPr>
              <w:ind w:left="140"/>
              <w:spacing w:after="0"/>
              <w:rPr>
                <w:sz w:val="20"/>
                <w:szCs w:val="20"/>
                <w:color w:val="auto"/>
              </w:rPr>
            </w:pPr>
            <w:r>
              <w:rPr>
                <w:rFonts w:ascii="Arial" w:cs="Arial" w:eastAsia="Arial" w:hAnsi="Arial"/>
                <w:sz w:val="19"/>
                <w:szCs w:val="19"/>
                <w:b w:val="1"/>
                <w:bCs w:val="1"/>
                <w:color w:val="231F20"/>
              </w:rPr>
              <w:t>common share:</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5980" w:type="dxa"/>
            <w:vAlign w:val="bottom"/>
          </w:tcPr>
          <w:p>
            <w:pPr>
              <w:spacing w:after="0"/>
              <w:rPr>
                <w:sz w:val="20"/>
                <w:szCs w:val="20"/>
                <w:color w:val="auto"/>
              </w:rPr>
            </w:pPr>
            <w:r>
              <w:rPr>
                <w:rFonts w:ascii="Arial" w:cs="Arial" w:eastAsia="Arial" w:hAnsi="Arial"/>
                <w:sz w:val="19"/>
                <w:szCs w:val="19"/>
                <w:b w:val="1"/>
                <w:bCs w:val="1"/>
                <w:color w:val="231F20"/>
              </w:rPr>
              <w:t>Basic and diluted</w:t>
            </w:r>
          </w:p>
        </w:tc>
        <w:tc>
          <w:tcPr>
            <w:tcW w:w="4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11,958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11,518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-4639945</wp:posOffset>
            </wp:positionV>
            <wp:extent cx="5792470" cy="4682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2470" cy="46824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The accompanying notes are an integral part of these financial statements</w:t>
      </w:r>
    </w:p>
    <w:p>
      <w:pPr>
        <w:sectPr>
          <w:pgSz w:w="12240" w:h="15840" w:orient="portrait"/>
          <w:cols w:equalWidth="0" w:num="1">
            <w:col w:w="9360"/>
          </w:cols>
          <w:pgMar w:left="1440" w:top="1357"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F-2</w:t>
      </w:r>
    </w:p>
    <w:p>
      <w:pPr>
        <w:sectPr>
          <w:pgSz w:w="12240" w:h="15840" w:orient="portrait"/>
          <w:cols w:equalWidth="0" w:num="1">
            <w:col w:w="9360"/>
          </w:cols>
          <w:pgMar w:left="1440" w:top="1357" w:right="1440" w:bottom="378"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9"/>
          <w:szCs w:val="19"/>
          <w:b w:val="1"/>
          <w:bCs w:val="1"/>
          <w:color w:val="231F20"/>
        </w:rPr>
        <w:t>LENSAR,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(In thousands, except per share amounts)</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231F20"/>
              </w:rPr>
              <w:t>As of December 31,</w:t>
            </w:r>
          </w:p>
        </w:tc>
      </w:tr>
      <w:tr>
        <w:trPr>
          <w:trHeight w:val="206"/>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44"/>
              <w:spacing w:after="0"/>
              <w:rPr>
                <w:sz w:val="20"/>
                <w:szCs w:val="20"/>
                <w:color w:val="auto"/>
              </w:rPr>
            </w:pPr>
            <w:r>
              <w:rPr>
                <w:rFonts w:ascii="Arial" w:cs="Arial" w:eastAsia="Arial" w:hAnsi="Arial"/>
                <w:sz w:val="16"/>
                <w:szCs w:val="16"/>
                <w:b w:val="1"/>
                <w:bCs w:val="1"/>
                <w:color w:val="231F20"/>
              </w:rPr>
              <w:t>2025</w:t>
            </w:r>
          </w:p>
        </w:tc>
        <w:tc>
          <w:tcPr>
            <w:tcW w:w="380" w:type="dxa"/>
            <w:vAlign w:val="bottom"/>
          </w:tcPr>
          <w:p>
            <w:pPr>
              <w:spacing w:after="0"/>
              <w:rPr>
                <w:sz w:val="17"/>
                <w:szCs w:val="17"/>
                <w:color w:val="auto"/>
              </w:rPr>
            </w:pPr>
          </w:p>
        </w:tc>
        <w:tc>
          <w:tcPr>
            <w:tcW w:w="1060" w:type="dxa"/>
            <w:vAlign w:val="bottom"/>
          </w:tcPr>
          <w:p>
            <w:pPr>
              <w:jc w:val="right"/>
              <w:ind w:right="463"/>
              <w:spacing w:after="0"/>
              <w:rPr>
                <w:sz w:val="20"/>
                <w:szCs w:val="20"/>
                <w:color w:val="auto"/>
              </w:rPr>
            </w:pPr>
            <w:r>
              <w:rPr>
                <w:rFonts w:ascii="Arial" w:cs="Arial" w:eastAsia="Arial" w:hAnsi="Arial"/>
                <w:sz w:val="16"/>
                <w:szCs w:val="16"/>
                <w:b w:val="1"/>
                <w:bCs w:val="1"/>
                <w:color w:val="231F20"/>
              </w:rPr>
              <w:t>2024</w:t>
            </w:r>
          </w:p>
        </w:tc>
      </w:tr>
      <w:tr>
        <w:trPr>
          <w:trHeight w:val="253"/>
        </w:trPr>
        <w:tc>
          <w:tcPr>
            <w:tcW w:w="6080" w:type="dxa"/>
            <w:vAlign w:val="bottom"/>
          </w:tcPr>
          <w:p>
            <w:pPr>
              <w:spacing w:after="0"/>
              <w:rPr>
                <w:sz w:val="20"/>
                <w:szCs w:val="20"/>
                <w:color w:val="auto"/>
              </w:rPr>
            </w:pPr>
            <w:r>
              <w:rPr>
                <w:rFonts w:ascii="Arial" w:cs="Arial" w:eastAsia="Arial" w:hAnsi="Arial"/>
                <w:sz w:val="19"/>
                <w:szCs w:val="19"/>
                <w:b w:val="1"/>
                <w:bCs w:val="1"/>
                <w:color w:val="231F20"/>
              </w:rPr>
              <w:t>Assets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5"/>
        </w:trPr>
        <w:tc>
          <w:tcPr>
            <w:tcW w:w="6080" w:type="dxa"/>
            <w:vAlign w:val="bottom"/>
          </w:tcPr>
          <w:p>
            <w:pPr>
              <w:spacing w:after="0"/>
              <w:rPr>
                <w:sz w:val="20"/>
                <w:szCs w:val="20"/>
                <w:color w:val="auto"/>
              </w:rPr>
            </w:pPr>
            <w:r>
              <w:rPr>
                <w:rFonts w:ascii="Arial" w:cs="Arial" w:eastAsia="Arial" w:hAnsi="Arial"/>
                <w:sz w:val="19"/>
                <w:szCs w:val="19"/>
                <w:b w:val="1"/>
                <w:bCs w:val="1"/>
                <w:color w:val="231F20"/>
              </w:rPr>
              <w:t>Current assets: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Cash and cash equivalents</w:t>
            </w:r>
          </w:p>
        </w:tc>
        <w:tc>
          <w:tcPr>
            <w:tcW w:w="3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12,974</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16,263</w:t>
            </w:r>
          </w:p>
        </w:tc>
      </w:tr>
      <w:tr>
        <w:trPr>
          <w:trHeight w:val="235"/>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Short-term investments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5,004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6,192</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w w:val="97"/>
              </w:rPr>
              <w:t>Accounts receivable, net of allowance of $62 and $105, respectively</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6,377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6,085</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Notes receivable, net of allowance of $6 and $8, respectively</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295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395</w:t>
            </w:r>
          </w:p>
        </w:tc>
      </w:tr>
      <w:tr>
        <w:trPr>
          <w:trHeight w:val="235"/>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Inventories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21,520</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11,428</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Prepaid and other current assets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601</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1,616</w:t>
            </w:r>
          </w:p>
        </w:tc>
      </w:tr>
      <w:tr>
        <w:trPr>
          <w:trHeight w:val="252"/>
        </w:trPr>
        <w:tc>
          <w:tcPr>
            <w:tcW w:w="6080" w:type="dxa"/>
            <w:vAlign w:val="bottom"/>
          </w:tcPr>
          <w:p>
            <w:pPr>
              <w:ind w:left="200"/>
              <w:spacing w:after="0"/>
              <w:rPr>
                <w:sz w:val="20"/>
                <w:szCs w:val="20"/>
                <w:color w:val="auto"/>
              </w:rPr>
            </w:pPr>
            <w:r>
              <w:rPr>
                <w:rFonts w:ascii="Arial" w:cs="Arial" w:eastAsia="Arial" w:hAnsi="Arial"/>
                <w:sz w:val="19"/>
                <w:szCs w:val="19"/>
                <w:b w:val="1"/>
                <w:bCs w:val="1"/>
                <w:color w:val="231F20"/>
              </w:rPr>
              <w:t>Total current assets</w:t>
            </w:r>
          </w:p>
        </w:tc>
        <w:tc>
          <w:tcPr>
            <w:tcW w:w="3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46,771</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41,979</w:t>
            </w:r>
          </w:p>
        </w:tc>
      </w:tr>
      <w:tr>
        <w:trPr>
          <w:trHeight w:val="235"/>
        </w:trPr>
        <w:tc>
          <w:tcPr>
            <w:tcW w:w="6080" w:type="dxa"/>
            <w:vAlign w:val="bottom"/>
          </w:tcPr>
          <w:p>
            <w:pPr>
              <w:spacing w:after="0"/>
              <w:rPr>
                <w:sz w:val="20"/>
                <w:szCs w:val="20"/>
                <w:color w:val="auto"/>
              </w:rPr>
            </w:pPr>
            <w:r>
              <w:rPr>
                <w:rFonts w:ascii="Arial" w:cs="Arial" w:eastAsia="Arial" w:hAnsi="Arial"/>
                <w:sz w:val="19"/>
                <w:szCs w:val="19"/>
                <w:b w:val="1"/>
                <w:bCs w:val="1"/>
                <w:color w:val="231F20"/>
              </w:rPr>
              <w:t>Property and equipment, net</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505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664</w:t>
            </w:r>
          </w:p>
        </w:tc>
      </w:tr>
      <w:tr>
        <w:trPr>
          <w:trHeight w:val="238"/>
        </w:trPr>
        <w:tc>
          <w:tcPr>
            <w:tcW w:w="6080" w:type="dxa"/>
            <w:vAlign w:val="bottom"/>
          </w:tcPr>
          <w:p>
            <w:pPr>
              <w:spacing w:after="0"/>
              <w:rPr>
                <w:sz w:val="20"/>
                <w:szCs w:val="20"/>
                <w:color w:val="auto"/>
              </w:rPr>
            </w:pPr>
            <w:r>
              <w:rPr>
                <w:rFonts w:ascii="Arial" w:cs="Arial" w:eastAsia="Arial" w:hAnsi="Arial"/>
                <w:sz w:val="19"/>
                <w:szCs w:val="19"/>
                <w:b w:val="1"/>
                <w:bCs w:val="1"/>
                <w:color w:val="231F20"/>
              </w:rPr>
              <w:t>Equipment under lease, net</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15,485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13,767</w:t>
            </w:r>
          </w:p>
        </w:tc>
      </w:tr>
      <w:tr>
        <w:trPr>
          <w:trHeight w:val="235"/>
        </w:trPr>
        <w:tc>
          <w:tcPr>
            <w:tcW w:w="6080" w:type="dxa"/>
            <w:vAlign w:val="bottom"/>
          </w:tcPr>
          <w:p>
            <w:pPr>
              <w:spacing w:after="0"/>
              <w:rPr>
                <w:sz w:val="20"/>
                <w:szCs w:val="20"/>
                <w:color w:val="auto"/>
              </w:rPr>
            </w:pPr>
            <w:r>
              <w:rPr>
                <w:rFonts w:ascii="Arial" w:cs="Arial" w:eastAsia="Arial" w:hAnsi="Arial"/>
                <w:sz w:val="19"/>
                <w:szCs w:val="19"/>
                <w:b w:val="1"/>
                <w:bCs w:val="1"/>
                <w:color w:val="231F20"/>
                <w:w w:val="93"/>
              </w:rPr>
              <w:t>Notes and other receivables, long-term, net of allowance of $15 and $23,</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b w:val="1"/>
                <w:bCs w:val="1"/>
                <w:color w:val="231F20"/>
              </w:rPr>
              <w:t>respectively</w:t>
            </w:r>
          </w:p>
        </w:tc>
        <w:tc>
          <w:tcPr>
            <w:tcW w:w="380" w:type="dxa"/>
            <w:vAlign w:val="bottom"/>
          </w:tcPr>
          <w:p>
            <w:pPr>
              <w:spacing w:after="0"/>
              <w:rPr>
                <w:sz w:val="19"/>
                <w:szCs w:val="19"/>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731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1,160</w:t>
            </w:r>
          </w:p>
        </w:tc>
      </w:tr>
      <w:tr>
        <w:trPr>
          <w:trHeight w:val="238"/>
        </w:trPr>
        <w:tc>
          <w:tcPr>
            <w:tcW w:w="6080" w:type="dxa"/>
            <w:vAlign w:val="bottom"/>
          </w:tcPr>
          <w:p>
            <w:pPr>
              <w:spacing w:after="0"/>
              <w:rPr>
                <w:sz w:val="20"/>
                <w:szCs w:val="20"/>
                <w:color w:val="auto"/>
              </w:rPr>
            </w:pPr>
            <w:r>
              <w:rPr>
                <w:rFonts w:ascii="Arial" w:cs="Arial" w:eastAsia="Arial" w:hAnsi="Arial"/>
                <w:sz w:val="19"/>
                <w:szCs w:val="19"/>
                <w:b w:val="1"/>
                <w:bCs w:val="1"/>
                <w:color w:val="231F20"/>
              </w:rPr>
              <w:t>Intangible assets, net</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5,191</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6,112</w:t>
            </w:r>
          </w:p>
        </w:tc>
      </w:tr>
      <w:tr>
        <w:trPr>
          <w:trHeight w:val="238"/>
        </w:trPr>
        <w:tc>
          <w:tcPr>
            <w:tcW w:w="6080" w:type="dxa"/>
            <w:vAlign w:val="bottom"/>
          </w:tcPr>
          <w:p>
            <w:pPr>
              <w:spacing w:after="0"/>
              <w:rPr>
                <w:sz w:val="20"/>
                <w:szCs w:val="20"/>
                <w:color w:val="auto"/>
              </w:rPr>
            </w:pPr>
            <w:r>
              <w:rPr>
                <w:rFonts w:ascii="Arial" w:cs="Arial" w:eastAsia="Arial" w:hAnsi="Arial"/>
                <w:sz w:val="19"/>
                <w:szCs w:val="19"/>
                <w:b w:val="1"/>
                <w:bCs w:val="1"/>
                <w:color w:val="231F20"/>
              </w:rPr>
              <w:t>Other assets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2,747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2,615</w:t>
            </w:r>
          </w:p>
        </w:tc>
      </w:tr>
      <w:tr>
        <w:trPr>
          <w:trHeight w:val="250"/>
        </w:trPr>
        <w:tc>
          <w:tcPr>
            <w:tcW w:w="6080" w:type="dxa"/>
            <w:vAlign w:val="bottom"/>
          </w:tcPr>
          <w:p>
            <w:pPr>
              <w:spacing w:after="0"/>
              <w:rPr>
                <w:sz w:val="20"/>
                <w:szCs w:val="20"/>
                <w:color w:val="auto"/>
              </w:rPr>
            </w:pPr>
            <w:r>
              <w:rPr>
                <w:rFonts w:ascii="Arial" w:cs="Arial" w:eastAsia="Arial" w:hAnsi="Arial"/>
                <w:sz w:val="19"/>
                <w:szCs w:val="19"/>
                <w:b w:val="1"/>
                <w:bCs w:val="1"/>
                <w:color w:val="231F20"/>
              </w:rPr>
              <w:t>Total assets</w:t>
            </w:r>
          </w:p>
        </w:tc>
        <w:tc>
          <w:tcPr>
            <w:tcW w:w="3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71,430</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66,297</w:t>
            </w:r>
          </w:p>
        </w:tc>
      </w:tr>
      <w:tr>
        <w:trPr>
          <w:trHeight w:val="281"/>
        </w:trPr>
        <w:tc>
          <w:tcPr>
            <w:tcW w:w="6080" w:type="dxa"/>
            <w:vAlign w:val="bottom"/>
          </w:tcPr>
          <w:p>
            <w:pPr>
              <w:spacing w:after="0" w:line="231" w:lineRule="exact"/>
              <w:rPr>
                <w:sz w:val="20"/>
                <w:szCs w:val="20"/>
                <w:color w:val="auto"/>
              </w:rPr>
            </w:pPr>
            <w:r>
              <w:rPr>
                <w:rFonts w:ascii="Arial" w:cs="Arial" w:eastAsia="Arial" w:hAnsi="Arial"/>
                <w:sz w:val="19"/>
                <w:szCs w:val="19"/>
                <w:b w:val="1"/>
                <w:bCs w:val="1"/>
                <w:color w:val="231F20"/>
                <w:w w:val="96"/>
              </w:rPr>
              <w:t>Liabilities, redeemable convertible preferred stock, and stockholders</w:t>
            </w:r>
            <w:r>
              <w:rPr>
                <w:rFonts w:ascii="PMingLiU" w:cs="PMingLiU" w:eastAsia="PMingLiU" w:hAnsi="PMingLiU"/>
                <w:sz w:val="19"/>
                <w:szCs w:val="19"/>
                <w:b w:val="1"/>
                <w:bCs w:val="1"/>
                <w:color w:val="231F20"/>
                <w:w w:val="96"/>
              </w:rPr>
              <w: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b w:val="1"/>
                <w:bCs w:val="1"/>
                <w:color w:val="231F20"/>
              </w:rPr>
              <w:t>(deficit) equity</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6080" w:type="dxa"/>
            <w:vAlign w:val="bottom"/>
          </w:tcPr>
          <w:p>
            <w:pPr>
              <w:spacing w:after="0"/>
              <w:rPr>
                <w:sz w:val="20"/>
                <w:szCs w:val="20"/>
                <w:color w:val="auto"/>
              </w:rPr>
            </w:pPr>
            <w:r>
              <w:rPr>
                <w:rFonts w:ascii="Arial" w:cs="Arial" w:eastAsia="Arial" w:hAnsi="Arial"/>
                <w:sz w:val="19"/>
                <w:szCs w:val="19"/>
                <w:b w:val="1"/>
                <w:bCs w:val="1"/>
                <w:color w:val="231F20"/>
              </w:rPr>
              <w:t>Current liabilities: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5"/>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Accounts payable</w:t>
            </w:r>
          </w:p>
        </w:tc>
        <w:tc>
          <w:tcPr>
            <w:tcW w:w="3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18,982</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5,995</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Accrued liabilities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7,771</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6,807</w:t>
            </w:r>
          </w:p>
        </w:tc>
      </w:tr>
      <w:tr>
        <w:trPr>
          <w:trHeight w:val="235"/>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Deferred revenue</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3,074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1,677</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Operating lease liabilities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747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524</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Acquisition-related deposit</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10,000</w:t>
            </w:r>
          </w:p>
        </w:tc>
        <w:tc>
          <w:tcPr>
            <w:tcW w:w="380" w:type="dxa"/>
            <w:vAlign w:val="bottom"/>
          </w:tcPr>
          <w:p>
            <w:pPr>
              <w:spacing w:after="0"/>
              <w:rPr>
                <w:sz w:val="20"/>
                <w:szCs w:val="20"/>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50"/>
        </w:trPr>
        <w:tc>
          <w:tcPr>
            <w:tcW w:w="6080" w:type="dxa"/>
            <w:vAlign w:val="bottom"/>
          </w:tcPr>
          <w:p>
            <w:pPr>
              <w:ind w:left="200"/>
              <w:spacing w:after="0"/>
              <w:rPr>
                <w:sz w:val="20"/>
                <w:szCs w:val="20"/>
                <w:color w:val="auto"/>
              </w:rPr>
            </w:pPr>
            <w:r>
              <w:rPr>
                <w:rFonts w:ascii="Arial" w:cs="Arial" w:eastAsia="Arial" w:hAnsi="Arial"/>
                <w:sz w:val="19"/>
                <w:szCs w:val="19"/>
                <w:b w:val="1"/>
                <w:bCs w:val="1"/>
                <w:color w:val="231F20"/>
              </w:rPr>
              <w:t>Total current liabilities</w:t>
            </w:r>
          </w:p>
        </w:tc>
        <w:tc>
          <w:tcPr>
            <w:tcW w:w="3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40,574</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15,003</w:t>
            </w:r>
          </w:p>
        </w:tc>
      </w:tr>
      <w:tr>
        <w:trPr>
          <w:trHeight w:val="238"/>
        </w:trPr>
        <w:tc>
          <w:tcPr>
            <w:tcW w:w="6080" w:type="dxa"/>
            <w:vAlign w:val="bottom"/>
          </w:tcPr>
          <w:p>
            <w:pPr>
              <w:spacing w:after="0"/>
              <w:rPr>
                <w:sz w:val="20"/>
                <w:szCs w:val="20"/>
                <w:color w:val="auto"/>
              </w:rPr>
            </w:pPr>
            <w:r>
              <w:rPr>
                <w:rFonts w:ascii="Arial" w:cs="Arial" w:eastAsia="Arial" w:hAnsi="Arial"/>
                <w:sz w:val="19"/>
                <w:szCs w:val="19"/>
                <w:b w:val="1"/>
                <w:bCs w:val="1"/>
                <w:color w:val="231F20"/>
              </w:rPr>
              <w:t>Long-term operating lease liabilities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1,988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2,090</w:t>
            </w:r>
          </w:p>
        </w:tc>
      </w:tr>
      <w:tr>
        <w:trPr>
          <w:trHeight w:val="238"/>
        </w:trPr>
        <w:tc>
          <w:tcPr>
            <w:tcW w:w="6080" w:type="dxa"/>
            <w:vAlign w:val="bottom"/>
          </w:tcPr>
          <w:p>
            <w:pPr>
              <w:spacing w:after="0"/>
              <w:rPr>
                <w:sz w:val="20"/>
                <w:szCs w:val="20"/>
                <w:color w:val="auto"/>
              </w:rPr>
            </w:pPr>
            <w:r>
              <w:rPr>
                <w:rFonts w:ascii="Arial" w:cs="Arial" w:eastAsia="Arial" w:hAnsi="Arial"/>
                <w:sz w:val="19"/>
                <w:szCs w:val="19"/>
                <w:b w:val="1"/>
                <w:bCs w:val="1"/>
                <w:color w:val="231F20"/>
              </w:rPr>
              <w:t>Warrant liabilities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40,194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29,856</w:t>
            </w:r>
          </w:p>
        </w:tc>
      </w:tr>
      <w:tr>
        <w:trPr>
          <w:trHeight w:val="235"/>
        </w:trPr>
        <w:tc>
          <w:tcPr>
            <w:tcW w:w="6080" w:type="dxa"/>
            <w:vAlign w:val="bottom"/>
          </w:tcPr>
          <w:p>
            <w:pPr>
              <w:spacing w:after="0"/>
              <w:rPr>
                <w:sz w:val="20"/>
                <w:szCs w:val="20"/>
                <w:color w:val="auto"/>
              </w:rPr>
            </w:pPr>
            <w:r>
              <w:rPr>
                <w:rFonts w:ascii="Arial" w:cs="Arial" w:eastAsia="Arial" w:hAnsi="Arial"/>
                <w:sz w:val="19"/>
                <w:szCs w:val="19"/>
                <w:b w:val="1"/>
                <w:bCs w:val="1"/>
                <w:color w:val="231F20"/>
              </w:rPr>
              <w:t>Other long-term liabilities</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909</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702</w:t>
            </w:r>
          </w:p>
        </w:tc>
      </w:tr>
      <w:tr>
        <w:trPr>
          <w:trHeight w:val="252"/>
        </w:trPr>
        <w:tc>
          <w:tcPr>
            <w:tcW w:w="6080" w:type="dxa"/>
            <w:vAlign w:val="bottom"/>
          </w:tcPr>
          <w:p>
            <w:pPr>
              <w:spacing w:after="0"/>
              <w:rPr>
                <w:sz w:val="20"/>
                <w:szCs w:val="20"/>
                <w:color w:val="auto"/>
              </w:rPr>
            </w:pPr>
            <w:r>
              <w:rPr>
                <w:rFonts w:ascii="Arial" w:cs="Arial" w:eastAsia="Arial" w:hAnsi="Arial"/>
                <w:sz w:val="19"/>
                <w:szCs w:val="19"/>
                <w:b w:val="1"/>
                <w:bCs w:val="1"/>
                <w:color w:val="231F20"/>
              </w:rPr>
              <w:t>Total liabilities</w:t>
            </w:r>
          </w:p>
        </w:tc>
        <w:tc>
          <w:tcPr>
            <w:tcW w:w="3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83,665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47,651</w:t>
            </w:r>
          </w:p>
        </w:tc>
      </w:tr>
      <w:tr>
        <w:trPr>
          <w:trHeight w:val="252"/>
        </w:trPr>
        <w:tc>
          <w:tcPr>
            <w:tcW w:w="6080" w:type="dxa"/>
            <w:vAlign w:val="bottom"/>
          </w:tcPr>
          <w:p>
            <w:pPr>
              <w:spacing w:after="0"/>
              <w:rPr>
                <w:sz w:val="20"/>
                <w:szCs w:val="20"/>
                <w:color w:val="auto"/>
              </w:rPr>
            </w:pPr>
            <w:r>
              <w:rPr>
                <w:rFonts w:ascii="Arial" w:cs="Arial" w:eastAsia="Arial" w:hAnsi="Arial"/>
                <w:sz w:val="19"/>
                <w:szCs w:val="19"/>
                <w:b w:val="1"/>
                <w:bCs w:val="1"/>
                <w:color w:val="231F20"/>
              </w:rPr>
              <w:t>Commitments and contingencies (Note 11)</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5"/>
        </w:trPr>
        <w:tc>
          <w:tcPr>
            <w:tcW w:w="6080" w:type="dxa"/>
            <w:vAlign w:val="bottom"/>
          </w:tcPr>
          <w:p>
            <w:pPr>
              <w:spacing w:after="0"/>
              <w:rPr>
                <w:sz w:val="20"/>
                <w:szCs w:val="20"/>
                <w:color w:val="auto"/>
              </w:rPr>
            </w:pPr>
            <w:r>
              <w:rPr>
                <w:rFonts w:ascii="Arial" w:cs="Arial" w:eastAsia="Arial" w:hAnsi="Arial"/>
                <w:sz w:val="19"/>
                <w:szCs w:val="19"/>
                <w:b w:val="1"/>
                <w:bCs w:val="1"/>
                <w:color w:val="231F20"/>
                <w:w w:val="87"/>
              </w:rPr>
              <w:t>Series A Redeemable Convertible Preferred Stock, par value $0.01 per share,</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b w:val="1"/>
                <w:bCs w:val="1"/>
                <w:color w:val="231F20"/>
                <w:w w:val="89"/>
              </w:rPr>
              <w:t>20 shares authorized at December 31, 2025 and 2024; 20 shares issued and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b w:val="1"/>
                <w:bCs w:val="1"/>
                <w:color w:val="231F20"/>
              </w:rPr>
              <w:t>outstanding at December 31, 2025 and 2024; aggregate liquidation</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b w:val="1"/>
                <w:bCs w:val="1"/>
                <w:color w:val="231F20"/>
              </w:rPr>
              <w:t>preference of $20,000 at December 31, 2025 and 2024</w:t>
            </w:r>
          </w:p>
        </w:tc>
        <w:tc>
          <w:tcPr>
            <w:tcW w:w="380" w:type="dxa"/>
            <w:vAlign w:val="bottom"/>
          </w:tcPr>
          <w:p>
            <w:pPr>
              <w:spacing w:after="0"/>
              <w:rPr>
                <w:sz w:val="19"/>
                <w:szCs w:val="19"/>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13,784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13,784</w:t>
            </w:r>
          </w:p>
        </w:tc>
      </w:tr>
      <w:tr>
        <w:trPr>
          <w:trHeight w:val="238"/>
        </w:trPr>
        <w:tc>
          <w:tcPr>
            <w:tcW w:w="6080" w:type="dxa"/>
            <w:vAlign w:val="bottom"/>
          </w:tcPr>
          <w:p>
            <w:pPr>
              <w:spacing w:after="0" w:line="231" w:lineRule="exact"/>
              <w:rPr>
                <w:sz w:val="20"/>
                <w:szCs w:val="20"/>
                <w:color w:val="auto"/>
              </w:rPr>
            </w:pPr>
            <w:r>
              <w:rPr>
                <w:rFonts w:ascii="Arial" w:cs="Arial" w:eastAsia="Arial" w:hAnsi="Arial"/>
                <w:sz w:val="19"/>
                <w:szCs w:val="19"/>
                <w:b w:val="1"/>
                <w:bCs w:val="1"/>
                <w:color w:val="231F20"/>
              </w:rPr>
              <w:t>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(deficit) equity:</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5"/>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w w:val="95"/>
              </w:rPr>
              <w:t>Preferred stock, par value $0.01 per share, 9,980 shares authorized at</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w w:val="99"/>
              </w:rPr>
              <w:t>December 31, 2025 and 2024; no shares issued and outstanding at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December 31, 2025 and 2024</w:t>
            </w:r>
          </w:p>
        </w:tc>
        <w:tc>
          <w:tcPr>
            <w:tcW w:w="380" w:type="dxa"/>
            <w:vAlign w:val="bottom"/>
          </w:tcPr>
          <w:p>
            <w:pPr>
              <w:spacing w:after="0"/>
              <w:rPr>
                <w:sz w:val="19"/>
                <w:szCs w:val="19"/>
                <w:color w:val="auto"/>
              </w:rPr>
            </w:pPr>
          </w:p>
        </w:tc>
        <w:tc>
          <w:tcPr>
            <w:tcW w:w="1160" w:type="dxa"/>
            <w:vAlign w:val="bottom"/>
          </w:tcPr>
          <w:p>
            <w:pPr>
              <w:jc w:val="right"/>
              <w:ind w:right="64"/>
              <w:spacing w:after="0" w:line="224" w:lineRule="exact"/>
              <w:rPr>
                <w:sz w:val="20"/>
                <w:szCs w:val="20"/>
                <w:color w:val="auto"/>
              </w:rPr>
            </w:pPr>
            <w:r>
              <w:rPr>
                <w:rFonts w:ascii="PMingLiU" w:cs="PMingLiU" w:eastAsia="PMingLiU" w:hAnsi="PMingLiU"/>
                <w:sz w:val="19"/>
                <w:szCs w:val="19"/>
                <w:b w:val="1"/>
                <w:bCs w:val="1"/>
                <w:color w:val="231F20"/>
              </w:rPr>
              <w:t></w:t>
            </w:r>
          </w:p>
        </w:tc>
        <w:tc>
          <w:tcPr>
            <w:tcW w:w="380" w:type="dxa"/>
            <w:vAlign w:val="bottom"/>
          </w:tcPr>
          <w:p>
            <w:pPr>
              <w:spacing w:after="0"/>
              <w:rPr>
                <w:sz w:val="19"/>
                <w:szCs w:val="19"/>
                <w:color w:val="auto"/>
              </w:rPr>
            </w:pPr>
          </w:p>
        </w:tc>
        <w:tc>
          <w:tcPr>
            <w:tcW w:w="106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w w:val="92"/>
              </w:rPr>
              <w:t>Common stock, par value $0.01 per share, 150,000 shares authorized at</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w w:val="99"/>
              </w:rPr>
              <w:t>December 31, 2025 and 2024; 11,993 and 11,654 shares issued and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outstanding at December 31, 2025 and 2024, respectively</w:t>
            </w:r>
          </w:p>
        </w:tc>
        <w:tc>
          <w:tcPr>
            <w:tcW w:w="380" w:type="dxa"/>
            <w:vAlign w:val="bottom"/>
          </w:tcPr>
          <w:p>
            <w:pPr>
              <w:spacing w:after="0"/>
              <w:rPr>
                <w:sz w:val="19"/>
                <w:szCs w:val="19"/>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120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116</w:t>
            </w:r>
          </w:p>
        </w:tc>
      </w:tr>
      <w:tr>
        <w:trPr>
          <w:trHeight w:val="235"/>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Additional paid-in capital</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151,432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148,035</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Accumulated other comprehensive income</w:t>
            </w:r>
          </w:p>
        </w:tc>
        <w:tc>
          <w:tcPr>
            <w:tcW w:w="380" w:type="dxa"/>
            <w:vAlign w:val="bottom"/>
          </w:tcPr>
          <w:p>
            <w:pPr>
              <w:spacing w:after="0"/>
              <w:rPr>
                <w:sz w:val="20"/>
                <w:szCs w:val="20"/>
                <w:color w:val="auto"/>
              </w:rPr>
            </w:pP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w:t>
            </w:r>
          </w:p>
        </w:tc>
      </w:tr>
      <w:tr>
        <w:trPr>
          <w:trHeight w:val="238"/>
        </w:trPr>
        <w:tc>
          <w:tcPr>
            <w:tcW w:w="6080" w:type="dxa"/>
            <w:vAlign w:val="bottom"/>
          </w:tcPr>
          <w:p>
            <w:pPr>
              <w:ind w:left="100"/>
              <w:spacing w:after="0"/>
              <w:rPr>
                <w:sz w:val="20"/>
                <w:szCs w:val="20"/>
                <w:color w:val="auto"/>
              </w:rPr>
            </w:pPr>
            <w:r>
              <w:rPr>
                <w:rFonts w:ascii="Arial" w:cs="Arial" w:eastAsia="Arial" w:hAnsi="Arial"/>
                <w:sz w:val="19"/>
                <w:szCs w:val="19"/>
                <w:b w:val="1"/>
                <w:bCs w:val="1"/>
                <w:color w:val="231F20"/>
              </w:rPr>
              <w:t>Accumulated deficit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(177,575)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(143,295)</w:t>
            </w:r>
          </w:p>
        </w:tc>
      </w:tr>
      <w:tr>
        <w:trPr>
          <w:trHeight w:val="250"/>
        </w:trPr>
        <w:tc>
          <w:tcPr>
            <w:tcW w:w="6080" w:type="dxa"/>
            <w:vAlign w:val="bottom"/>
          </w:tcPr>
          <w:p>
            <w:pPr>
              <w:ind w:left="200"/>
              <w:spacing w:after="0" w:line="231" w:lineRule="exact"/>
              <w:rPr>
                <w:sz w:val="20"/>
                <w:szCs w:val="20"/>
                <w:color w:val="auto"/>
              </w:rPr>
            </w:pPr>
            <w:r>
              <w:rPr>
                <w:rFonts w:ascii="Arial" w:cs="Arial" w:eastAsia="Arial" w:hAnsi="Arial"/>
                <w:sz w:val="19"/>
                <w:szCs w:val="19"/>
                <w:b w:val="1"/>
                <w:bCs w:val="1"/>
                <w:color w:val="231F20"/>
              </w:rPr>
              <w:t>Total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(deficit) equity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(26,019)</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4,862</w:t>
            </w:r>
          </w:p>
        </w:tc>
      </w:tr>
      <w:tr>
        <w:trPr>
          <w:trHeight w:val="252"/>
        </w:trPr>
        <w:tc>
          <w:tcPr>
            <w:tcW w:w="6080" w:type="dxa"/>
            <w:vAlign w:val="bottom"/>
          </w:tcPr>
          <w:p>
            <w:pPr>
              <w:spacing w:after="0"/>
              <w:rPr>
                <w:sz w:val="20"/>
                <w:szCs w:val="20"/>
                <w:color w:val="auto"/>
              </w:rPr>
            </w:pPr>
            <w:r>
              <w:rPr>
                <w:rFonts w:ascii="Arial" w:cs="Arial" w:eastAsia="Arial" w:hAnsi="Arial"/>
                <w:sz w:val="19"/>
                <w:szCs w:val="19"/>
                <w:b w:val="1"/>
                <w:bCs w:val="1"/>
                <w:color w:val="231F20"/>
              </w:rPr>
              <w:t>Total liabilities, redeemable convertible preferred stock, and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19"/>
                <w:szCs w:val="19"/>
                <w:b w:val="1"/>
                <w:bCs w:val="1"/>
                <w:color w:val="231F20"/>
              </w:rPr>
              <w:t>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(deficit) equity</w:t>
            </w:r>
          </w:p>
        </w:tc>
        <w:tc>
          <w:tcPr>
            <w:tcW w:w="380" w:type="dxa"/>
            <w:vAlign w:val="bottom"/>
          </w:tcPr>
          <w:p>
            <w:pPr>
              <w:jc w:val="right"/>
              <w:ind w:right="83"/>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jc w:val="right"/>
              <w:ind w:right="64"/>
              <w:spacing w:after="0"/>
              <w:rPr>
                <w:sz w:val="20"/>
                <w:szCs w:val="20"/>
                <w:color w:val="auto"/>
              </w:rPr>
            </w:pPr>
            <w:r>
              <w:rPr>
                <w:rFonts w:ascii="Arial" w:cs="Arial" w:eastAsia="Arial" w:hAnsi="Arial"/>
                <w:sz w:val="19"/>
                <w:szCs w:val="19"/>
                <w:b w:val="1"/>
                <w:bCs w:val="1"/>
                <w:color w:val="231F20"/>
              </w:rPr>
              <w:t>71,430</w:t>
            </w:r>
          </w:p>
        </w:tc>
        <w:tc>
          <w:tcPr>
            <w:tcW w:w="38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66,297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-7221855</wp:posOffset>
            </wp:positionV>
            <wp:extent cx="5792470" cy="7264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2470" cy="726440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The accompanying notes are an integral part of these financial statements</w:t>
      </w:r>
    </w:p>
    <w:p>
      <w:pPr>
        <w:sectPr>
          <w:pgSz w:w="12240" w:h="15840" w:orient="portrait"/>
          <w:cols w:equalWidth="0" w:num="1">
            <w:col w:w="9360"/>
          </w:cols>
          <w:pgMar w:left="1440" w:top="1357" w:right="1440" w:bottom="378"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F-3</w:t>
      </w:r>
    </w:p>
    <w:p>
      <w:pPr>
        <w:sectPr>
          <w:pgSz w:w="12240" w:h="15840" w:orient="portrait"/>
          <w:cols w:equalWidth="0" w:num="1">
            <w:col w:w="9360"/>
          </w:cols>
          <w:pgMar w:left="1440" w:top="1357" w:right="1440" w:bottom="378"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9"/>
          <w:szCs w:val="19"/>
          <w:b w:val="1"/>
          <w:bCs w:val="1"/>
          <w:color w:val="231F20"/>
        </w:rPr>
        <w:t>LENSAR,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(In thousands)</w:t>
      </w:r>
    </w:p>
    <w:p>
      <w:pPr>
        <w:spacing w:after="0" w:line="155"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-4445</wp:posOffset>
            </wp:positionV>
            <wp:extent cx="5792470" cy="6263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2470" cy="6263005"/>
                    </a:xfrm>
                    <a:prstGeom prst="rect">
                      <a:avLst/>
                    </a:prstGeom>
                    <a:noFill/>
                  </pic:spPr>
                </pic:pic>
              </a:graphicData>
            </a:graphic>
          </wp:anchor>
        </w:drawing>
      </w:r>
    </w:p>
    <w:p>
      <w:pPr>
        <w:spacing w:after="0" w:line="12" w:lineRule="exact"/>
        <w:rPr>
          <w:sz w:val="20"/>
          <w:szCs w:val="20"/>
          <w:color w:val="auto"/>
        </w:rPr>
      </w:pPr>
    </w:p>
    <w:p>
      <w:pPr>
        <w:jc w:val="both"/>
        <w:ind w:left="6800"/>
        <w:spacing w:after="0"/>
        <w:tabs>
          <w:tab w:leader="none" w:pos="8300" w:val="left"/>
        </w:tabs>
        <w:rPr>
          <w:sz w:val="20"/>
          <w:szCs w:val="20"/>
          <w:color w:val="auto"/>
        </w:rPr>
      </w:pPr>
      <w:r>
        <w:rPr>
          <w:rFonts w:ascii="Arial" w:cs="Arial" w:eastAsia="Arial" w:hAnsi="Arial"/>
          <w:sz w:val="16"/>
          <w:szCs w:val="16"/>
          <w:b w:val="1"/>
          <w:bCs w:val="1"/>
          <w:color w:val="231F20"/>
        </w:rPr>
        <w:t>2025</w:t>
      </w:r>
      <w:r>
        <w:rPr>
          <w:sz w:val="20"/>
          <w:szCs w:val="20"/>
          <w:color w:val="auto"/>
        </w:rPr>
        <w:tab/>
      </w:r>
      <w:r>
        <w:rPr>
          <w:rFonts w:ascii="Arial" w:cs="Arial" w:eastAsia="Arial" w:hAnsi="Arial"/>
          <w:sz w:val="16"/>
          <w:szCs w:val="16"/>
          <w:b w:val="1"/>
          <w:bCs w:val="1"/>
          <w:color w:val="231F20"/>
        </w:rPr>
        <w:t>2024</w:t>
      </w:r>
    </w:p>
    <w:p>
      <w:pPr>
        <w:sectPr>
          <w:pgSz w:w="12240" w:h="15840" w:orient="portrait"/>
          <w:cols w:equalWidth="0" w:num="1">
            <w:col w:w="9360"/>
          </w:cols>
          <w:pgMar w:left="1440" w:top="1357" w:right="1440" w:bottom="378" w:gutter="0" w:footer="0" w:header="0"/>
        </w:sectPr>
      </w:pPr>
    </w:p>
    <w:p>
      <w:pPr>
        <w:spacing w:after="0" w:line="3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Cash flows from operating activities</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231F20"/>
        </w:rPr>
        <w:t>Net loss</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231F20"/>
        </w:rPr>
        <w:t>Adjustments to reconcile net loss to net cash used in operating activities: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Depreciation</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Amortization of intangible assets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Impairment of intangible assets</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Non-cash operating lease cost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Provision for expected credit losses</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Write-down of inventory</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Loss on disposal of property and equipment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Stock-based compensation expense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Change in fair value of warrant liabilities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Amortization on investments, net</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231F20"/>
        </w:rPr>
        <w:t>Changes in operating assets and liabilities:</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Accounts receivable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Notes receivable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Prepaid and other current assets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Inventories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Accounts payable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Accrued liabilities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Deferred revenue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Operating lease liabilities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31F20"/>
        </w:rPr>
        <w:t>Other</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231F20"/>
        </w:rPr>
        <w:t>Net cash used in operating activities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Cash flows from investing activities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231F20"/>
        </w:rPr>
        <w:t>Purchase of property and equipment</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231F20"/>
        </w:rPr>
        <w:t>Purchase of investments</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231F20"/>
        </w:rPr>
        <w:t>Maturities of investments</w:t>
      </w:r>
    </w:p>
    <w:p>
      <w:pPr>
        <w:spacing w:after="0" w:line="39" w:lineRule="exact"/>
        <w:rPr>
          <w:sz w:val="20"/>
          <w:szCs w:val="20"/>
          <w:color w:val="auto"/>
        </w:rPr>
      </w:pPr>
    </w:p>
    <w:p>
      <w:pPr>
        <w:ind w:left="140" w:right="1820" w:firstLine="96"/>
        <w:spacing w:after="0" w:line="282" w:lineRule="auto"/>
        <w:rPr>
          <w:sz w:val="20"/>
          <w:szCs w:val="20"/>
          <w:color w:val="auto"/>
        </w:rPr>
      </w:pPr>
      <w:r>
        <w:rPr>
          <w:rFonts w:ascii="Arial" w:cs="Arial" w:eastAsia="Arial" w:hAnsi="Arial"/>
          <w:sz w:val="18"/>
          <w:szCs w:val="18"/>
          <w:b w:val="1"/>
          <w:bCs w:val="1"/>
          <w:color w:val="231F20"/>
        </w:rPr>
        <w:t>Net cash provided by (used in) investing activities Cash flows from financing activities</w:t>
      </w:r>
    </w:p>
    <w:p>
      <w:pPr>
        <w:ind w:left="240"/>
        <w:spacing w:after="0" w:line="235" w:lineRule="auto"/>
        <w:rPr>
          <w:sz w:val="20"/>
          <w:szCs w:val="20"/>
          <w:color w:val="auto"/>
        </w:rPr>
      </w:pPr>
      <w:r>
        <w:rPr>
          <w:rFonts w:ascii="Arial" w:cs="Arial" w:eastAsia="Arial" w:hAnsi="Arial"/>
          <w:sz w:val="19"/>
          <w:szCs w:val="19"/>
          <w:b w:val="1"/>
          <w:bCs w:val="1"/>
          <w:color w:val="231F20"/>
        </w:rPr>
        <w:t>Proceeds from acquisition-related deposit</w:t>
      </w:r>
    </w:p>
    <w:p>
      <w:pPr>
        <w:spacing w:after="0" w:line="24" w:lineRule="exact"/>
        <w:rPr>
          <w:sz w:val="20"/>
          <w:szCs w:val="20"/>
          <w:color w:val="auto"/>
        </w:rPr>
      </w:pPr>
    </w:p>
    <w:p>
      <w:pPr>
        <w:ind w:left="240"/>
        <w:spacing w:after="0" w:line="239" w:lineRule="auto"/>
        <w:rPr>
          <w:sz w:val="20"/>
          <w:szCs w:val="20"/>
          <w:color w:val="auto"/>
        </w:rPr>
      </w:pPr>
      <w:r>
        <w:rPr>
          <w:rFonts w:ascii="Arial" w:cs="Arial" w:eastAsia="Arial" w:hAnsi="Arial"/>
          <w:sz w:val="19"/>
          <w:szCs w:val="19"/>
          <w:b w:val="1"/>
          <w:bCs w:val="1"/>
          <w:color w:val="231F20"/>
        </w:rPr>
        <w:t>Proceeds from issuance of common stock under employee stock purchase plan</w:t>
      </w:r>
    </w:p>
    <w:p>
      <w:pPr>
        <w:spacing w:after="0" w:line="23" w:lineRule="exact"/>
        <w:rPr>
          <w:sz w:val="20"/>
          <w:szCs w:val="20"/>
          <w:color w:val="auto"/>
        </w:rPr>
      </w:pPr>
    </w:p>
    <w:p>
      <w:pPr>
        <w:ind w:left="240" w:right="540"/>
        <w:spacing w:after="0" w:line="291" w:lineRule="auto"/>
        <w:rPr>
          <w:sz w:val="20"/>
          <w:szCs w:val="20"/>
          <w:color w:val="auto"/>
        </w:rPr>
      </w:pPr>
      <w:r>
        <w:rPr>
          <w:rFonts w:ascii="Arial" w:cs="Arial" w:eastAsia="Arial" w:hAnsi="Arial"/>
          <w:sz w:val="17"/>
          <w:szCs w:val="17"/>
          <w:b w:val="1"/>
          <w:bCs w:val="1"/>
          <w:color w:val="231F20"/>
        </w:rPr>
        <w:t>Proceeds from issuance of common stock through option exercises Net settlement of stock-based compensation awards</w:t>
      </w:r>
    </w:p>
    <w:p>
      <w:pPr>
        <w:spacing w:after="0" w:line="1" w:lineRule="exact"/>
        <w:rPr>
          <w:sz w:val="20"/>
          <w:szCs w:val="20"/>
          <w:color w:val="auto"/>
        </w:rPr>
      </w:pPr>
    </w:p>
    <w:p>
      <w:pPr>
        <w:ind w:left="240" w:right="900"/>
        <w:spacing w:after="0" w:line="307" w:lineRule="auto"/>
        <w:rPr>
          <w:sz w:val="20"/>
          <w:szCs w:val="20"/>
          <w:color w:val="auto"/>
        </w:rPr>
      </w:pPr>
      <w:r>
        <w:rPr>
          <w:rFonts w:ascii="Arial" w:cs="Arial" w:eastAsia="Arial" w:hAnsi="Arial"/>
          <w:sz w:val="17"/>
          <w:szCs w:val="17"/>
          <w:b w:val="1"/>
          <w:bCs w:val="1"/>
          <w:color w:val="231F20"/>
        </w:rPr>
        <w:t>Payment of accrued offering costs allocable to preferred stock Net cash provided by financing activities</w:t>
      </w:r>
    </w:p>
    <w:p>
      <w:pPr>
        <w:ind w:left="140"/>
        <w:spacing w:after="0" w:line="235" w:lineRule="auto"/>
        <w:rPr>
          <w:sz w:val="20"/>
          <w:szCs w:val="20"/>
          <w:color w:val="auto"/>
        </w:rPr>
      </w:pPr>
      <w:r>
        <w:rPr>
          <w:rFonts w:ascii="Arial" w:cs="Arial" w:eastAsia="Arial" w:hAnsi="Arial"/>
          <w:sz w:val="19"/>
          <w:szCs w:val="19"/>
          <w:b w:val="1"/>
          <w:bCs w:val="1"/>
          <w:color w:val="231F20"/>
        </w:rPr>
        <w:t>Net decrease in cash and cash equivalents</w:t>
      </w:r>
    </w:p>
    <w:p>
      <w:pPr>
        <w:spacing w:after="0" w:line="25" w:lineRule="exact"/>
        <w:rPr>
          <w:sz w:val="20"/>
          <w:szCs w:val="20"/>
          <w:color w:val="auto"/>
        </w:rPr>
      </w:pPr>
    </w:p>
    <w:p>
      <w:pPr>
        <w:ind w:left="140" w:right="1880"/>
        <w:spacing w:after="0" w:line="363" w:lineRule="auto"/>
        <w:rPr>
          <w:sz w:val="20"/>
          <w:szCs w:val="20"/>
          <w:color w:val="auto"/>
        </w:rPr>
      </w:pPr>
      <w:r>
        <w:rPr>
          <w:rFonts w:ascii="Arial" w:cs="Arial" w:eastAsia="Arial" w:hAnsi="Arial"/>
          <w:sz w:val="16"/>
          <w:szCs w:val="16"/>
          <w:b w:val="1"/>
          <w:bCs w:val="1"/>
          <w:color w:val="231F20"/>
        </w:rPr>
        <w:t>Cash and cash equivalents at beginning of the year Cash and cash equivalents at end of the year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80" w:type="dxa"/>
            <w:vAlign w:val="bottom"/>
          </w:tcPr>
          <w:p>
            <w:pPr>
              <w:jc w:val="right"/>
              <w:ind w:right="183"/>
              <w:spacing w:after="0"/>
              <w:rPr>
                <w:sz w:val="20"/>
                <w:szCs w:val="20"/>
                <w:color w:val="auto"/>
              </w:rPr>
            </w:pPr>
            <w:r>
              <w:rPr>
                <w:rFonts w:ascii="Arial" w:cs="Arial" w:eastAsia="Arial" w:hAnsi="Arial"/>
                <w:sz w:val="19"/>
                <w:szCs w:val="19"/>
                <w:b w:val="1"/>
                <w:bCs w:val="1"/>
                <w:color w:val="231F20"/>
                <w:w w:val="75"/>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480" w:type="dxa"/>
            <w:vAlign w:val="bottom"/>
          </w:tcPr>
          <w:p>
            <w:pPr>
              <w:jc w:val="right"/>
              <w:ind w:right="203"/>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r>
        <w:trPr>
          <w:trHeight w:val="473"/>
        </w:trPr>
        <w:tc>
          <w:tcPr>
            <w:tcW w:w="38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231F20"/>
              </w:rPr>
              <w:t>3,581</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2,961</w:t>
            </w:r>
          </w:p>
        </w:tc>
      </w:tr>
      <w:tr>
        <w:trPr>
          <w:trHeight w:val="238"/>
        </w:trPr>
        <w:tc>
          <w:tcPr>
            <w:tcW w:w="380" w:type="dxa"/>
            <w:vAlign w:val="bottom"/>
          </w:tcPr>
          <w:p>
            <w:pPr>
              <w:spacing w:after="0"/>
              <w:rPr>
                <w:sz w:val="20"/>
                <w:szCs w:val="20"/>
                <w:color w:val="auto"/>
              </w:rPr>
            </w:pP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231F20"/>
              </w:rPr>
              <w:t>921</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970</w:t>
            </w:r>
          </w:p>
        </w:tc>
      </w:tr>
      <w:tr>
        <w:trPr>
          <w:trHeight w:val="238"/>
        </w:trPr>
        <w:tc>
          <w:tcPr>
            <w:tcW w:w="380" w:type="dxa"/>
            <w:vAlign w:val="bottom"/>
          </w:tcPr>
          <w:p>
            <w:pPr>
              <w:spacing w:after="0"/>
              <w:rPr>
                <w:sz w:val="20"/>
                <w:szCs w:val="20"/>
                <w:color w:val="auto"/>
              </w:rPr>
            </w:pPr>
          </w:p>
        </w:tc>
        <w:tc>
          <w:tcPr>
            <w:tcW w:w="1060" w:type="dxa"/>
            <w:vAlign w:val="bottom"/>
          </w:tcPr>
          <w:p>
            <w:pPr>
              <w:jc w:val="right"/>
              <w:ind w:right="63"/>
              <w:spacing w:after="0" w:line="228" w:lineRule="exact"/>
              <w:rPr>
                <w:sz w:val="20"/>
                <w:szCs w:val="20"/>
                <w:color w:val="auto"/>
              </w:rPr>
            </w:pPr>
            <w:r>
              <w:rPr>
                <w:rFonts w:ascii="PMingLiU" w:cs="PMingLiU" w:eastAsia="PMingLiU" w:hAnsi="PMingLiU"/>
                <w:sz w:val="19"/>
                <w:szCs w:val="19"/>
                <w:b w:val="1"/>
                <w:bCs w:val="1"/>
                <w:color w:val="231F20"/>
              </w:rPr>
              <w:t></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3,729</w:t>
            </w:r>
          </w:p>
        </w:tc>
      </w:tr>
      <w:tr>
        <w:trPr>
          <w:trHeight w:val="235"/>
        </w:trPr>
        <w:tc>
          <w:tcPr>
            <w:tcW w:w="380" w:type="dxa"/>
            <w:vAlign w:val="bottom"/>
          </w:tcPr>
          <w:p>
            <w:pPr>
              <w:spacing w:after="0"/>
              <w:rPr>
                <w:sz w:val="20"/>
                <w:szCs w:val="20"/>
                <w:color w:val="auto"/>
              </w:rPr>
            </w:pP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231F20"/>
              </w:rPr>
              <w:t>541</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539</w:t>
            </w:r>
          </w:p>
        </w:tc>
      </w:tr>
      <w:tr>
        <w:trPr>
          <w:trHeight w:val="238"/>
        </w:trPr>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(53)</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65</w:t>
            </w:r>
          </w:p>
        </w:tc>
      </w:tr>
      <w:tr>
        <w:trPr>
          <w:trHeight w:val="235"/>
        </w:trPr>
        <w:tc>
          <w:tcPr>
            <w:tcW w:w="380" w:type="dxa"/>
            <w:vAlign w:val="bottom"/>
          </w:tcPr>
          <w:p>
            <w:pPr>
              <w:spacing w:after="0"/>
              <w:rPr>
                <w:sz w:val="20"/>
                <w:szCs w:val="20"/>
                <w:color w:val="auto"/>
              </w:rPr>
            </w:pPr>
          </w:p>
        </w:tc>
        <w:tc>
          <w:tcPr>
            <w:tcW w:w="1060" w:type="dxa"/>
            <w:vAlign w:val="bottom"/>
          </w:tcPr>
          <w:p>
            <w:pPr>
              <w:jc w:val="right"/>
              <w:ind w:right="63"/>
              <w:spacing w:after="0" w:line="228" w:lineRule="exact"/>
              <w:rPr>
                <w:sz w:val="20"/>
                <w:szCs w:val="20"/>
                <w:color w:val="auto"/>
              </w:rPr>
            </w:pPr>
            <w:r>
              <w:rPr>
                <w:rFonts w:ascii="PMingLiU" w:cs="PMingLiU" w:eastAsia="PMingLiU" w:hAnsi="PMingLiU"/>
                <w:sz w:val="19"/>
                <w:szCs w:val="19"/>
                <w:b w:val="1"/>
                <w:bCs w:val="1"/>
                <w:color w:val="231F20"/>
              </w:rPr>
              <w:t></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238"/>
        </w:trPr>
        <w:tc>
          <w:tcPr>
            <w:tcW w:w="380" w:type="dxa"/>
            <w:vAlign w:val="bottom"/>
          </w:tcPr>
          <w:p>
            <w:pPr>
              <w:spacing w:after="0"/>
              <w:rPr>
                <w:sz w:val="20"/>
                <w:szCs w:val="20"/>
                <w:color w:val="auto"/>
              </w:rPr>
            </w:pP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231F20"/>
              </w:rPr>
              <w:t>58</w:t>
            </w:r>
          </w:p>
        </w:tc>
        <w:tc>
          <w:tcPr>
            <w:tcW w:w="480" w:type="dxa"/>
            <w:vAlign w:val="bottom"/>
          </w:tcPr>
          <w:p>
            <w:pPr>
              <w:spacing w:after="0"/>
              <w:rPr>
                <w:sz w:val="20"/>
                <w:szCs w:val="20"/>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80" w:type="dxa"/>
            <w:vAlign w:val="bottom"/>
          </w:tcPr>
          <w:p>
            <w:pPr>
              <w:spacing w:after="0"/>
              <w:rPr>
                <w:sz w:val="20"/>
                <w:szCs w:val="20"/>
                <w:color w:val="auto"/>
              </w:rPr>
            </w:pP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231F20"/>
              </w:rPr>
              <w:t>3,143</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2,665</w:t>
            </w:r>
          </w:p>
        </w:tc>
      </w:tr>
      <w:tr>
        <w:trPr>
          <w:trHeight w:val="235"/>
        </w:trPr>
        <w:tc>
          <w:tcPr>
            <w:tcW w:w="380" w:type="dxa"/>
            <w:vAlign w:val="bottom"/>
          </w:tcPr>
          <w:p>
            <w:pPr>
              <w:spacing w:after="0"/>
              <w:rPr>
                <w:sz w:val="20"/>
                <w:szCs w:val="20"/>
                <w:color w:val="auto"/>
              </w:rPr>
            </w:pPr>
          </w:p>
        </w:tc>
        <w:tc>
          <w:tcPr>
            <w:tcW w:w="1060" w:type="dxa"/>
            <w:vAlign w:val="bottom"/>
          </w:tcPr>
          <w:p>
            <w:pPr>
              <w:jc w:val="right"/>
              <w:ind w:right="63"/>
              <w:spacing w:after="0"/>
              <w:rPr>
                <w:sz w:val="20"/>
                <w:szCs w:val="20"/>
                <w:color w:val="auto"/>
              </w:rPr>
            </w:pPr>
            <w:r>
              <w:rPr>
                <w:rFonts w:ascii="Arial" w:cs="Arial" w:eastAsia="Arial" w:hAnsi="Arial"/>
                <w:sz w:val="19"/>
                <w:szCs w:val="19"/>
                <w:b w:val="1"/>
                <w:bCs w:val="1"/>
                <w:color w:val="231F20"/>
              </w:rPr>
              <w:t>10,338</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21,399</w:t>
            </w:r>
          </w:p>
        </w:tc>
      </w:tr>
      <w:tr>
        <w:trPr>
          <w:trHeight w:val="238"/>
        </w:trPr>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(181)</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(250)</w:t>
            </w:r>
          </w:p>
        </w:tc>
      </w:tr>
    </w:tbl>
    <w:p>
      <w:pPr>
        <w:spacing w:after="0" w:line="254" w:lineRule="exact"/>
        <w:rPr>
          <w:sz w:val="20"/>
          <w:szCs w:val="20"/>
          <w:color w:val="auto"/>
        </w:rPr>
      </w:pPr>
    </w:p>
    <w:p>
      <w:pPr>
        <w:ind w:left="2300" w:hanging="1374"/>
        <w:spacing w:after="0"/>
        <w:tabs>
          <w:tab w:leader="none" w:pos="2300" w:val="left"/>
        </w:tabs>
        <w:numPr>
          <w:ilvl w:val="0"/>
          <w:numId w:val="53"/>
        </w:numPr>
        <w:rPr>
          <w:rFonts w:ascii="Arial" w:cs="Arial" w:eastAsia="Arial" w:hAnsi="Arial"/>
          <w:sz w:val="19"/>
          <w:szCs w:val="19"/>
          <w:b w:val="1"/>
          <w:bCs w:val="1"/>
          <w:color w:val="231F20"/>
        </w:rPr>
      </w:pPr>
      <w:r>
        <w:rPr>
          <w:rFonts w:ascii="Arial" w:cs="Arial" w:eastAsia="Arial" w:hAnsi="Arial"/>
          <w:sz w:val="19"/>
          <w:szCs w:val="19"/>
          <w:b w:val="1"/>
          <w:bCs w:val="1"/>
          <w:color w:val="231F20"/>
        </w:rPr>
        <w:t>(2,189)</w:t>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218"/>
        </w:trPr>
        <w:tc>
          <w:tcPr>
            <w:tcW w:w="1160" w:type="dxa"/>
            <w:vAlign w:val="bottom"/>
          </w:tcPr>
          <w:p>
            <w:pPr>
              <w:jc w:val="right"/>
              <w:ind w:right="463"/>
              <w:spacing w:after="0"/>
              <w:rPr>
                <w:sz w:val="20"/>
                <w:szCs w:val="20"/>
                <w:color w:val="auto"/>
              </w:rPr>
            </w:pPr>
            <w:r>
              <w:rPr>
                <w:rFonts w:ascii="Arial" w:cs="Arial" w:eastAsia="Arial" w:hAnsi="Arial"/>
                <w:sz w:val="19"/>
                <w:szCs w:val="19"/>
                <w:b w:val="1"/>
                <w:bCs w:val="1"/>
                <w:color w:val="231F20"/>
              </w:rPr>
              <w:t>500</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87</w:t>
            </w:r>
          </w:p>
        </w:tc>
      </w:tr>
      <w:tr>
        <w:trPr>
          <w:trHeight w:val="235"/>
        </w:trPr>
        <w:tc>
          <w:tcPr>
            <w:tcW w:w="1160" w:type="dxa"/>
            <w:vAlign w:val="bottom"/>
          </w:tcPr>
          <w:p>
            <w:pPr>
              <w:jc w:val="right"/>
              <w:ind w:right="463"/>
              <w:spacing w:after="0"/>
              <w:rPr>
                <w:sz w:val="20"/>
                <w:szCs w:val="20"/>
                <w:color w:val="auto"/>
              </w:rPr>
            </w:pPr>
            <w:r>
              <w:rPr>
                <w:rFonts w:ascii="Arial" w:cs="Arial" w:eastAsia="Arial" w:hAnsi="Arial"/>
                <w:sz w:val="19"/>
                <w:szCs w:val="19"/>
                <w:b w:val="1"/>
                <w:bCs w:val="1"/>
                <w:color w:val="231F20"/>
              </w:rPr>
              <w:t>1,015</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751</w:t>
            </w:r>
          </w:p>
        </w:tc>
      </w:tr>
      <w:tr>
        <w:trPr>
          <w:trHeight w:val="238"/>
        </w:trPr>
        <w:tc>
          <w:tcPr>
            <w:tcW w:w="1160" w:type="dxa"/>
            <w:vAlign w:val="bottom"/>
          </w:tcPr>
          <w:p>
            <w:pPr>
              <w:jc w:val="right"/>
              <w:ind w:right="383"/>
              <w:spacing w:after="0"/>
              <w:rPr>
                <w:sz w:val="20"/>
                <w:szCs w:val="20"/>
                <w:color w:val="auto"/>
              </w:rPr>
            </w:pPr>
            <w:r>
              <w:rPr>
                <w:rFonts w:ascii="Arial" w:cs="Arial" w:eastAsia="Arial" w:hAnsi="Arial"/>
                <w:sz w:val="19"/>
                <w:szCs w:val="19"/>
                <w:b w:val="1"/>
                <w:bCs w:val="1"/>
                <w:color w:val="231F20"/>
                <w:w w:val="93"/>
              </w:rPr>
              <w:t>(13,899)</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(4,899)</w:t>
            </w:r>
          </w:p>
        </w:tc>
      </w:tr>
      <w:tr>
        <w:trPr>
          <w:trHeight w:val="238"/>
        </w:trPr>
        <w:tc>
          <w:tcPr>
            <w:tcW w:w="1160" w:type="dxa"/>
            <w:vAlign w:val="bottom"/>
          </w:tcPr>
          <w:p>
            <w:pPr>
              <w:jc w:val="right"/>
              <w:ind w:right="463"/>
              <w:spacing w:after="0"/>
              <w:rPr>
                <w:sz w:val="20"/>
                <w:szCs w:val="20"/>
                <w:color w:val="auto"/>
              </w:rPr>
            </w:pPr>
            <w:r>
              <w:rPr>
                <w:rFonts w:ascii="Arial" w:cs="Arial" w:eastAsia="Arial" w:hAnsi="Arial"/>
                <w:sz w:val="19"/>
                <w:szCs w:val="19"/>
                <w:b w:val="1"/>
                <w:bCs w:val="1"/>
                <w:color w:val="231F20"/>
                <w:w w:val="99"/>
              </w:rPr>
              <w:t>12,987</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1,956</w:t>
            </w:r>
          </w:p>
        </w:tc>
      </w:tr>
    </w:tbl>
    <w:p>
      <w:pPr>
        <w:spacing w:after="0" w:line="17" w:lineRule="exact"/>
        <w:rPr>
          <w:sz w:val="20"/>
          <w:szCs w:val="20"/>
          <w:color w:val="auto"/>
        </w:rPr>
      </w:pPr>
    </w:p>
    <w:p>
      <w:pPr>
        <w:ind w:left="2360" w:hanging="1434"/>
        <w:spacing w:after="0"/>
        <w:tabs>
          <w:tab w:leader="none" w:pos="2360" w:val="left"/>
        </w:tabs>
        <w:numPr>
          <w:ilvl w:val="0"/>
          <w:numId w:val="54"/>
        </w:numPr>
        <w:rPr>
          <w:rFonts w:ascii="Arial" w:cs="Arial" w:eastAsia="Arial" w:hAnsi="Arial"/>
          <w:sz w:val="19"/>
          <w:szCs w:val="19"/>
          <w:b w:val="1"/>
          <w:bCs w:val="1"/>
          <w:color w:val="231F20"/>
        </w:rPr>
      </w:pPr>
      <w:r>
        <w:rPr>
          <w:rFonts w:ascii="Arial" w:cs="Arial" w:eastAsia="Arial" w:hAnsi="Arial"/>
          <w:sz w:val="19"/>
          <w:szCs w:val="19"/>
          <w:b w:val="1"/>
          <w:bCs w:val="1"/>
          <w:color w:val="231F20"/>
        </w:rPr>
        <w:t>1,219</w:t>
      </w:r>
    </w:p>
    <w:p>
      <w:pPr>
        <w:spacing w:after="0" w:line="19" w:lineRule="exact"/>
        <w:rPr>
          <w:sz w:val="20"/>
          <w:szCs w:val="20"/>
          <w:color w:val="auto"/>
        </w:rPr>
      </w:pPr>
    </w:p>
    <w:p>
      <w:pPr>
        <w:ind w:left="840"/>
        <w:spacing w:after="0"/>
        <w:tabs>
          <w:tab w:leader="none" w:pos="2500" w:val="left"/>
        </w:tabs>
        <w:rPr>
          <w:sz w:val="20"/>
          <w:szCs w:val="20"/>
          <w:color w:val="auto"/>
        </w:rPr>
      </w:pPr>
      <w:r>
        <w:rPr>
          <w:rFonts w:ascii="Arial" w:cs="Arial" w:eastAsia="Arial" w:hAnsi="Arial"/>
          <w:sz w:val="19"/>
          <w:szCs w:val="19"/>
          <w:b w:val="1"/>
          <w:bCs w:val="1"/>
          <w:color w:val="231F20"/>
        </w:rPr>
        <w:t>1,610</w:t>
      </w:r>
      <w:r>
        <w:rPr>
          <w:sz w:val="20"/>
          <w:szCs w:val="20"/>
          <w:color w:val="auto"/>
        </w:rPr>
        <w:tab/>
      </w:r>
      <w:r>
        <w:rPr>
          <w:rFonts w:ascii="Arial" w:cs="Arial" w:eastAsia="Arial" w:hAnsi="Arial"/>
          <w:sz w:val="19"/>
          <w:szCs w:val="19"/>
          <w:b w:val="1"/>
          <w:bCs w:val="1"/>
          <w:color w:val="231F20"/>
        </w:rPr>
        <w:t>675</w:t>
      </w:r>
    </w:p>
    <w:p>
      <w:pPr>
        <w:spacing w:after="0" w:line="17" w:lineRule="exact"/>
        <w:rPr>
          <w:sz w:val="20"/>
          <w:szCs w:val="20"/>
          <w:color w:val="auto"/>
        </w:rPr>
      </w:pPr>
    </w:p>
    <w:p>
      <w:pPr>
        <w:ind w:left="2440" w:hanging="1514"/>
        <w:spacing w:after="0"/>
        <w:tabs>
          <w:tab w:leader="none" w:pos="2440" w:val="left"/>
        </w:tabs>
        <w:numPr>
          <w:ilvl w:val="0"/>
          <w:numId w:val="55"/>
        </w:numPr>
        <w:rPr>
          <w:rFonts w:ascii="Arial" w:cs="Arial" w:eastAsia="Arial" w:hAnsi="Arial"/>
          <w:sz w:val="19"/>
          <w:szCs w:val="19"/>
          <w:b w:val="1"/>
          <w:bCs w:val="1"/>
          <w:color w:val="231F20"/>
        </w:rPr>
      </w:pPr>
      <w:r>
        <w:rPr>
          <w:rFonts w:ascii="Arial" w:cs="Arial" w:eastAsia="Arial" w:hAnsi="Arial"/>
          <w:sz w:val="19"/>
          <w:szCs w:val="19"/>
          <w:b w:val="1"/>
          <w:bCs w:val="1"/>
          <w:color w:val="231F20"/>
        </w:rPr>
        <w:t>(559)</w:t>
      </w:r>
    </w:p>
    <w:p>
      <w:pPr>
        <w:spacing w:after="0" w:line="19" w:lineRule="exact"/>
        <w:rPr>
          <w:sz w:val="20"/>
          <w:szCs w:val="20"/>
          <w:color w:val="auto"/>
        </w:rPr>
      </w:pPr>
    </w:p>
    <w:p>
      <w:pPr>
        <w:ind w:left="2540" w:hanging="1518"/>
        <w:spacing w:after="0"/>
        <w:tabs>
          <w:tab w:leader="none" w:pos="2540" w:val="left"/>
        </w:tabs>
        <w:numPr>
          <w:ilvl w:val="0"/>
          <w:numId w:val="56"/>
        </w:numPr>
        <w:rPr>
          <w:rFonts w:ascii="Arial" w:cs="Arial" w:eastAsia="Arial" w:hAnsi="Arial"/>
          <w:sz w:val="19"/>
          <w:szCs w:val="19"/>
          <w:b w:val="1"/>
          <w:bCs w:val="1"/>
          <w:color w:val="231F20"/>
        </w:rPr>
      </w:pPr>
      <w:r>
        <w:rPr>
          <w:rFonts w:ascii="Arial" w:cs="Arial" w:eastAsia="Arial" w:hAnsi="Arial"/>
          <w:sz w:val="19"/>
          <w:szCs w:val="19"/>
          <w:b w:val="1"/>
          <w:bCs w:val="1"/>
          <w:color w:val="231F20"/>
        </w:rPr>
        <w:t>(84)</w:t>
      </w:r>
    </w:p>
    <w:p>
      <w:pPr>
        <w:spacing w:after="0" w:line="34" w:lineRule="exact"/>
        <w:rPr>
          <w:sz w:val="20"/>
          <w:szCs w:val="20"/>
          <w:color w:val="auto"/>
        </w:rPr>
      </w:pPr>
    </w:p>
    <w:p>
      <w:pPr>
        <w:ind w:left="680"/>
        <w:spacing w:after="0"/>
        <w:tabs>
          <w:tab w:leader="none" w:pos="2280" w:val="left"/>
        </w:tabs>
        <w:rPr>
          <w:sz w:val="20"/>
          <w:szCs w:val="20"/>
          <w:color w:val="auto"/>
        </w:rPr>
      </w:pPr>
      <w:r>
        <w:rPr>
          <w:rFonts w:ascii="Arial" w:cs="Arial" w:eastAsia="Arial" w:hAnsi="Arial"/>
          <w:sz w:val="19"/>
          <w:szCs w:val="19"/>
          <w:b w:val="1"/>
          <w:bCs w:val="1"/>
          <w:color w:val="231F20"/>
        </w:rPr>
        <w:t>(14,831)</w:t>
      </w:r>
      <w:r>
        <w:rPr>
          <w:sz w:val="20"/>
          <w:szCs w:val="20"/>
          <w:color w:val="auto"/>
        </w:rPr>
        <w:tab/>
      </w:r>
      <w:r>
        <w:rPr>
          <w:rFonts w:ascii="Arial" w:cs="Arial" w:eastAsia="Arial" w:hAnsi="Arial"/>
          <w:sz w:val="19"/>
          <w:szCs w:val="19"/>
          <w:b w:val="1"/>
          <w:bCs w:val="1"/>
          <w:color w:val="231F20"/>
        </w:rPr>
        <w:t>(2,275)</w:t>
      </w:r>
    </w:p>
    <w:p>
      <w:pPr>
        <w:spacing w:after="0" w:line="269" w:lineRule="exact"/>
        <w:rPr>
          <w:sz w:val="20"/>
          <w:szCs w:val="20"/>
          <w:color w:val="auto"/>
        </w:rPr>
      </w:pPr>
    </w:p>
    <w:p>
      <w:pPr>
        <w:ind w:left="2440" w:hanging="1418"/>
        <w:spacing w:after="0"/>
        <w:tabs>
          <w:tab w:leader="none" w:pos="2440" w:val="left"/>
        </w:tabs>
        <w:numPr>
          <w:ilvl w:val="0"/>
          <w:numId w:val="57"/>
        </w:numPr>
        <w:rPr>
          <w:rFonts w:ascii="Arial" w:cs="Arial" w:eastAsia="Arial" w:hAnsi="Arial"/>
          <w:sz w:val="19"/>
          <w:szCs w:val="19"/>
          <w:b w:val="1"/>
          <w:bCs w:val="1"/>
          <w:color w:val="231F20"/>
        </w:rPr>
      </w:pPr>
      <w:r>
        <w:rPr>
          <w:rFonts w:ascii="Arial" w:cs="Arial" w:eastAsia="Arial" w:hAnsi="Arial"/>
          <w:sz w:val="19"/>
          <w:szCs w:val="19"/>
          <w:b w:val="1"/>
          <w:bCs w:val="1"/>
          <w:color w:val="231F20"/>
        </w:rPr>
        <w:t>(156)</w:t>
      </w:r>
    </w:p>
    <w:p>
      <w:pPr>
        <w:spacing w:after="0" w:line="19" w:lineRule="exact"/>
        <w:rPr>
          <w:rFonts w:ascii="Arial" w:cs="Arial" w:eastAsia="Arial" w:hAnsi="Arial"/>
          <w:sz w:val="19"/>
          <w:szCs w:val="19"/>
          <w:b w:val="1"/>
          <w:bCs w:val="1"/>
          <w:color w:val="231F20"/>
        </w:rPr>
      </w:pPr>
    </w:p>
    <w:p>
      <w:pPr>
        <w:ind w:left="680"/>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(11,878)</w:t>
      </w:r>
      <w:r>
        <w:rPr>
          <w:rFonts w:ascii="Arial" w:cs="Arial" w:eastAsia="Arial" w:hAnsi="Arial"/>
          <w:sz w:val="18"/>
          <w:szCs w:val="18"/>
          <w:b w:val="1"/>
          <w:bCs w:val="1"/>
          <w:color w:val="231F20"/>
        </w:rPr>
        <w:t>(10,245)</w:t>
      </w:r>
    </w:p>
    <w:p>
      <w:pPr>
        <w:spacing w:after="0" w:line="17" w:lineRule="exact"/>
        <w:rPr>
          <w:sz w:val="20"/>
          <w:szCs w:val="20"/>
          <w:color w:val="auto"/>
        </w:rPr>
      </w:pPr>
    </w:p>
    <w:tbl>
      <w:tblPr>
        <w:tblLayout w:type="fixed"/>
        <w:tblInd w:w="740" w:type="dxa"/>
        <w:tblCellMar>
          <w:top w:w="0" w:type="dxa"/>
          <w:left w:w="0" w:type="dxa"/>
          <w:bottom w:w="0" w:type="dxa"/>
          <w:right w:w="0" w:type="dxa"/>
        </w:tblCellMar>
      </w:tblPr>
      <w:tr>
        <w:trPr>
          <w:trHeight w:val="218"/>
        </w:trPr>
        <w:tc>
          <w:tcPr>
            <w:tcW w:w="1060" w:type="dxa"/>
            <w:vAlign w:val="bottom"/>
          </w:tcPr>
          <w:p>
            <w:pPr>
              <w:jc w:val="right"/>
              <w:ind w:right="423"/>
              <w:spacing w:after="0"/>
              <w:rPr>
                <w:sz w:val="20"/>
                <w:szCs w:val="20"/>
                <w:color w:val="auto"/>
              </w:rPr>
            </w:pPr>
            <w:r>
              <w:rPr>
                <w:rFonts w:ascii="Arial" w:cs="Arial" w:eastAsia="Arial" w:hAnsi="Arial"/>
                <w:sz w:val="19"/>
                <w:szCs w:val="19"/>
                <w:b w:val="1"/>
                <w:bCs w:val="1"/>
                <w:color w:val="231F20"/>
                <w:w w:val="89"/>
              </w:rPr>
              <w:t>13,245</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8,240</w:t>
            </w:r>
          </w:p>
        </w:tc>
      </w:tr>
      <w:tr>
        <w:trPr>
          <w:trHeight w:val="252"/>
        </w:trPr>
        <w:tc>
          <w:tcPr>
            <w:tcW w:w="1060" w:type="dxa"/>
            <w:vAlign w:val="bottom"/>
          </w:tcPr>
          <w:p>
            <w:pPr>
              <w:jc w:val="right"/>
              <w:ind w:right="423"/>
              <w:spacing w:after="0"/>
              <w:rPr>
                <w:sz w:val="20"/>
                <w:szCs w:val="20"/>
                <w:color w:val="auto"/>
              </w:rPr>
            </w:pPr>
            <w:r>
              <w:rPr>
                <w:rFonts w:ascii="Arial" w:cs="Arial" w:eastAsia="Arial" w:hAnsi="Arial"/>
                <w:sz w:val="19"/>
                <w:szCs w:val="19"/>
                <w:b w:val="1"/>
                <w:bCs w:val="1"/>
                <w:color w:val="231F20"/>
              </w:rPr>
              <w:t>1,284</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(2,161)</w:t>
            </w:r>
          </w:p>
        </w:tc>
      </w:tr>
      <w:tr>
        <w:trPr>
          <w:trHeight w:val="487"/>
        </w:trPr>
        <w:tc>
          <w:tcPr>
            <w:tcW w:w="1060" w:type="dxa"/>
            <w:vAlign w:val="bottom"/>
          </w:tcPr>
          <w:p>
            <w:pPr>
              <w:jc w:val="right"/>
              <w:ind w:right="423"/>
              <w:spacing w:after="0"/>
              <w:rPr>
                <w:sz w:val="20"/>
                <w:szCs w:val="20"/>
                <w:color w:val="auto"/>
              </w:rPr>
            </w:pPr>
            <w:r>
              <w:rPr>
                <w:rFonts w:ascii="Arial" w:cs="Arial" w:eastAsia="Arial" w:hAnsi="Arial"/>
                <w:sz w:val="19"/>
                <w:szCs w:val="19"/>
                <w:b w:val="1"/>
                <w:bCs w:val="1"/>
                <w:color w:val="231F20"/>
                <w:w w:val="89"/>
              </w:rPr>
              <w:t>10,000</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461"/>
        </w:trPr>
        <w:tc>
          <w:tcPr>
            <w:tcW w:w="1060" w:type="dxa"/>
            <w:vAlign w:val="bottom"/>
          </w:tcPr>
          <w:p>
            <w:pPr>
              <w:jc w:val="right"/>
              <w:ind w:right="423"/>
              <w:spacing w:after="0"/>
              <w:rPr>
                <w:sz w:val="20"/>
                <w:szCs w:val="20"/>
                <w:color w:val="auto"/>
              </w:rPr>
            </w:pPr>
            <w:r>
              <w:rPr>
                <w:rFonts w:ascii="Arial" w:cs="Arial" w:eastAsia="Arial" w:hAnsi="Arial"/>
                <w:sz w:val="19"/>
                <w:szCs w:val="19"/>
                <w:b w:val="1"/>
                <w:bCs w:val="1"/>
                <w:color w:val="231F20"/>
              </w:rPr>
              <w:t>590</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306</w:t>
            </w:r>
          </w:p>
        </w:tc>
      </w:tr>
      <w:tr>
        <w:trPr>
          <w:trHeight w:val="235"/>
        </w:trPr>
        <w:tc>
          <w:tcPr>
            <w:tcW w:w="1060" w:type="dxa"/>
            <w:vAlign w:val="bottom"/>
          </w:tcPr>
          <w:p>
            <w:pPr>
              <w:jc w:val="right"/>
              <w:ind w:right="423"/>
              <w:spacing w:after="0"/>
              <w:rPr>
                <w:sz w:val="20"/>
                <w:szCs w:val="20"/>
                <w:color w:val="auto"/>
              </w:rPr>
            </w:pPr>
            <w:r>
              <w:rPr>
                <w:rFonts w:ascii="Arial" w:cs="Arial" w:eastAsia="Arial" w:hAnsi="Arial"/>
                <w:sz w:val="19"/>
                <w:szCs w:val="19"/>
                <w:b w:val="1"/>
                <w:bCs w:val="1"/>
                <w:color w:val="231F20"/>
              </w:rPr>
              <w:t>93</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58</w:t>
            </w:r>
          </w:p>
        </w:tc>
      </w:tr>
    </w:tbl>
    <w:p>
      <w:pPr>
        <w:spacing w:after="0" w:line="19" w:lineRule="exact"/>
        <w:rPr>
          <w:sz w:val="20"/>
          <w:szCs w:val="20"/>
          <w:color w:val="auto"/>
        </w:rPr>
      </w:pPr>
    </w:p>
    <w:p>
      <w:pPr>
        <w:ind w:left="2440" w:hanging="1514"/>
        <w:spacing w:after="0"/>
        <w:tabs>
          <w:tab w:leader="none" w:pos="2440" w:val="left"/>
        </w:tabs>
        <w:numPr>
          <w:ilvl w:val="0"/>
          <w:numId w:val="58"/>
        </w:numPr>
        <w:rPr>
          <w:rFonts w:ascii="Arial" w:cs="Arial" w:eastAsia="Arial" w:hAnsi="Arial"/>
          <w:sz w:val="19"/>
          <w:szCs w:val="19"/>
          <w:b w:val="1"/>
          <w:bCs w:val="1"/>
          <w:color w:val="231F20"/>
        </w:rPr>
      </w:pPr>
      <w:r>
        <w:rPr>
          <w:rFonts w:ascii="Arial" w:cs="Arial" w:eastAsia="Arial" w:hAnsi="Arial"/>
          <w:sz w:val="19"/>
          <w:szCs w:val="19"/>
          <w:b w:val="1"/>
          <w:bCs w:val="1"/>
          <w:color w:val="231F20"/>
        </w:rPr>
        <w:t>(188)</w:t>
      </w:r>
    </w:p>
    <w:p>
      <w:pPr>
        <w:spacing w:after="0" w:line="7" w:lineRule="exact"/>
        <w:rPr>
          <w:sz w:val="20"/>
          <w:szCs w:val="20"/>
          <w:color w:val="auto"/>
        </w:rPr>
      </w:pPr>
    </w:p>
    <w:p>
      <w:pPr>
        <w:ind w:left="2540" w:hanging="1454"/>
        <w:spacing w:after="0"/>
        <w:tabs>
          <w:tab w:leader="none" w:pos="2540" w:val="left"/>
        </w:tabs>
        <w:numPr>
          <w:ilvl w:val="0"/>
          <w:numId w:val="5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(98)</w:t>
      </w:r>
    </w:p>
    <w:p>
      <w:pPr>
        <w:ind w:left="740"/>
        <w:spacing w:after="0"/>
        <w:rPr>
          <w:rFonts w:ascii="PMingLiU" w:cs="PMingLiU" w:eastAsia="PMingLiU" w:hAnsi="PMingLiU"/>
          <w:sz w:val="19"/>
          <w:szCs w:val="19"/>
          <w:b w:val="1"/>
          <w:bCs w:val="1"/>
          <w:color w:val="231F20"/>
        </w:rPr>
      </w:pPr>
      <w:r>
        <w:rPr>
          <w:rFonts w:ascii="Arial" w:cs="Arial" w:eastAsia="Arial" w:hAnsi="Arial"/>
          <w:sz w:val="19"/>
          <w:szCs w:val="19"/>
          <w:b w:val="1"/>
          <w:bCs w:val="1"/>
          <w:color w:val="231F20"/>
        </w:rPr>
        <w:t>10,258</w:t>
      </w:r>
      <w:r>
        <w:rPr>
          <w:rFonts w:ascii="PMingLiU" w:cs="PMingLiU" w:eastAsia="PMingLiU" w:hAnsi="PMingLiU"/>
          <w:sz w:val="1"/>
          <w:szCs w:val="1"/>
          <w:b w:val="1"/>
          <w:bCs w:val="1"/>
          <w:color w:val="231F20"/>
        </w:rPr>
        <w:drawing>
          <wp:inline distT="0" distB="0" distL="0" distR="0">
            <wp:extent cx="170180" cy="1524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180" cy="152400"/>
                    </a:xfrm>
                    <a:prstGeom prst="rect">
                      <a:avLst/>
                    </a:prstGeom>
                    <a:noFill/>
                    <a:ln>
                      <a:noFill/>
                    </a:ln>
                  </pic:spPr>
                </pic:pic>
              </a:graphicData>
            </a:graphic>
          </wp:inline>
        </w:drawing>
      </w:r>
      <w:r>
        <w:rPr>
          <w:rFonts w:ascii="Arial" w:cs="Arial" w:eastAsia="Arial" w:hAnsi="Arial"/>
          <w:sz w:val="19"/>
          <w:szCs w:val="19"/>
          <w:b w:val="1"/>
          <w:bCs w:val="1"/>
          <w:color w:val="231F20"/>
        </w:rPr>
        <w:t xml:space="preserve">           78</w:t>
      </w:r>
      <w:r>
        <w:rPr>
          <w:rFonts w:ascii="PMingLiU" w:cs="PMingLiU" w:eastAsia="PMingLiU" w:hAnsi="PMingLiU"/>
          <w:sz w:val="1"/>
          <w:szCs w:val="1"/>
          <w:b w:val="1"/>
          <w:bCs w:val="1"/>
          <w:color w:val="231F20"/>
        </w:rPr>
        <w:drawing>
          <wp:inline distT="0" distB="0" distL="0" distR="0">
            <wp:extent cx="78740" cy="1524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8740" cy="152400"/>
                    </a:xfrm>
                    <a:prstGeom prst="rect">
                      <a:avLst/>
                    </a:prstGeom>
                    <a:noFill/>
                    <a:ln>
                      <a:noFill/>
                    </a:ln>
                  </pic:spPr>
                </pic:pic>
              </a:graphicData>
            </a:graphic>
          </wp:inline>
        </w:drawing>
      </w:r>
    </w:p>
    <w:p>
      <w:pPr>
        <w:spacing w:after="0" w:line="22" w:lineRule="exact"/>
        <w:rPr>
          <w:rFonts w:ascii="PMingLiU" w:cs="PMingLiU" w:eastAsia="PMingLiU" w:hAnsi="PMingLiU"/>
          <w:sz w:val="19"/>
          <w:szCs w:val="19"/>
          <w:b w:val="1"/>
          <w:bCs w:val="1"/>
          <w:color w:val="231F20"/>
        </w:rPr>
      </w:pPr>
    </w:p>
    <w:p>
      <w:pPr>
        <w:ind w:left="780"/>
        <w:spacing w:after="0"/>
        <w:rPr>
          <w:rFonts w:ascii="PMingLiU" w:cs="PMingLiU" w:eastAsia="PMingLiU" w:hAnsi="PMingLiU"/>
          <w:sz w:val="19"/>
          <w:szCs w:val="19"/>
          <w:b w:val="1"/>
          <w:bCs w:val="1"/>
          <w:color w:val="231F20"/>
        </w:rPr>
      </w:pPr>
      <w:r>
        <w:rPr>
          <w:rFonts w:ascii="Arial" w:cs="Arial" w:eastAsia="Arial" w:hAnsi="Arial"/>
          <w:sz w:val="19"/>
          <w:szCs w:val="19"/>
          <w:b w:val="1"/>
          <w:bCs w:val="1"/>
          <w:color w:val="231F20"/>
        </w:rPr>
        <w:t>(3,289)</w:t>
      </w:r>
      <w:r>
        <w:rPr>
          <w:rFonts w:ascii="Arial" w:cs="Arial" w:eastAsia="Arial" w:hAnsi="Arial"/>
          <w:sz w:val="18"/>
          <w:szCs w:val="18"/>
          <w:b w:val="1"/>
          <w:bCs w:val="1"/>
          <w:color w:val="231F20"/>
        </w:rPr>
        <w:t>(4,358)</w:t>
      </w:r>
    </w:p>
    <w:p>
      <w:pPr>
        <w:ind w:left="740"/>
        <w:spacing w:after="0"/>
        <w:rPr>
          <w:rFonts w:ascii="PMingLiU" w:cs="PMingLiU" w:eastAsia="PMingLiU" w:hAnsi="PMingLiU"/>
          <w:sz w:val="19"/>
          <w:szCs w:val="19"/>
          <w:b w:val="1"/>
          <w:bCs w:val="1"/>
          <w:color w:val="231F20"/>
        </w:rPr>
      </w:pPr>
      <w:r>
        <w:rPr>
          <w:rFonts w:ascii="Arial" w:cs="Arial" w:eastAsia="Arial" w:hAnsi="Arial"/>
          <w:sz w:val="19"/>
          <w:szCs w:val="19"/>
          <w:b w:val="1"/>
          <w:bCs w:val="1"/>
          <w:color w:val="231F20"/>
        </w:rPr>
        <w:t>16,263</w:t>
      </w:r>
      <w:r>
        <w:rPr>
          <w:rFonts w:ascii="Arial" w:cs="Arial" w:eastAsia="Arial" w:hAnsi="Arial"/>
          <w:sz w:val="17"/>
          <w:szCs w:val="17"/>
          <w:b w:val="1"/>
          <w:bCs w:val="1"/>
          <w:color w:val="231F20"/>
        </w:rPr>
        <w:t>20,621</w:t>
      </w:r>
    </w:p>
    <w:p>
      <w:pPr>
        <w:spacing w:after="0"/>
        <w:tabs>
          <w:tab w:leader="none" w:pos="720" w:val="left"/>
          <w:tab w:leader="none" w:pos="2240" w:val="left"/>
        </w:tabs>
        <w:rPr>
          <w:sz w:val="20"/>
          <w:szCs w:val="20"/>
          <w:color w:val="auto"/>
        </w:rPr>
      </w:pPr>
      <w:r>
        <w:rPr>
          <w:rFonts w:ascii="Arial" w:cs="Arial" w:eastAsia="Arial" w:hAnsi="Arial"/>
          <w:sz w:val="19"/>
          <w:szCs w:val="19"/>
          <w:b w:val="1"/>
          <w:bCs w:val="1"/>
          <w:color w:val="231F20"/>
        </w:rPr>
        <w:t>$</w:t>
      </w:r>
      <w:r>
        <w:rPr>
          <w:sz w:val="20"/>
          <w:szCs w:val="20"/>
          <w:color w:val="auto"/>
        </w:rPr>
        <w:tab/>
      </w:r>
      <w:r>
        <w:rPr>
          <w:rFonts w:ascii="Arial" w:cs="Arial" w:eastAsia="Arial" w:hAnsi="Arial"/>
          <w:sz w:val="19"/>
          <w:szCs w:val="19"/>
          <w:b w:val="1"/>
          <w:bCs w:val="1"/>
          <w:color w:val="231F20"/>
        </w:rPr>
        <w:t>12,974</w:t>
      </w:r>
      <w:r>
        <w:rPr>
          <w:sz w:val="1"/>
          <w:szCs w:val="1"/>
          <w:color w:val="auto"/>
        </w:rPr>
        <w:drawing>
          <wp:inline distT="0" distB="0" distL="0" distR="0">
            <wp:extent cx="170180" cy="1524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180" cy="152400"/>
                    </a:xfrm>
                    <a:prstGeom prst="rect">
                      <a:avLst/>
                    </a:prstGeom>
                    <a:noFill/>
                    <a:ln>
                      <a:noFill/>
                    </a:ln>
                  </pic:spPr>
                </pic:pic>
              </a:graphicData>
            </a:graphic>
          </wp:inline>
        </w:drawing>
      </w:r>
      <w:r>
        <w:rPr>
          <w:rFonts w:ascii="Arial" w:cs="Arial" w:eastAsia="Arial" w:hAnsi="Arial"/>
          <w:sz w:val="19"/>
          <w:szCs w:val="19"/>
          <w:b w:val="1"/>
          <w:bCs w:val="1"/>
          <w:color w:val="231F20"/>
        </w:rPr>
        <w:t>$</w:t>
      </w:r>
      <w:r>
        <w:rPr>
          <w:sz w:val="20"/>
          <w:szCs w:val="20"/>
          <w:color w:val="auto"/>
        </w:rPr>
        <w:tab/>
      </w:r>
      <w:r>
        <w:rPr>
          <w:rFonts w:ascii="Arial" w:cs="Arial" w:eastAsia="Arial" w:hAnsi="Arial"/>
          <w:sz w:val="17"/>
          <w:szCs w:val="17"/>
          <w:b w:val="1"/>
          <w:bCs w:val="1"/>
          <w:color w:val="231F20"/>
        </w:rPr>
        <w:t>16,263</w:t>
      </w:r>
    </w:p>
    <w:p>
      <w:pPr>
        <w:spacing w:after="0" w:line="282" w:lineRule="exact"/>
        <w:rPr>
          <w:sz w:val="20"/>
          <w:szCs w:val="20"/>
          <w:color w:val="auto"/>
        </w:rPr>
      </w:pPr>
    </w:p>
    <w:p>
      <w:pPr>
        <w:sectPr>
          <w:pgSz w:w="12240" w:h="15840" w:orient="portrait"/>
          <w:cols w:equalWidth="0" w:num="2">
            <w:col w:w="5960" w:space="360"/>
            <w:col w:w="3040"/>
          </w:cols>
          <w:pgMar w:left="1440" w:top="1357" w:right="1440" w:bottom="378" w:gutter="0" w:footer="0" w:header="0"/>
          <w:type w:val="continuous"/>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The accompanying notes are an integral part of these financial statements</w:t>
      </w:r>
    </w:p>
    <w:p>
      <w:pPr>
        <w:sectPr>
          <w:pgSz w:w="12240" w:h="15840" w:orient="portrait"/>
          <w:cols w:equalWidth="0" w:num="1">
            <w:col w:w="9360"/>
          </w:cols>
          <w:pgMar w:left="1440" w:top="1357" w:right="1440" w:bottom="37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F-4</w:t>
      </w:r>
    </w:p>
    <w:p>
      <w:pPr>
        <w:sectPr>
          <w:pgSz w:w="12240" w:h="15840" w:orient="portrait"/>
          <w:cols w:equalWidth="0" w:num="1">
            <w:col w:w="9360"/>
          </w:cols>
          <w:pgMar w:left="1440" w:top="1357" w:right="1440" w:bottom="378"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9"/>
          <w:szCs w:val="19"/>
          <w:b w:val="1"/>
          <w:bCs w:val="1"/>
          <w:color w:val="231F20"/>
        </w:rPr>
        <w:t>LENSAR,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(In thousands)</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40" w:type="dxa"/>
            <w:vAlign w:val="bottom"/>
            <w:gridSpan w:val="3"/>
          </w:tcPr>
          <w:p>
            <w:pPr>
              <w:jc w:val="right"/>
              <w:ind w:right="449"/>
              <w:spacing w:after="0"/>
              <w:rPr>
                <w:sz w:val="20"/>
                <w:szCs w:val="20"/>
                <w:color w:val="auto"/>
              </w:rPr>
            </w:pPr>
            <w:r>
              <w:rPr>
                <w:rFonts w:ascii="Arial" w:cs="Arial" w:eastAsia="Arial" w:hAnsi="Arial"/>
                <w:sz w:val="16"/>
                <w:szCs w:val="16"/>
                <w:b w:val="1"/>
                <w:bCs w:val="1"/>
                <w:color w:val="231F20"/>
              </w:rPr>
              <w:t>Year Ended December 31,</w:t>
            </w:r>
          </w:p>
        </w:tc>
      </w:tr>
      <w:tr>
        <w:trPr>
          <w:trHeight w:val="206"/>
        </w:trPr>
        <w:tc>
          <w:tcPr>
            <w:tcW w:w="5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Arial" w:cs="Arial" w:eastAsia="Arial" w:hAnsi="Arial"/>
                <w:sz w:val="16"/>
                <w:szCs w:val="16"/>
                <w:b w:val="1"/>
                <w:bCs w:val="1"/>
                <w:color w:val="231F20"/>
              </w:rPr>
              <w:t>2025</w:t>
            </w:r>
          </w:p>
        </w:tc>
        <w:tc>
          <w:tcPr>
            <w:tcW w:w="420" w:type="dxa"/>
            <w:vAlign w:val="bottom"/>
          </w:tcPr>
          <w:p>
            <w:pPr>
              <w:spacing w:after="0"/>
              <w:rPr>
                <w:sz w:val="17"/>
                <w:szCs w:val="17"/>
                <w:color w:val="auto"/>
              </w:rPr>
            </w:pPr>
          </w:p>
        </w:tc>
        <w:tc>
          <w:tcPr>
            <w:tcW w:w="1000" w:type="dxa"/>
            <w:vAlign w:val="bottom"/>
          </w:tcPr>
          <w:p>
            <w:pPr>
              <w:jc w:val="right"/>
              <w:ind w:right="389"/>
              <w:spacing w:after="0"/>
              <w:rPr>
                <w:sz w:val="20"/>
                <w:szCs w:val="20"/>
                <w:color w:val="auto"/>
              </w:rPr>
            </w:pPr>
            <w:r>
              <w:rPr>
                <w:rFonts w:ascii="Arial" w:cs="Arial" w:eastAsia="Arial" w:hAnsi="Arial"/>
                <w:sz w:val="16"/>
                <w:szCs w:val="16"/>
                <w:b w:val="1"/>
                <w:bCs w:val="1"/>
                <w:color w:val="231F20"/>
              </w:rPr>
              <w:t>2024</w:t>
            </w:r>
          </w:p>
        </w:tc>
      </w:tr>
      <w:tr>
        <w:trPr>
          <w:trHeight w:val="253"/>
        </w:trPr>
        <w:tc>
          <w:tcPr>
            <w:tcW w:w="5920" w:type="dxa"/>
            <w:vAlign w:val="bottom"/>
          </w:tcPr>
          <w:p>
            <w:pPr>
              <w:spacing w:after="0"/>
              <w:rPr>
                <w:sz w:val="20"/>
                <w:szCs w:val="20"/>
                <w:color w:val="auto"/>
              </w:rPr>
            </w:pPr>
            <w:r>
              <w:rPr>
                <w:rFonts w:ascii="Arial" w:cs="Arial" w:eastAsia="Arial" w:hAnsi="Arial"/>
                <w:sz w:val="19"/>
                <w:szCs w:val="19"/>
                <w:b w:val="1"/>
                <w:bCs w:val="1"/>
                <w:color w:val="231F20"/>
              </w:rPr>
              <w:t>Supplemental cash flow information</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5"/>
        </w:trPr>
        <w:tc>
          <w:tcPr>
            <w:tcW w:w="5920" w:type="dxa"/>
            <w:vAlign w:val="bottom"/>
          </w:tcPr>
          <w:p>
            <w:pPr>
              <w:ind w:left="100"/>
              <w:spacing w:after="0"/>
              <w:rPr>
                <w:sz w:val="20"/>
                <w:szCs w:val="20"/>
                <w:color w:val="auto"/>
              </w:rPr>
            </w:pPr>
            <w:r>
              <w:rPr>
                <w:rFonts w:ascii="Arial" w:cs="Arial" w:eastAsia="Arial" w:hAnsi="Arial"/>
                <w:sz w:val="19"/>
                <w:szCs w:val="19"/>
                <w:b w:val="1"/>
                <w:bCs w:val="1"/>
                <w:color w:val="231F20"/>
              </w:rPr>
              <w:t>Cash paid for taxes</w:t>
            </w:r>
          </w:p>
        </w:tc>
        <w:tc>
          <w:tcPr>
            <w:tcW w:w="54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ind w:right="32"/>
              <w:spacing w:after="0"/>
              <w:rPr>
                <w:sz w:val="20"/>
                <w:szCs w:val="20"/>
                <w:color w:val="auto"/>
              </w:rPr>
            </w:pPr>
            <w:r>
              <w:rPr>
                <w:rFonts w:ascii="Arial" w:cs="Arial" w:eastAsia="Arial" w:hAnsi="Arial"/>
                <w:sz w:val="19"/>
                <w:szCs w:val="19"/>
                <w:b w:val="1"/>
                <w:bCs w:val="1"/>
                <w:color w:val="231F20"/>
              </w:rPr>
              <w:t>42</w:t>
            </w:r>
          </w:p>
        </w:tc>
        <w:tc>
          <w:tcPr>
            <w:tcW w:w="42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24</w:t>
            </w:r>
          </w:p>
        </w:tc>
      </w:tr>
      <w:tr>
        <w:trPr>
          <w:trHeight w:val="238"/>
        </w:trPr>
        <w:tc>
          <w:tcPr>
            <w:tcW w:w="5920" w:type="dxa"/>
            <w:vAlign w:val="bottom"/>
          </w:tcPr>
          <w:p>
            <w:pPr>
              <w:spacing w:after="0"/>
              <w:rPr>
                <w:sz w:val="20"/>
                <w:szCs w:val="20"/>
                <w:color w:val="auto"/>
              </w:rPr>
            </w:pPr>
            <w:r>
              <w:rPr>
                <w:rFonts w:ascii="Arial" w:cs="Arial" w:eastAsia="Arial" w:hAnsi="Arial"/>
                <w:sz w:val="19"/>
                <w:szCs w:val="19"/>
                <w:b w:val="1"/>
                <w:bCs w:val="1"/>
                <w:color w:val="231F20"/>
                <w:w w:val="93"/>
              </w:rPr>
              <w:t>Supplemental schedule of non-cash investing and financing activities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5"/>
        </w:trPr>
        <w:tc>
          <w:tcPr>
            <w:tcW w:w="5920" w:type="dxa"/>
            <w:vAlign w:val="bottom"/>
          </w:tcPr>
          <w:p>
            <w:pPr>
              <w:ind w:left="100"/>
              <w:spacing w:after="0"/>
              <w:rPr>
                <w:sz w:val="20"/>
                <w:szCs w:val="20"/>
                <w:color w:val="auto"/>
              </w:rPr>
            </w:pPr>
            <w:r>
              <w:rPr>
                <w:rFonts w:ascii="Arial" w:cs="Arial" w:eastAsia="Arial" w:hAnsi="Arial"/>
                <w:sz w:val="19"/>
                <w:szCs w:val="19"/>
                <w:b w:val="1"/>
                <w:bCs w:val="1"/>
                <w:color w:val="231F20"/>
              </w:rPr>
              <w:t>Transfer from Inventories to Equipment under lease, net</w:t>
            </w:r>
          </w:p>
        </w:tc>
        <w:tc>
          <w:tcPr>
            <w:tcW w:w="54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ind w:right="32"/>
              <w:spacing w:after="0"/>
              <w:rPr>
                <w:sz w:val="20"/>
                <w:szCs w:val="20"/>
                <w:color w:val="auto"/>
              </w:rPr>
            </w:pPr>
            <w:r>
              <w:rPr>
                <w:rFonts w:ascii="Arial" w:cs="Arial" w:eastAsia="Arial" w:hAnsi="Arial"/>
                <w:sz w:val="19"/>
                <w:szCs w:val="19"/>
                <w:b w:val="1"/>
                <w:bCs w:val="1"/>
                <w:color w:val="231F20"/>
              </w:rPr>
              <w:t>5,114</w:t>
            </w:r>
          </w:p>
        </w:tc>
        <w:tc>
          <w:tcPr>
            <w:tcW w:w="420" w:type="dxa"/>
            <w:vAlign w:val="bottom"/>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9,066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-752475</wp:posOffset>
            </wp:positionV>
            <wp:extent cx="5792470" cy="767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2470" cy="767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The accompanying notes are an integral part of these financial statements</w:t>
      </w:r>
    </w:p>
    <w:p>
      <w:pPr>
        <w:sectPr>
          <w:pgSz w:w="12240" w:h="15840" w:orient="portrait"/>
          <w:cols w:equalWidth="0" w:num="1">
            <w:col w:w="9360"/>
          </w:cols>
          <w:pgMar w:left="1440" w:top="1357"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F-5</w:t>
      </w:r>
    </w:p>
    <w:p>
      <w:pPr>
        <w:sectPr>
          <w:pgSz w:w="12240" w:h="15840" w:orient="portrait"/>
          <w:cols w:equalWidth="0" w:num="1">
            <w:col w:w="9360"/>
          </w:cols>
          <w:pgMar w:left="1440" w:top="1357" w:right="1440" w:bottom="378"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 w:type="dxa"/>
            <w:vAlign w:val="bottom"/>
            <w:textDirection w:val="tbRl"/>
          </w:tcPr>
          <w:p>
            <w:pPr>
              <w:spacing w:after="0"/>
              <w:rPr>
                <w:sz w:val="20"/>
                <w:szCs w:val="20"/>
                <w:color w:val="auto"/>
              </w:rPr>
            </w:pPr>
            <w:r>
              <w:rPr>
                <w:rFonts w:ascii="Arial" w:cs="Arial" w:eastAsia="Arial" w:hAnsi="Arial"/>
                <w:sz w:val="19"/>
                <w:szCs w:val="19"/>
                <w:b w:val="1"/>
                <w:bCs w:val="1"/>
                <w:color w:val="231F20"/>
              </w:rPr>
              <w:t>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wp:posOffset>
            </wp:positionV>
            <wp:extent cx="109220" cy="774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922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231F20"/>
        </w:rPr>
        <w:t>LENSAR, Inc.</w:t>
      </w:r>
    </w:p>
    <w:p>
      <w:pPr>
        <w:jc w:val="center"/>
        <w:ind w:right="200"/>
        <w:spacing w:after="0" w:line="223" w:lineRule="exact"/>
        <w:rPr>
          <w:sz w:val="20"/>
          <w:szCs w:val="20"/>
          <w:color w:val="auto"/>
        </w:rPr>
      </w:pPr>
      <w:r>
        <w:rPr>
          <w:rFonts w:ascii="Arial" w:cs="Arial" w:eastAsia="Arial" w:hAnsi="Arial"/>
          <w:sz w:val="19"/>
          <w:szCs w:val="19"/>
          <w:b w:val="1"/>
          <w:bCs w:val="1"/>
          <w:color w:val="231F20"/>
        </w:rPr>
        <w:t xml:space="preserve">STATEMENT OF CHANGES IN REDEEMABLE CONVERTIBLE PREFERRED STOCK AND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STOCKHOLDERS EQUITY</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98425</wp:posOffset>
            </wp:positionV>
            <wp:extent cx="8007985" cy="4182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07985" cy="41827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6"/>
                <w:szCs w:val="16"/>
                <w:b w:val="1"/>
                <w:bCs w:val="1"/>
                <w:color w:val="231F20"/>
                <w:w w:val="81"/>
              </w:rPr>
              <w:t>Series A</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88"/>
              </w:rPr>
              <w:t>Accumulate</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2160" w:type="dxa"/>
            <w:vAlign w:val="bottom"/>
            <w:gridSpan w:val="3"/>
          </w:tcPr>
          <w:p>
            <w:pPr>
              <w:jc w:val="center"/>
              <w:ind w:right="244"/>
              <w:spacing w:after="0" w:line="180" w:lineRule="exact"/>
              <w:rPr>
                <w:sz w:val="20"/>
                <w:szCs w:val="20"/>
                <w:color w:val="auto"/>
              </w:rPr>
            </w:pPr>
            <w:r>
              <w:rPr>
                <w:rFonts w:ascii="Arial" w:cs="Arial" w:eastAsia="Arial" w:hAnsi="Arial"/>
                <w:sz w:val="16"/>
                <w:szCs w:val="16"/>
                <w:b w:val="1"/>
                <w:bCs w:val="1"/>
                <w:color w:val="231F20"/>
                <w:w w:val="86"/>
              </w:rPr>
              <w:t>Redeemable</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87"/>
              <w:spacing w:after="0" w:line="180" w:lineRule="exact"/>
              <w:rPr>
                <w:sz w:val="20"/>
                <w:szCs w:val="20"/>
                <w:color w:val="auto"/>
              </w:rPr>
            </w:pPr>
            <w:r>
              <w:rPr>
                <w:rFonts w:ascii="Arial" w:cs="Arial" w:eastAsia="Arial" w:hAnsi="Arial"/>
                <w:sz w:val="16"/>
                <w:szCs w:val="16"/>
                <w:b w:val="1"/>
                <w:bCs w:val="1"/>
                <w:color w:val="231F20"/>
                <w:w w:val="81"/>
              </w:rPr>
              <w:t>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160" w:type="dxa"/>
            <w:vAlign w:val="bottom"/>
            <w:gridSpan w:val="3"/>
          </w:tcPr>
          <w:p>
            <w:pPr>
              <w:jc w:val="center"/>
              <w:ind w:right="244"/>
              <w:spacing w:after="0"/>
              <w:rPr>
                <w:sz w:val="20"/>
                <w:szCs w:val="20"/>
                <w:color w:val="auto"/>
              </w:rPr>
            </w:pPr>
            <w:r>
              <w:rPr>
                <w:rFonts w:ascii="Arial" w:cs="Arial" w:eastAsia="Arial" w:hAnsi="Arial"/>
                <w:sz w:val="16"/>
                <w:szCs w:val="16"/>
                <w:b w:val="1"/>
                <w:bCs w:val="1"/>
                <w:color w:val="231F20"/>
                <w:w w:val="88"/>
              </w:rPr>
              <w:t>Convertible</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jc w:val="right"/>
              <w:ind w:right="126"/>
              <w:spacing w:after="0"/>
              <w:rPr>
                <w:sz w:val="20"/>
                <w:szCs w:val="20"/>
                <w:color w:val="auto"/>
              </w:rPr>
            </w:pPr>
            <w:r>
              <w:rPr>
                <w:rFonts w:ascii="Arial" w:cs="Arial" w:eastAsia="Arial" w:hAnsi="Arial"/>
                <w:sz w:val="16"/>
                <w:szCs w:val="16"/>
                <w:b w:val="1"/>
                <w:bCs w:val="1"/>
                <w:color w:val="231F20"/>
              </w:rPr>
              <w:t>Additional</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87"/>
              <w:spacing w:after="0"/>
              <w:rPr>
                <w:sz w:val="20"/>
                <w:szCs w:val="20"/>
                <w:color w:val="auto"/>
              </w:rPr>
            </w:pPr>
            <w:r>
              <w:rPr>
                <w:rFonts w:ascii="Arial" w:cs="Arial" w:eastAsia="Arial" w:hAnsi="Arial"/>
                <w:sz w:val="16"/>
                <w:szCs w:val="16"/>
                <w:b w:val="1"/>
                <w:bCs w:val="1"/>
                <w:color w:val="231F20"/>
                <w:w w:val="93"/>
              </w:rPr>
              <w:t>Other</w:t>
            </w:r>
          </w:p>
        </w:tc>
        <w:tc>
          <w:tcPr>
            <w:tcW w:w="2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231F20"/>
                <w:w w:val="88"/>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231F20"/>
              </w:rPr>
              <w:t>Accumulate</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87"/>
              </w:rPr>
              <w:t>Comprehen</w:t>
            </w:r>
          </w:p>
        </w:tc>
        <w:tc>
          <w:tcPr>
            <w:tcW w:w="980" w:type="dxa"/>
            <w:vAlign w:val="bottom"/>
            <w:gridSpan w:val="3"/>
          </w:tcPr>
          <w:p>
            <w:pPr>
              <w:jc w:val="center"/>
              <w:spacing w:after="0"/>
              <w:rPr>
                <w:sz w:val="20"/>
                <w:szCs w:val="20"/>
                <w:color w:val="auto"/>
              </w:rPr>
            </w:pPr>
            <w:r>
              <w:rPr>
                <w:rFonts w:ascii="Arial" w:cs="Arial" w:eastAsia="Arial" w:hAnsi="Arial"/>
                <w:sz w:val="16"/>
                <w:szCs w:val="16"/>
                <w:b w:val="1"/>
                <w:bCs w:val="1"/>
                <w:color w:val="231F20"/>
                <w:w w:val="85"/>
              </w:rPr>
              <w:t>Stockholde</w:t>
            </w:r>
          </w:p>
        </w:tc>
        <w:tc>
          <w:tcPr>
            <w:tcW w:w="0" w:type="dxa"/>
            <w:vAlign w:val="bottom"/>
          </w:tcPr>
          <w:p>
            <w:pPr>
              <w:spacing w:after="0"/>
              <w:rPr>
                <w:sz w:val="1"/>
                <w:szCs w:val="1"/>
                <w:color w:val="auto"/>
              </w:rPr>
            </w:pPr>
          </w:p>
        </w:tc>
      </w:tr>
      <w:tr>
        <w:trPr>
          <w:trHeight w:val="178"/>
        </w:trPr>
        <w:tc>
          <w:tcPr>
            <w:tcW w:w="4100" w:type="dxa"/>
            <w:vAlign w:val="bottom"/>
          </w:tcPr>
          <w:p>
            <w:pPr>
              <w:spacing w:after="0"/>
              <w:rPr>
                <w:sz w:val="15"/>
                <w:szCs w:val="15"/>
                <w:color w:val="auto"/>
              </w:rPr>
            </w:pPr>
          </w:p>
        </w:tc>
        <w:tc>
          <w:tcPr>
            <w:tcW w:w="2160" w:type="dxa"/>
            <w:vAlign w:val="bottom"/>
            <w:gridSpan w:val="3"/>
          </w:tcPr>
          <w:p>
            <w:pPr>
              <w:jc w:val="center"/>
              <w:ind w:right="244"/>
              <w:spacing w:after="0" w:line="178" w:lineRule="exact"/>
              <w:rPr>
                <w:sz w:val="20"/>
                <w:szCs w:val="20"/>
                <w:color w:val="auto"/>
              </w:rPr>
            </w:pPr>
            <w:r>
              <w:rPr>
                <w:rFonts w:ascii="Arial" w:cs="Arial" w:eastAsia="Arial" w:hAnsi="Arial"/>
                <w:sz w:val="16"/>
                <w:szCs w:val="16"/>
                <w:b w:val="1"/>
                <w:bCs w:val="1"/>
                <w:color w:val="231F20"/>
                <w:w w:val="88"/>
              </w:rPr>
              <w:t>Preferred Stock</w:t>
            </w:r>
          </w:p>
        </w:tc>
        <w:tc>
          <w:tcPr>
            <w:tcW w:w="2140" w:type="dxa"/>
            <w:vAlign w:val="bottom"/>
            <w:gridSpan w:val="3"/>
          </w:tcPr>
          <w:p>
            <w:pPr>
              <w:jc w:val="right"/>
              <w:ind w:right="484"/>
              <w:spacing w:after="0" w:line="178" w:lineRule="exact"/>
              <w:rPr>
                <w:sz w:val="20"/>
                <w:szCs w:val="20"/>
                <w:color w:val="auto"/>
              </w:rPr>
            </w:pPr>
            <w:r>
              <w:rPr>
                <w:rFonts w:ascii="Arial" w:cs="Arial" w:eastAsia="Arial" w:hAnsi="Arial"/>
                <w:sz w:val="16"/>
                <w:szCs w:val="16"/>
                <w:b w:val="1"/>
                <w:bCs w:val="1"/>
                <w:color w:val="231F20"/>
              </w:rPr>
              <w:t>Common Stock</w:t>
            </w:r>
          </w:p>
        </w:tc>
        <w:tc>
          <w:tcPr>
            <w:tcW w:w="1100" w:type="dxa"/>
            <w:vAlign w:val="bottom"/>
          </w:tcPr>
          <w:p>
            <w:pPr>
              <w:jc w:val="right"/>
              <w:ind w:right="226"/>
              <w:spacing w:after="0" w:line="178" w:lineRule="exact"/>
              <w:rPr>
                <w:sz w:val="20"/>
                <w:szCs w:val="20"/>
                <w:color w:val="auto"/>
              </w:rPr>
            </w:pPr>
            <w:r>
              <w:rPr>
                <w:rFonts w:ascii="Arial" w:cs="Arial" w:eastAsia="Arial" w:hAnsi="Arial"/>
                <w:sz w:val="16"/>
                <w:szCs w:val="16"/>
                <w:b w:val="1"/>
                <w:bCs w:val="1"/>
                <w:color w:val="231F20"/>
              </w:rPr>
              <w:t>Paid-in</w:t>
            </w:r>
          </w:p>
        </w:tc>
        <w:tc>
          <w:tcPr>
            <w:tcW w:w="220" w:type="dxa"/>
            <w:vAlign w:val="bottom"/>
          </w:tcPr>
          <w:p>
            <w:pPr>
              <w:spacing w:after="0"/>
              <w:rPr>
                <w:sz w:val="15"/>
                <w:szCs w:val="15"/>
                <w:color w:val="auto"/>
              </w:rPr>
            </w:pPr>
          </w:p>
        </w:tc>
        <w:tc>
          <w:tcPr>
            <w:tcW w:w="820" w:type="dxa"/>
            <w:vAlign w:val="bottom"/>
          </w:tcPr>
          <w:p>
            <w:pPr>
              <w:jc w:val="right"/>
              <w:ind w:right="425"/>
              <w:spacing w:after="0" w:line="178" w:lineRule="exact"/>
              <w:rPr>
                <w:sz w:val="20"/>
                <w:szCs w:val="20"/>
                <w:color w:val="auto"/>
              </w:rPr>
            </w:pPr>
            <w:r>
              <w:rPr>
                <w:rFonts w:ascii="Arial" w:cs="Arial" w:eastAsia="Arial" w:hAnsi="Arial"/>
                <w:sz w:val="16"/>
                <w:szCs w:val="16"/>
                <w:b w:val="1"/>
                <w:bCs w:val="1"/>
                <w:color w:val="231F20"/>
              </w:rPr>
              <w:t>d</w:t>
            </w:r>
          </w:p>
        </w:tc>
        <w:tc>
          <w:tcPr>
            <w:tcW w:w="200" w:type="dxa"/>
            <w:vAlign w:val="bottom"/>
          </w:tcPr>
          <w:p>
            <w:pPr>
              <w:spacing w:after="0"/>
              <w:rPr>
                <w:sz w:val="15"/>
                <w:szCs w:val="15"/>
                <w:color w:val="auto"/>
              </w:rPr>
            </w:pPr>
          </w:p>
        </w:tc>
        <w:tc>
          <w:tcPr>
            <w:tcW w:w="840" w:type="dxa"/>
            <w:vAlign w:val="bottom"/>
          </w:tcPr>
          <w:p>
            <w:pPr>
              <w:jc w:val="center"/>
              <w:ind w:right="187"/>
              <w:spacing w:after="0" w:line="178" w:lineRule="exact"/>
              <w:rPr>
                <w:sz w:val="20"/>
                <w:szCs w:val="20"/>
                <w:color w:val="auto"/>
              </w:rPr>
            </w:pPr>
            <w:r>
              <w:rPr>
                <w:rFonts w:ascii="Arial" w:cs="Arial" w:eastAsia="Arial" w:hAnsi="Arial"/>
                <w:sz w:val="16"/>
                <w:szCs w:val="16"/>
                <w:b w:val="1"/>
                <w:bCs w:val="1"/>
                <w:color w:val="231F20"/>
                <w:w w:val="76"/>
              </w:rPr>
              <w:t>sive</w:t>
            </w:r>
          </w:p>
        </w:tc>
        <w:tc>
          <w:tcPr>
            <w:tcW w:w="220" w:type="dxa"/>
            <w:vAlign w:val="bottom"/>
          </w:tcPr>
          <w:p>
            <w:pPr>
              <w:spacing w:after="0"/>
              <w:rPr>
                <w:sz w:val="15"/>
                <w:szCs w:val="15"/>
                <w:color w:val="auto"/>
              </w:rPr>
            </w:pPr>
          </w:p>
        </w:tc>
        <w:tc>
          <w:tcPr>
            <w:tcW w:w="76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231F20"/>
                <w:w w:val="97"/>
              </w:rPr>
              <w:t>rs</w:t>
            </w:r>
            <w:r>
              <w:rPr>
                <w:rFonts w:ascii="PMingLiU" w:cs="PMingLiU" w:eastAsia="PMingLiU" w:hAnsi="PMingLiU"/>
                <w:sz w:val="16"/>
                <w:szCs w:val="16"/>
                <w:b w:val="1"/>
                <w:bCs w:val="1"/>
                <w:color w:val="231F20"/>
                <w:w w:val="97"/>
              </w:rPr>
              <w:t></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Arial" w:cs="Arial" w:eastAsia="Arial" w:hAnsi="Arial"/>
                <w:sz w:val="16"/>
                <w:szCs w:val="16"/>
                <w:b w:val="1"/>
                <w:bCs w:val="1"/>
                <w:color w:val="231F20"/>
              </w:rPr>
              <w:t>Shares</w:t>
            </w:r>
          </w:p>
        </w:tc>
        <w:tc>
          <w:tcPr>
            <w:tcW w:w="240" w:type="dxa"/>
            <w:vAlign w:val="bottom"/>
          </w:tcPr>
          <w:p>
            <w:pPr>
              <w:spacing w:after="0"/>
              <w:rPr>
                <w:sz w:val="17"/>
                <w:szCs w:val="17"/>
                <w:color w:val="auto"/>
              </w:rPr>
            </w:pPr>
          </w:p>
        </w:tc>
        <w:tc>
          <w:tcPr>
            <w:tcW w:w="980" w:type="dxa"/>
            <w:vAlign w:val="bottom"/>
          </w:tcPr>
          <w:p>
            <w:pPr>
              <w:jc w:val="right"/>
              <w:ind w:right="324"/>
              <w:spacing w:after="0"/>
              <w:rPr>
                <w:sz w:val="20"/>
                <w:szCs w:val="20"/>
                <w:color w:val="auto"/>
              </w:rPr>
            </w:pPr>
            <w:r>
              <w:rPr>
                <w:rFonts w:ascii="Arial" w:cs="Arial" w:eastAsia="Arial" w:hAnsi="Arial"/>
                <w:sz w:val="16"/>
                <w:szCs w:val="16"/>
                <w:b w:val="1"/>
                <w:bCs w:val="1"/>
                <w:color w:val="231F20"/>
                <w:w w:val="89"/>
              </w:rPr>
              <w:t>Amount</w:t>
            </w:r>
          </w:p>
        </w:tc>
        <w:tc>
          <w:tcPr>
            <w:tcW w:w="1080" w:type="dxa"/>
            <w:vAlign w:val="bottom"/>
          </w:tcPr>
          <w:p>
            <w:pPr>
              <w:jc w:val="right"/>
              <w:ind w:right="245"/>
              <w:spacing w:after="0"/>
              <w:rPr>
                <w:sz w:val="20"/>
                <w:szCs w:val="20"/>
                <w:color w:val="auto"/>
              </w:rPr>
            </w:pPr>
            <w:r>
              <w:rPr>
                <w:rFonts w:ascii="Arial" w:cs="Arial" w:eastAsia="Arial" w:hAnsi="Arial"/>
                <w:sz w:val="16"/>
                <w:szCs w:val="16"/>
                <w:b w:val="1"/>
                <w:bCs w:val="1"/>
                <w:color w:val="231F20"/>
              </w:rPr>
              <w:t>Shares</w:t>
            </w:r>
          </w:p>
        </w:tc>
        <w:tc>
          <w:tcPr>
            <w:tcW w:w="24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Arial" w:cs="Arial" w:eastAsia="Arial" w:hAnsi="Arial"/>
                <w:sz w:val="16"/>
                <w:szCs w:val="16"/>
                <w:b w:val="1"/>
                <w:bCs w:val="1"/>
                <w:color w:val="231F20"/>
                <w:w w:val="89"/>
              </w:rPr>
              <w:t>Amount</w:t>
            </w:r>
          </w:p>
        </w:tc>
        <w:tc>
          <w:tcPr>
            <w:tcW w:w="1100" w:type="dxa"/>
            <w:vAlign w:val="bottom"/>
          </w:tcPr>
          <w:p>
            <w:pPr>
              <w:jc w:val="right"/>
              <w:ind w:right="226"/>
              <w:spacing w:after="0"/>
              <w:rPr>
                <w:sz w:val="20"/>
                <w:szCs w:val="20"/>
                <w:color w:val="auto"/>
              </w:rPr>
            </w:pPr>
            <w:r>
              <w:rPr>
                <w:rFonts w:ascii="Arial" w:cs="Arial" w:eastAsia="Arial" w:hAnsi="Arial"/>
                <w:sz w:val="16"/>
                <w:szCs w:val="16"/>
                <w:b w:val="1"/>
                <w:bCs w:val="1"/>
                <w:color w:val="231F20"/>
              </w:rPr>
              <w:t>Capital</w:t>
            </w:r>
          </w:p>
        </w:tc>
        <w:tc>
          <w:tcPr>
            <w:tcW w:w="220" w:type="dxa"/>
            <w:vAlign w:val="bottom"/>
          </w:tcPr>
          <w:p>
            <w:pPr>
              <w:spacing w:after="0"/>
              <w:rPr>
                <w:sz w:val="17"/>
                <w:szCs w:val="17"/>
                <w:color w:val="auto"/>
              </w:rPr>
            </w:pPr>
          </w:p>
        </w:tc>
        <w:tc>
          <w:tcPr>
            <w:tcW w:w="820" w:type="dxa"/>
            <w:vAlign w:val="bottom"/>
          </w:tcPr>
          <w:p>
            <w:pPr>
              <w:jc w:val="right"/>
              <w:ind w:right="245"/>
              <w:spacing w:after="0"/>
              <w:rPr>
                <w:sz w:val="20"/>
                <w:szCs w:val="20"/>
                <w:color w:val="auto"/>
              </w:rPr>
            </w:pPr>
            <w:r>
              <w:rPr>
                <w:rFonts w:ascii="Arial" w:cs="Arial" w:eastAsia="Arial" w:hAnsi="Arial"/>
                <w:sz w:val="16"/>
                <w:szCs w:val="16"/>
                <w:b w:val="1"/>
                <w:bCs w:val="1"/>
                <w:color w:val="231F20"/>
                <w:w w:val="93"/>
              </w:rPr>
              <w:t>Deficit</w:t>
            </w:r>
          </w:p>
        </w:tc>
        <w:tc>
          <w:tcPr>
            <w:tcW w:w="200" w:type="dxa"/>
            <w:vAlign w:val="bottom"/>
          </w:tcPr>
          <w:p>
            <w:pPr>
              <w:spacing w:after="0"/>
              <w:rPr>
                <w:sz w:val="17"/>
                <w:szCs w:val="17"/>
                <w:color w:val="auto"/>
              </w:rPr>
            </w:pPr>
          </w:p>
        </w:tc>
        <w:tc>
          <w:tcPr>
            <w:tcW w:w="840" w:type="dxa"/>
            <w:vAlign w:val="bottom"/>
          </w:tcPr>
          <w:p>
            <w:pPr>
              <w:jc w:val="center"/>
              <w:ind w:right="187"/>
              <w:spacing w:after="0"/>
              <w:rPr>
                <w:sz w:val="20"/>
                <w:szCs w:val="20"/>
                <w:color w:val="auto"/>
              </w:rPr>
            </w:pPr>
            <w:r>
              <w:rPr>
                <w:rFonts w:ascii="Arial" w:cs="Arial" w:eastAsia="Arial" w:hAnsi="Arial"/>
                <w:sz w:val="16"/>
                <w:szCs w:val="16"/>
                <w:b w:val="1"/>
                <w:bCs w:val="1"/>
                <w:color w:val="231F20"/>
                <w:w w:val="85"/>
              </w:rPr>
              <w:t>Income</w:t>
            </w:r>
          </w:p>
        </w:tc>
        <w:tc>
          <w:tcPr>
            <w:tcW w:w="2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231F20"/>
                <w:w w:val="93"/>
              </w:rPr>
              <w:t>Equity</w:t>
            </w:r>
          </w:p>
        </w:tc>
        <w:tc>
          <w:tcPr>
            <w:tcW w:w="0" w:type="dxa"/>
            <w:vAlign w:val="bottom"/>
          </w:tcPr>
          <w:p>
            <w:pPr>
              <w:spacing w:after="0"/>
              <w:rPr>
                <w:sz w:val="1"/>
                <w:szCs w:val="1"/>
                <w:color w:val="auto"/>
              </w:rPr>
            </w:pPr>
          </w:p>
        </w:tc>
      </w:tr>
      <w:tr>
        <w:trPr>
          <w:trHeight w:val="34"/>
        </w:trPr>
        <w:tc>
          <w:tcPr>
            <w:tcW w:w="4100" w:type="dxa"/>
            <w:vAlign w:val="bottom"/>
            <w:vMerge w:val="restart"/>
          </w:tcPr>
          <w:p>
            <w:pPr>
              <w:spacing w:after="0"/>
              <w:rPr>
                <w:sz w:val="20"/>
                <w:szCs w:val="20"/>
                <w:color w:val="auto"/>
              </w:rPr>
            </w:pPr>
            <w:r>
              <w:rPr>
                <w:rFonts w:ascii="Arial" w:cs="Arial" w:eastAsia="Arial" w:hAnsi="Arial"/>
                <w:sz w:val="19"/>
                <w:szCs w:val="19"/>
                <w:b w:val="1"/>
                <w:bCs w:val="1"/>
                <w:color w:val="231F20"/>
              </w:rPr>
              <w:t>Balance as of December 31, 2023</w:t>
            </w: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231F20"/>
                <w:w w:val="99"/>
              </w:rPr>
              <w:t>(111,89</w:t>
            </w: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shd w:val="clear" w:color="auto" w:fill="EAEAE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100" w:type="dxa"/>
            <w:vAlign w:val="bottom"/>
          </w:tcPr>
          <w:p>
            <w:pPr>
              <w:spacing w:after="0"/>
              <w:rPr>
                <w:sz w:val="21"/>
                <w:szCs w:val="21"/>
                <w:color w:val="auto"/>
              </w:rPr>
            </w:pPr>
          </w:p>
        </w:tc>
        <w:tc>
          <w:tcPr>
            <w:tcW w:w="940" w:type="dxa"/>
            <w:vAlign w:val="bottom"/>
          </w:tcPr>
          <w:p>
            <w:pPr>
              <w:ind w:left="620"/>
              <w:spacing w:after="0"/>
              <w:rPr>
                <w:sz w:val="20"/>
                <w:szCs w:val="20"/>
                <w:color w:val="auto"/>
              </w:rPr>
            </w:pPr>
            <w:r>
              <w:rPr>
                <w:rFonts w:ascii="Arial" w:cs="Arial" w:eastAsia="Arial" w:hAnsi="Arial"/>
                <w:sz w:val="19"/>
                <w:szCs w:val="19"/>
                <w:b w:val="1"/>
                <w:bCs w:val="1"/>
                <w:color w:val="231F20"/>
              </w:rPr>
              <w:t>20</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84"/>
              <w:spacing w:after="0"/>
              <w:rPr>
                <w:sz w:val="20"/>
                <w:szCs w:val="20"/>
                <w:color w:val="auto"/>
              </w:rPr>
            </w:pPr>
            <w:r>
              <w:rPr>
                <w:rFonts w:ascii="Arial" w:cs="Arial" w:eastAsia="Arial" w:hAnsi="Arial"/>
                <w:sz w:val="19"/>
                <w:szCs w:val="19"/>
                <w:b w:val="1"/>
                <w:bCs w:val="1"/>
                <w:color w:val="231F20"/>
              </w:rPr>
              <w:t>13,747</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11,327</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113</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$ 145,203</w:t>
            </w:r>
          </w:p>
        </w:tc>
        <w:tc>
          <w:tcPr>
            <w:tcW w:w="220" w:type="dxa"/>
            <w:vAlign w:val="bottom"/>
          </w:tcPr>
          <w:p>
            <w:pPr>
              <w:ind w:left="8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1)</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ind w:right="67"/>
              <w:spacing w:after="0"/>
              <w:rPr>
                <w:sz w:val="20"/>
                <w:szCs w:val="20"/>
                <w:color w:val="auto"/>
              </w:rPr>
            </w:pPr>
            <w:r>
              <w:rPr>
                <w:rFonts w:ascii="Arial" w:cs="Arial" w:eastAsia="Arial" w:hAnsi="Arial"/>
                <w:sz w:val="19"/>
                <w:szCs w:val="19"/>
                <w:b w:val="1"/>
                <w:bCs w:val="1"/>
                <w:color w:val="231F20"/>
              </w:rPr>
              <w:t>4</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33,429</w:t>
            </w:r>
          </w:p>
        </w:tc>
        <w:tc>
          <w:tcPr>
            <w:tcW w:w="80" w:type="dxa"/>
            <w:vAlign w:val="bottom"/>
            <w:tcBorders>
              <w:bottom w:val="single" w:sz="8" w:color="EAEAEC"/>
            </w:tcBorders>
            <w:shd w:val="clear" w:color="auto" w:fill="EAEAEC"/>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00" w:type="dxa"/>
            <w:vAlign w:val="bottom"/>
          </w:tcPr>
          <w:p>
            <w:pPr>
              <w:spacing w:after="0" w:line="194" w:lineRule="exact"/>
              <w:rPr>
                <w:sz w:val="20"/>
                <w:szCs w:val="20"/>
                <w:color w:val="auto"/>
              </w:rPr>
            </w:pPr>
            <w:r>
              <w:rPr>
                <w:rFonts w:ascii="Arial" w:cs="Arial" w:eastAsia="Arial" w:hAnsi="Arial"/>
                <w:sz w:val="19"/>
                <w:szCs w:val="19"/>
                <w:b w:val="1"/>
                <w:bCs w:val="1"/>
                <w:color w:val="231F20"/>
                <w:w w:val="94"/>
              </w:rPr>
              <w:t>Stock-based compensation under the 2020 Plan</w:t>
            </w:r>
          </w:p>
        </w:tc>
        <w:tc>
          <w:tcPr>
            <w:tcW w:w="940" w:type="dxa"/>
            <w:vAlign w:val="bottom"/>
          </w:tcPr>
          <w:p>
            <w:pPr>
              <w:ind w:left="620"/>
              <w:spacing w:after="0" w:line="19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6"/>
                <w:szCs w:val="16"/>
                <w:color w:val="auto"/>
              </w:rPr>
            </w:pPr>
          </w:p>
        </w:tc>
        <w:tc>
          <w:tcPr>
            <w:tcW w:w="980" w:type="dxa"/>
            <w:vAlign w:val="bottom"/>
          </w:tcPr>
          <w:p>
            <w:pPr>
              <w:jc w:val="right"/>
              <w:ind w:right="184"/>
              <w:spacing w:after="0" w:line="194"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line="19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6"/>
                <w:szCs w:val="16"/>
                <w:color w:val="auto"/>
              </w:rPr>
            </w:pPr>
          </w:p>
        </w:tc>
        <w:tc>
          <w:tcPr>
            <w:tcW w:w="820" w:type="dxa"/>
            <w:vAlign w:val="bottom"/>
          </w:tcPr>
          <w:p>
            <w:pPr>
              <w:jc w:val="right"/>
              <w:ind w:right="24"/>
              <w:spacing w:after="0" w:line="194"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194" w:lineRule="exact"/>
              <w:rPr>
                <w:sz w:val="20"/>
                <w:szCs w:val="20"/>
                <w:color w:val="auto"/>
              </w:rPr>
            </w:pPr>
            <w:r>
              <w:rPr>
                <w:rFonts w:ascii="Arial" w:cs="Arial" w:eastAsia="Arial" w:hAnsi="Arial"/>
                <w:sz w:val="19"/>
                <w:szCs w:val="19"/>
                <w:b w:val="1"/>
                <w:bCs w:val="1"/>
                <w:color w:val="231F20"/>
              </w:rPr>
              <w:t>2,665</w:t>
            </w:r>
          </w:p>
        </w:tc>
        <w:tc>
          <w:tcPr>
            <w:tcW w:w="220" w:type="dxa"/>
            <w:vAlign w:val="bottom"/>
          </w:tcPr>
          <w:p>
            <w:pPr>
              <w:spacing w:after="0"/>
              <w:rPr>
                <w:sz w:val="16"/>
                <w:szCs w:val="16"/>
                <w:color w:val="auto"/>
              </w:rPr>
            </w:pPr>
          </w:p>
        </w:tc>
        <w:tc>
          <w:tcPr>
            <w:tcW w:w="820" w:type="dxa"/>
            <w:vAlign w:val="bottom"/>
          </w:tcPr>
          <w:p>
            <w:pPr>
              <w:jc w:val="right"/>
              <w:ind w:right="65"/>
              <w:spacing w:after="0" w:line="194"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16"/>
                <w:szCs w:val="16"/>
                <w:color w:val="auto"/>
              </w:rPr>
            </w:pPr>
          </w:p>
        </w:tc>
        <w:tc>
          <w:tcPr>
            <w:tcW w:w="840" w:type="dxa"/>
            <w:vAlign w:val="bottom"/>
          </w:tcPr>
          <w:p>
            <w:pPr>
              <w:jc w:val="right"/>
              <w:ind w:right="67"/>
              <w:spacing w:after="0" w:line="194"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9"/>
                <w:szCs w:val="19"/>
                <w:b w:val="1"/>
                <w:bCs w:val="1"/>
                <w:color w:val="231F20"/>
              </w:rPr>
              <w:t>2,665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w w:val="87"/>
              </w:rPr>
              <w:t>Exercise of stock options under the Incentive Plans</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16</w:t>
            </w:r>
          </w:p>
        </w:tc>
        <w:tc>
          <w:tcPr>
            <w:tcW w:w="240" w:type="dxa"/>
            <w:vAlign w:val="bottom"/>
          </w:tcPr>
          <w:p>
            <w:pPr>
              <w:spacing w:after="0"/>
              <w:rPr>
                <w:sz w:val="20"/>
                <w:szCs w:val="20"/>
                <w:color w:val="auto"/>
              </w:rPr>
            </w:pPr>
          </w:p>
        </w:tc>
        <w:tc>
          <w:tcPr>
            <w:tcW w:w="820" w:type="dxa"/>
            <w:vAlign w:val="bottom"/>
          </w:tcPr>
          <w:p>
            <w:pPr>
              <w:jc w:val="right"/>
              <w:ind w:right="24"/>
              <w:spacing w:after="0" w:line="228"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58</w:t>
            </w:r>
          </w:p>
        </w:tc>
        <w:tc>
          <w:tcPr>
            <w:tcW w:w="220" w:type="dxa"/>
            <w:vAlign w:val="bottom"/>
          </w:tcPr>
          <w:p>
            <w:pPr>
              <w:spacing w:after="0"/>
              <w:rPr>
                <w:sz w:val="20"/>
                <w:szCs w:val="20"/>
                <w:color w:val="auto"/>
              </w:rPr>
            </w:pPr>
          </w:p>
        </w:tc>
        <w:tc>
          <w:tcPr>
            <w:tcW w:w="820" w:type="dxa"/>
            <w:vAlign w:val="bottom"/>
          </w:tcPr>
          <w:p>
            <w:pPr>
              <w:jc w:val="right"/>
              <w:ind w:right="65"/>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840" w:type="dxa"/>
            <w:vAlign w:val="bottom"/>
          </w:tcPr>
          <w:p>
            <w:pPr>
              <w:jc w:val="right"/>
              <w:ind w:right="67"/>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w w:val="96"/>
              </w:rPr>
              <w:t>Issuance of common stock under the Incentive</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9"/>
                <w:szCs w:val="19"/>
                <w:b w:val="1"/>
                <w:bCs w:val="1"/>
                <w:color w:val="231F20"/>
              </w:rPr>
              <w:t>Plans, net of forfeitures</w:t>
            </w:r>
          </w:p>
        </w:tc>
        <w:tc>
          <w:tcPr>
            <w:tcW w:w="940" w:type="dxa"/>
            <w:vAlign w:val="bottom"/>
          </w:tcPr>
          <w:p>
            <w:pPr>
              <w:ind w:left="620"/>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980" w:type="dxa"/>
            <w:vAlign w:val="bottom"/>
          </w:tcPr>
          <w:p>
            <w:pPr>
              <w:jc w:val="right"/>
              <w:ind w:right="184"/>
              <w:spacing w:after="0" w:line="224"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197</w:t>
            </w:r>
          </w:p>
        </w:tc>
        <w:tc>
          <w:tcPr>
            <w:tcW w:w="240" w:type="dxa"/>
            <w:vAlign w:val="bottom"/>
          </w:tcPr>
          <w:p>
            <w:pPr>
              <w:spacing w:after="0"/>
              <w:rPr>
                <w:sz w:val="19"/>
                <w:szCs w:val="19"/>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2</w:t>
            </w:r>
          </w:p>
        </w:tc>
        <w:tc>
          <w:tcPr>
            <w:tcW w:w="1100" w:type="dxa"/>
            <w:vAlign w:val="bottom"/>
          </w:tcPr>
          <w:p>
            <w:pPr>
              <w:jc w:val="right"/>
              <w:ind w:right="6"/>
              <w:spacing w:after="0"/>
              <w:rPr>
                <w:sz w:val="20"/>
                <w:szCs w:val="20"/>
                <w:color w:val="auto"/>
              </w:rPr>
            </w:pPr>
            <w:r>
              <w:rPr>
                <w:rFonts w:ascii="Arial" w:cs="Arial" w:eastAsia="Arial" w:hAnsi="Arial"/>
                <w:sz w:val="19"/>
                <w:szCs w:val="19"/>
                <w:b w:val="1"/>
                <w:bCs w:val="1"/>
                <w:color w:val="231F20"/>
              </w:rPr>
              <w:t>(196)</w:t>
            </w:r>
          </w:p>
        </w:tc>
        <w:tc>
          <w:tcPr>
            <w:tcW w:w="220" w:type="dxa"/>
            <w:vAlign w:val="bottom"/>
          </w:tcPr>
          <w:p>
            <w:pPr>
              <w:spacing w:after="0"/>
              <w:rPr>
                <w:sz w:val="19"/>
                <w:szCs w:val="19"/>
                <w:color w:val="auto"/>
              </w:rPr>
            </w:pPr>
          </w:p>
        </w:tc>
        <w:tc>
          <w:tcPr>
            <w:tcW w:w="820" w:type="dxa"/>
            <w:vAlign w:val="bottom"/>
          </w:tcPr>
          <w:p>
            <w:pPr>
              <w:jc w:val="right"/>
              <w:ind w:right="65"/>
              <w:spacing w:after="0" w:line="224"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19"/>
                <w:szCs w:val="19"/>
                <w:color w:val="auto"/>
              </w:rPr>
            </w:pPr>
          </w:p>
        </w:tc>
        <w:tc>
          <w:tcPr>
            <w:tcW w:w="840" w:type="dxa"/>
            <w:vAlign w:val="bottom"/>
          </w:tcPr>
          <w:p>
            <w:pPr>
              <w:jc w:val="right"/>
              <w:ind w:right="67"/>
              <w:spacing w:after="0" w:line="224"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(194)</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w w:val="92"/>
              </w:rPr>
              <w:t>Issuance of common stock under the 2020 ESPP</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114</w:t>
            </w:r>
          </w:p>
        </w:tc>
        <w:tc>
          <w:tcPr>
            <w:tcW w:w="240" w:type="dxa"/>
            <w:vAlign w:val="bottom"/>
          </w:tcPr>
          <w:p>
            <w:pPr>
              <w:spacing w:after="0"/>
              <w:rPr>
                <w:sz w:val="20"/>
                <w:szCs w:val="20"/>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1</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305</w:t>
            </w:r>
          </w:p>
        </w:tc>
        <w:tc>
          <w:tcPr>
            <w:tcW w:w="220" w:type="dxa"/>
            <w:vAlign w:val="bottom"/>
          </w:tcPr>
          <w:p>
            <w:pPr>
              <w:spacing w:after="0"/>
              <w:rPr>
                <w:sz w:val="20"/>
                <w:szCs w:val="20"/>
                <w:color w:val="auto"/>
              </w:rPr>
            </w:pPr>
          </w:p>
        </w:tc>
        <w:tc>
          <w:tcPr>
            <w:tcW w:w="820" w:type="dxa"/>
            <w:vAlign w:val="bottom"/>
          </w:tcPr>
          <w:p>
            <w:pPr>
              <w:jc w:val="right"/>
              <w:ind w:right="65"/>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840" w:type="dxa"/>
            <w:vAlign w:val="bottom"/>
          </w:tcPr>
          <w:p>
            <w:pPr>
              <w:jc w:val="right"/>
              <w:ind w:right="67"/>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306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w w:val="90"/>
              </w:rPr>
              <w:t>Series A Redeemable Convertible Preferred Stock</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9"/>
                <w:szCs w:val="19"/>
                <w:b w:val="1"/>
                <w:bCs w:val="1"/>
                <w:color w:val="231F20"/>
              </w:rPr>
              <w:t>offering costs accrual release</w:t>
            </w:r>
          </w:p>
        </w:tc>
        <w:tc>
          <w:tcPr>
            <w:tcW w:w="940" w:type="dxa"/>
            <w:vAlign w:val="bottom"/>
          </w:tcPr>
          <w:p>
            <w:pPr>
              <w:ind w:left="620"/>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980" w:type="dxa"/>
            <w:vAlign w:val="bottom"/>
          </w:tcPr>
          <w:p>
            <w:pPr>
              <w:jc w:val="right"/>
              <w:ind w:right="184"/>
              <w:spacing w:after="0"/>
              <w:rPr>
                <w:sz w:val="20"/>
                <w:szCs w:val="20"/>
                <w:color w:val="auto"/>
              </w:rPr>
            </w:pPr>
            <w:r>
              <w:rPr>
                <w:rFonts w:ascii="Arial" w:cs="Arial" w:eastAsia="Arial" w:hAnsi="Arial"/>
                <w:sz w:val="19"/>
                <w:szCs w:val="19"/>
                <w:b w:val="1"/>
                <w:bCs w:val="1"/>
                <w:color w:val="231F20"/>
              </w:rPr>
              <w:t>37</w:t>
            </w:r>
          </w:p>
        </w:tc>
        <w:tc>
          <w:tcPr>
            <w:tcW w:w="1080" w:type="dxa"/>
            <w:vAlign w:val="bottom"/>
          </w:tcPr>
          <w:p>
            <w:pPr>
              <w:jc w:val="right"/>
              <w:ind w:right="25"/>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820" w:type="dxa"/>
            <w:vAlign w:val="bottom"/>
          </w:tcPr>
          <w:p>
            <w:pPr>
              <w:jc w:val="right"/>
              <w:ind w:right="24"/>
              <w:spacing w:after="0" w:line="224"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224"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19"/>
                <w:szCs w:val="19"/>
                <w:color w:val="auto"/>
              </w:rPr>
            </w:pPr>
          </w:p>
        </w:tc>
        <w:tc>
          <w:tcPr>
            <w:tcW w:w="820" w:type="dxa"/>
            <w:vAlign w:val="bottom"/>
          </w:tcPr>
          <w:p>
            <w:pPr>
              <w:jc w:val="right"/>
              <w:ind w:right="65"/>
              <w:spacing w:after="0" w:line="224"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19"/>
                <w:szCs w:val="19"/>
                <w:color w:val="auto"/>
              </w:rPr>
            </w:pPr>
          </w:p>
        </w:tc>
        <w:tc>
          <w:tcPr>
            <w:tcW w:w="840" w:type="dxa"/>
            <w:vAlign w:val="bottom"/>
          </w:tcPr>
          <w:p>
            <w:pPr>
              <w:jc w:val="right"/>
              <w:ind w:right="67"/>
              <w:spacing w:after="0" w:line="224"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820" w:type="dxa"/>
            <w:vAlign w:val="bottom"/>
          </w:tcPr>
          <w:p>
            <w:pPr>
              <w:jc w:val="right"/>
              <w:ind w:right="24"/>
              <w:spacing w:after="0" w:line="228"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c>
          <w:tcPr>
            <w:tcW w:w="200" w:type="dxa"/>
            <w:vAlign w:val="bottom"/>
          </w:tcPr>
          <w:p>
            <w:pPr>
              <w:spacing w:after="0"/>
              <w:rPr>
                <w:sz w:val="20"/>
                <w:szCs w:val="20"/>
                <w:color w:val="auto"/>
              </w:rPr>
            </w:pPr>
          </w:p>
        </w:tc>
        <w:tc>
          <w:tcPr>
            <w:tcW w:w="840" w:type="dxa"/>
            <w:vAlign w:val="bottom"/>
          </w:tcPr>
          <w:p>
            <w:pPr>
              <w:jc w:val="right"/>
              <w:ind w:right="67"/>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(31,404)</w:t>
            </w: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rPr>
              <w:t>Change in unrealized gain on investments</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820" w:type="dxa"/>
            <w:vAlign w:val="bottom"/>
          </w:tcPr>
          <w:p>
            <w:pPr>
              <w:jc w:val="right"/>
              <w:ind w:right="24"/>
              <w:spacing w:after="0" w:line="228"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820" w:type="dxa"/>
            <w:vAlign w:val="bottom"/>
          </w:tcPr>
          <w:p>
            <w:pPr>
              <w:jc w:val="right"/>
              <w:ind w:right="65"/>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840" w:type="dxa"/>
            <w:vAlign w:val="bottom"/>
          </w:tcPr>
          <w:p>
            <w:pPr>
              <w:jc w:val="right"/>
              <w:ind w:right="67"/>
              <w:spacing w:after="0"/>
              <w:rPr>
                <w:sz w:val="20"/>
                <w:szCs w:val="20"/>
                <w:color w:val="auto"/>
              </w:rPr>
            </w:pPr>
            <w:r>
              <w:rPr>
                <w:rFonts w:ascii="Arial" w:cs="Arial" w:eastAsia="Arial" w:hAnsi="Arial"/>
                <w:sz w:val="19"/>
                <w:szCs w:val="19"/>
                <w:b w:val="1"/>
                <w:bCs w:val="1"/>
                <w:color w:val="231F20"/>
              </w:rPr>
              <w:t>2</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100" w:type="dxa"/>
            <w:vAlign w:val="bottom"/>
            <w:vMerge w:val="restart"/>
          </w:tcPr>
          <w:p>
            <w:pPr>
              <w:spacing w:after="0"/>
              <w:rPr>
                <w:sz w:val="20"/>
                <w:szCs w:val="20"/>
                <w:color w:val="auto"/>
              </w:rPr>
            </w:pPr>
            <w:r>
              <w:rPr>
                <w:rFonts w:ascii="Arial" w:cs="Arial" w:eastAsia="Arial" w:hAnsi="Arial"/>
                <w:sz w:val="19"/>
                <w:szCs w:val="19"/>
                <w:b w:val="1"/>
                <w:bCs w:val="1"/>
                <w:color w:val="231F20"/>
              </w:rPr>
              <w:t>Balance as of December 31, 2024</w:t>
            </w: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231F20"/>
                <w:w w:val="99"/>
              </w:rPr>
              <w:t>(143,29</w:t>
            </w: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1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shd w:val="clear" w:color="auto" w:fill="EAEAE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100" w:type="dxa"/>
            <w:vAlign w:val="bottom"/>
          </w:tcPr>
          <w:p>
            <w:pPr>
              <w:spacing w:after="0"/>
              <w:rPr>
                <w:sz w:val="21"/>
                <w:szCs w:val="21"/>
                <w:color w:val="auto"/>
              </w:rPr>
            </w:pPr>
          </w:p>
        </w:tc>
        <w:tc>
          <w:tcPr>
            <w:tcW w:w="940" w:type="dxa"/>
            <w:vAlign w:val="bottom"/>
          </w:tcPr>
          <w:p>
            <w:pPr>
              <w:ind w:left="620"/>
              <w:spacing w:after="0"/>
              <w:rPr>
                <w:sz w:val="20"/>
                <w:szCs w:val="20"/>
                <w:color w:val="auto"/>
              </w:rPr>
            </w:pPr>
            <w:r>
              <w:rPr>
                <w:rFonts w:ascii="Arial" w:cs="Arial" w:eastAsia="Arial" w:hAnsi="Arial"/>
                <w:sz w:val="19"/>
                <w:szCs w:val="19"/>
                <w:b w:val="1"/>
                <w:bCs w:val="1"/>
                <w:color w:val="231F20"/>
              </w:rPr>
              <w:t>20</w:t>
            </w:r>
          </w:p>
        </w:tc>
        <w:tc>
          <w:tcPr>
            <w:tcW w:w="240" w:type="dxa"/>
            <w:vAlign w:val="bottom"/>
          </w:tcPr>
          <w:p>
            <w:pPr>
              <w:spacing w:after="0"/>
              <w:rPr>
                <w:sz w:val="21"/>
                <w:szCs w:val="21"/>
                <w:color w:val="auto"/>
              </w:rPr>
            </w:pPr>
          </w:p>
        </w:tc>
        <w:tc>
          <w:tcPr>
            <w:tcW w:w="980" w:type="dxa"/>
            <w:vAlign w:val="bottom"/>
          </w:tcPr>
          <w:p>
            <w:pPr>
              <w:jc w:val="right"/>
              <w:ind w:right="184"/>
              <w:spacing w:after="0"/>
              <w:rPr>
                <w:sz w:val="20"/>
                <w:szCs w:val="20"/>
                <w:color w:val="auto"/>
              </w:rPr>
            </w:pPr>
            <w:r>
              <w:rPr>
                <w:rFonts w:ascii="Arial" w:cs="Arial" w:eastAsia="Arial" w:hAnsi="Arial"/>
                <w:sz w:val="19"/>
                <w:szCs w:val="19"/>
                <w:b w:val="1"/>
                <w:bCs w:val="1"/>
                <w:color w:val="231F20"/>
              </w:rPr>
              <w:t>13,784</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11,654</w:t>
            </w:r>
          </w:p>
        </w:tc>
        <w:tc>
          <w:tcPr>
            <w:tcW w:w="240" w:type="dxa"/>
            <w:vAlign w:val="bottom"/>
          </w:tcPr>
          <w:p>
            <w:pPr>
              <w:spacing w:after="0"/>
              <w:rPr>
                <w:sz w:val="21"/>
                <w:szCs w:val="21"/>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116</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148,035</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5)</w:t>
            </w:r>
          </w:p>
        </w:tc>
        <w:tc>
          <w:tcPr>
            <w:tcW w:w="20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Arial" w:cs="Arial" w:eastAsia="Arial" w:hAnsi="Arial"/>
                <w:sz w:val="19"/>
                <w:szCs w:val="19"/>
                <w:b w:val="1"/>
                <w:bCs w:val="1"/>
                <w:color w:val="231F20"/>
              </w:rPr>
              <w:t>6</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4,862</w:t>
            </w:r>
          </w:p>
        </w:tc>
        <w:tc>
          <w:tcPr>
            <w:tcW w:w="80" w:type="dxa"/>
            <w:vAlign w:val="bottom"/>
            <w:tcBorders>
              <w:bottom w:val="single" w:sz="8" w:color="EAEAEC"/>
            </w:tcBorders>
            <w:shd w:val="clear" w:color="auto" w:fill="EAEAEC"/>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00" w:type="dxa"/>
            <w:vAlign w:val="bottom"/>
          </w:tcPr>
          <w:p>
            <w:pPr>
              <w:spacing w:after="0" w:line="194" w:lineRule="exact"/>
              <w:rPr>
                <w:sz w:val="20"/>
                <w:szCs w:val="20"/>
                <w:color w:val="auto"/>
              </w:rPr>
            </w:pPr>
            <w:r>
              <w:rPr>
                <w:rFonts w:ascii="Arial" w:cs="Arial" w:eastAsia="Arial" w:hAnsi="Arial"/>
                <w:sz w:val="19"/>
                <w:szCs w:val="19"/>
                <w:b w:val="1"/>
                <w:bCs w:val="1"/>
                <w:color w:val="231F20"/>
                <w:w w:val="94"/>
              </w:rPr>
              <w:t>Stock-based compensation under the 2020 Plan</w:t>
            </w:r>
          </w:p>
        </w:tc>
        <w:tc>
          <w:tcPr>
            <w:tcW w:w="940" w:type="dxa"/>
            <w:vAlign w:val="bottom"/>
          </w:tcPr>
          <w:p>
            <w:pPr>
              <w:ind w:left="620"/>
              <w:spacing w:after="0" w:line="19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6"/>
                <w:szCs w:val="16"/>
                <w:color w:val="auto"/>
              </w:rPr>
            </w:pPr>
          </w:p>
        </w:tc>
        <w:tc>
          <w:tcPr>
            <w:tcW w:w="980" w:type="dxa"/>
            <w:vAlign w:val="bottom"/>
          </w:tcPr>
          <w:p>
            <w:pPr>
              <w:jc w:val="right"/>
              <w:ind w:right="184"/>
              <w:spacing w:after="0" w:line="194"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line="19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6"/>
                <w:szCs w:val="16"/>
                <w:color w:val="auto"/>
              </w:rPr>
            </w:pPr>
          </w:p>
        </w:tc>
        <w:tc>
          <w:tcPr>
            <w:tcW w:w="820" w:type="dxa"/>
            <w:vAlign w:val="bottom"/>
          </w:tcPr>
          <w:p>
            <w:pPr>
              <w:jc w:val="right"/>
              <w:ind w:right="24"/>
              <w:spacing w:after="0" w:line="194"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194" w:lineRule="exact"/>
              <w:rPr>
                <w:sz w:val="20"/>
                <w:szCs w:val="20"/>
                <w:color w:val="auto"/>
              </w:rPr>
            </w:pPr>
            <w:r>
              <w:rPr>
                <w:rFonts w:ascii="Arial" w:cs="Arial" w:eastAsia="Arial" w:hAnsi="Arial"/>
                <w:sz w:val="19"/>
                <w:szCs w:val="19"/>
                <w:b w:val="1"/>
                <w:bCs w:val="1"/>
                <w:color w:val="231F20"/>
              </w:rPr>
              <w:t>3,143</w:t>
            </w:r>
          </w:p>
        </w:tc>
        <w:tc>
          <w:tcPr>
            <w:tcW w:w="220" w:type="dxa"/>
            <w:vAlign w:val="bottom"/>
          </w:tcPr>
          <w:p>
            <w:pPr>
              <w:spacing w:after="0"/>
              <w:rPr>
                <w:sz w:val="16"/>
                <w:szCs w:val="16"/>
                <w:color w:val="auto"/>
              </w:rPr>
            </w:pPr>
          </w:p>
        </w:tc>
        <w:tc>
          <w:tcPr>
            <w:tcW w:w="820" w:type="dxa"/>
            <w:vAlign w:val="bottom"/>
          </w:tcPr>
          <w:p>
            <w:pPr>
              <w:jc w:val="right"/>
              <w:ind w:right="65"/>
              <w:spacing w:after="0" w:line="194"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16"/>
                <w:szCs w:val="16"/>
                <w:color w:val="auto"/>
              </w:rPr>
            </w:pPr>
          </w:p>
        </w:tc>
        <w:tc>
          <w:tcPr>
            <w:tcW w:w="840" w:type="dxa"/>
            <w:vAlign w:val="bottom"/>
          </w:tcPr>
          <w:p>
            <w:pPr>
              <w:jc w:val="right"/>
              <w:ind w:right="67"/>
              <w:spacing w:after="0" w:line="194"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9"/>
                <w:szCs w:val="19"/>
                <w:b w:val="1"/>
                <w:bCs w:val="1"/>
                <w:color w:val="231F20"/>
              </w:rPr>
              <w:t>3,143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w w:val="87"/>
              </w:rPr>
              <w:t>Exercise of stock options under the Incentive Plans</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17</w:t>
            </w:r>
          </w:p>
        </w:tc>
        <w:tc>
          <w:tcPr>
            <w:tcW w:w="240" w:type="dxa"/>
            <w:vAlign w:val="bottom"/>
          </w:tcPr>
          <w:p>
            <w:pPr>
              <w:spacing w:after="0"/>
              <w:rPr>
                <w:sz w:val="20"/>
                <w:szCs w:val="20"/>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1</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92</w:t>
            </w:r>
          </w:p>
        </w:tc>
        <w:tc>
          <w:tcPr>
            <w:tcW w:w="220" w:type="dxa"/>
            <w:vAlign w:val="bottom"/>
          </w:tcPr>
          <w:p>
            <w:pPr>
              <w:spacing w:after="0"/>
              <w:rPr>
                <w:sz w:val="20"/>
                <w:szCs w:val="20"/>
                <w:color w:val="auto"/>
              </w:rPr>
            </w:pPr>
          </w:p>
        </w:tc>
        <w:tc>
          <w:tcPr>
            <w:tcW w:w="820" w:type="dxa"/>
            <w:vAlign w:val="bottom"/>
          </w:tcPr>
          <w:p>
            <w:pPr>
              <w:jc w:val="right"/>
              <w:ind w:right="65"/>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840" w:type="dxa"/>
            <w:vAlign w:val="bottom"/>
          </w:tcPr>
          <w:p>
            <w:pPr>
              <w:jc w:val="right"/>
              <w:ind w:right="67"/>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w w:val="96"/>
              </w:rPr>
              <w:t>Issuance of common stock under the Incentive</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9"/>
                <w:szCs w:val="19"/>
                <w:b w:val="1"/>
                <w:bCs w:val="1"/>
                <w:color w:val="231F20"/>
              </w:rPr>
              <w:t>Plans, net of forfeitures</w:t>
            </w:r>
          </w:p>
        </w:tc>
        <w:tc>
          <w:tcPr>
            <w:tcW w:w="940" w:type="dxa"/>
            <w:vAlign w:val="bottom"/>
          </w:tcPr>
          <w:p>
            <w:pPr>
              <w:ind w:left="620"/>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980" w:type="dxa"/>
            <w:vAlign w:val="bottom"/>
          </w:tcPr>
          <w:p>
            <w:pPr>
              <w:jc w:val="right"/>
              <w:ind w:right="184"/>
              <w:spacing w:after="0" w:line="224"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246</w:t>
            </w:r>
          </w:p>
        </w:tc>
        <w:tc>
          <w:tcPr>
            <w:tcW w:w="240" w:type="dxa"/>
            <w:vAlign w:val="bottom"/>
          </w:tcPr>
          <w:p>
            <w:pPr>
              <w:spacing w:after="0"/>
              <w:rPr>
                <w:sz w:val="19"/>
                <w:szCs w:val="19"/>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2</w:t>
            </w:r>
          </w:p>
        </w:tc>
        <w:tc>
          <w:tcPr>
            <w:tcW w:w="1100" w:type="dxa"/>
            <w:vAlign w:val="bottom"/>
          </w:tcPr>
          <w:p>
            <w:pPr>
              <w:jc w:val="right"/>
              <w:ind w:right="6"/>
              <w:spacing w:after="0"/>
              <w:rPr>
                <w:sz w:val="20"/>
                <w:szCs w:val="20"/>
                <w:color w:val="auto"/>
              </w:rPr>
            </w:pPr>
            <w:r>
              <w:rPr>
                <w:rFonts w:ascii="Arial" w:cs="Arial" w:eastAsia="Arial" w:hAnsi="Arial"/>
                <w:sz w:val="19"/>
                <w:szCs w:val="19"/>
                <w:b w:val="1"/>
                <w:bCs w:val="1"/>
                <w:color w:val="231F20"/>
              </w:rPr>
              <w:t>(427)</w:t>
            </w:r>
          </w:p>
        </w:tc>
        <w:tc>
          <w:tcPr>
            <w:tcW w:w="220" w:type="dxa"/>
            <w:vAlign w:val="bottom"/>
          </w:tcPr>
          <w:p>
            <w:pPr>
              <w:spacing w:after="0"/>
              <w:rPr>
                <w:sz w:val="19"/>
                <w:szCs w:val="19"/>
                <w:color w:val="auto"/>
              </w:rPr>
            </w:pPr>
          </w:p>
        </w:tc>
        <w:tc>
          <w:tcPr>
            <w:tcW w:w="820" w:type="dxa"/>
            <w:vAlign w:val="bottom"/>
          </w:tcPr>
          <w:p>
            <w:pPr>
              <w:jc w:val="right"/>
              <w:ind w:right="65"/>
              <w:spacing w:after="0" w:line="224"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19"/>
                <w:szCs w:val="19"/>
                <w:color w:val="auto"/>
              </w:rPr>
            </w:pPr>
          </w:p>
        </w:tc>
        <w:tc>
          <w:tcPr>
            <w:tcW w:w="840" w:type="dxa"/>
            <w:vAlign w:val="bottom"/>
          </w:tcPr>
          <w:p>
            <w:pPr>
              <w:jc w:val="right"/>
              <w:ind w:right="67"/>
              <w:spacing w:after="0" w:line="224"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(425)</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w w:val="92"/>
              </w:rPr>
              <w:t>Issuance of common stock under the 2020 ESPP</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76</w:t>
            </w:r>
          </w:p>
        </w:tc>
        <w:tc>
          <w:tcPr>
            <w:tcW w:w="240" w:type="dxa"/>
            <w:vAlign w:val="bottom"/>
          </w:tcPr>
          <w:p>
            <w:pPr>
              <w:spacing w:after="0"/>
              <w:rPr>
                <w:sz w:val="20"/>
                <w:szCs w:val="20"/>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1</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589</w:t>
            </w:r>
          </w:p>
        </w:tc>
        <w:tc>
          <w:tcPr>
            <w:tcW w:w="220" w:type="dxa"/>
            <w:vAlign w:val="bottom"/>
          </w:tcPr>
          <w:p>
            <w:pPr>
              <w:spacing w:after="0"/>
              <w:rPr>
                <w:sz w:val="20"/>
                <w:szCs w:val="20"/>
                <w:color w:val="auto"/>
              </w:rPr>
            </w:pPr>
          </w:p>
        </w:tc>
        <w:tc>
          <w:tcPr>
            <w:tcW w:w="820" w:type="dxa"/>
            <w:vAlign w:val="bottom"/>
          </w:tcPr>
          <w:p>
            <w:pPr>
              <w:jc w:val="right"/>
              <w:ind w:right="65"/>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840" w:type="dxa"/>
            <w:vAlign w:val="bottom"/>
          </w:tcPr>
          <w:p>
            <w:pPr>
              <w:jc w:val="right"/>
              <w:ind w:right="67"/>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231F20"/>
              </w:rPr>
              <w:t>590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820" w:type="dxa"/>
            <w:vAlign w:val="bottom"/>
          </w:tcPr>
          <w:p>
            <w:pPr>
              <w:jc w:val="right"/>
              <w:ind w:right="24"/>
              <w:spacing w:after="0" w:line="228"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200" w:type="dxa"/>
            <w:vAlign w:val="bottom"/>
          </w:tcPr>
          <w:p>
            <w:pPr>
              <w:spacing w:after="0"/>
              <w:rPr>
                <w:sz w:val="20"/>
                <w:szCs w:val="20"/>
                <w:color w:val="auto"/>
              </w:rPr>
            </w:pPr>
          </w:p>
        </w:tc>
        <w:tc>
          <w:tcPr>
            <w:tcW w:w="840" w:type="dxa"/>
            <w:vAlign w:val="bottom"/>
          </w:tcPr>
          <w:p>
            <w:pPr>
              <w:jc w:val="right"/>
              <w:ind w:right="67"/>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(34,280)</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rPr>
              <w:t>Change in unrealized gain on investments</w:t>
            </w:r>
          </w:p>
        </w:tc>
        <w:tc>
          <w:tcPr>
            <w:tcW w:w="940" w:type="dxa"/>
            <w:vAlign w:val="bottom"/>
          </w:tcPr>
          <w:p>
            <w:pPr>
              <w:ind w:left="620"/>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980" w:type="dxa"/>
            <w:vAlign w:val="bottom"/>
          </w:tcPr>
          <w:p>
            <w:pPr>
              <w:jc w:val="right"/>
              <w:ind w:right="184"/>
              <w:spacing w:after="0" w:line="228" w:lineRule="exact"/>
              <w:rPr>
                <w:sz w:val="20"/>
                <w:szCs w:val="20"/>
                <w:color w:val="auto"/>
              </w:rPr>
            </w:pPr>
            <w:r>
              <w:rPr>
                <w:rFonts w:ascii="PMingLiU" w:cs="PMingLiU" w:eastAsia="PMingLiU" w:hAnsi="PMingLiU"/>
                <w:sz w:val="19"/>
                <w:szCs w:val="19"/>
                <w:b w:val="1"/>
                <w:bCs w:val="1"/>
                <w:color w:val="231F20"/>
              </w:rPr>
              <w:t></w:t>
            </w:r>
          </w:p>
        </w:tc>
        <w:tc>
          <w:tcPr>
            <w:tcW w:w="1080" w:type="dxa"/>
            <w:vAlign w:val="bottom"/>
          </w:tcPr>
          <w:p>
            <w:pPr>
              <w:jc w:val="right"/>
              <w:ind w:right="25"/>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820" w:type="dxa"/>
            <w:vAlign w:val="bottom"/>
          </w:tcPr>
          <w:p>
            <w:pPr>
              <w:jc w:val="right"/>
              <w:ind w:right="24"/>
              <w:spacing w:after="0" w:line="228" w:lineRule="exact"/>
              <w:rPr>
                <w:sz w:val="20"/>
                <w:szCs w:val="20"/>
                <w:color w:val="auto"/>
              </w:rPr>
            </w:pPr>
            <w:r>
              <w:rPr>
                <w:rFonts w:ascii="PMingLiU" w:cs="PMingLiU" w:eastAsia="PMingLiU" w:hAnsi="PMingLiU"/>
                <w:sz w:val="19"/>
                <w:szCs w:val="19"/>
                <w:b w:val="1"/>
                <w:bCs w:val="1"/>
                <w:color w:val="231F20"/>
              </w:rPr>
              <w:t></w:t>
            </w:r>
          </w:p>
        </w:tc>
        <w:tc>
          <w:tcPr>
            <w:tcW w:w="1100" w:type="dxa"/>
            <w:vAlign w:val="bottom"/>
          </w:tcPr>
          <w:p>
            <w:pPr>
              <w:jc w:val="right"/>
              <w:ind w:right="86"/>
              <w:spacing w:after="0" w:line="228"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0"/>
                <w:szCs w:val="20"/>
                <w:color w:val="auto"/>
              </w:rPr>
            </w:pPr>
          </w:p>
        </w:tc>
        <w:tc>
          <w:tcPr>
            <w:tcW w:w="820" w:type="dxa"/>
            <w:vAlign w:val="bottom"/>
          </w:tcPr>
          <w:p>
            <w:pPr>
              <w:jc w:val="right"/>
              <w:ind w:right="65"/>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(2)</w:t>
            </w: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(2)</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0"/>
                <w:szCs w:val="20"/>
                <w:color w:val="auto"/>
              </w:rPr>
            </w:pPr>
            <w:r>
              <w:rPr>
                <w:rFonts w:ascii="Arial" w:cs="Arial" w:eastAsia="Arial" w:hAnsi="Arial"/>
                <w:sz w:val="19"/>
                <w:szCs w:val="19"/>
                <w:b w:val="1"/>
                <w:bCs w:val="1"/>
                <w:color w:val="231F20"/>
              </w:rPr>
              <w:t>Balance as of December 31, 2025</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65"/>
              <w:spacing w:after="0"/>
              <w:rPr>
                <w:sz w:val="20"/>
                <w:szCs w:val="20"/>
                <w:color w:val="auto"/>
              </w:rPr>
            </w:pPr>
            <w:r>
              <w:rPr>
                <w:rFonts w:ascii="Arial" w:cs="Arial" w:eastAsia="Arial" w:hAnsi="Arial"/>
                <w:sz w:val="19"/>
                <w:szCs w:val="19"/>
                <w:b w:val="1"/>
                <w:bCs w:val="1"/>
                <w:color w:val="231F20"/>
                <w:w w:val="99"/>
              </w:rPr>
              <w:t>(177,57</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Arial" w:cs="Arial" w:eastAsia="Arial" w:hAnsi="Arial"/>
                <w:sz w:val="19"/>
                <w:szCs w:val="19"/>
                <w:b w:val="1"/>
                <w:bCs w:val="1"/>
                <w:color w:val="231F20"/>
              </w:rPr>
              <w:t>20</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84"/>
              <w:spacing w:after="0"/>
              <w:rPr>
                <w:sz w:val="20"/>
                <w:szCs w:val="20"/>
                <w:color w:val="auto"/>
              </w:rPr>
            </w:pPr>
            <w:r>
              <w:rPr>
                <w:rFonts w:ascii="Arial" w:cs="Arial" w:eastAsia="Arial" w:hAnsi="Arial"/>
                <w:sz w:val="19"/>
                <w:szCs w:val="19"/>
                <w:b w:val="1"/>
                <w:bCs w:val="1"/>
                <w:color w:val="231F20"/>
              </w:rPr>
              <w:t>13,784</w:t>
            </w:r>
          </w:p>
        </w:tc>
        <w:tc>
          <w:tcPr>
            <w:tcW w:w="1080" w:type="dxa"/>
            <w:vAlign w:val="bottom"/>
          </w:tcPr>
          <w:p>
            <w:pPr>
              <w:jc w:val="right"/>
              <w:ind w:right="25"/>
              <w:spacing w:after="0"/>
              <w:rPr>
                <w:sz w:val="20"/>
                <w:szCs w:val="20"/>
                <w:color w:val="auto"/>
              </w:rPr>
            </w:pPr>
            <w:r>
              <w:rPr>
                <w:rFonts w:ascii="Arial" w:cs="Arial" w:eastAsia="Arial" w:hAnsi="Arial"/>
                <w:sz w:val="19"/>
                <w:szCs w:val="19"/>
                <w:b w:val="1"/>
                <w:bCs w:val="1"/>
                <w:color w:val="231F20"/>
              </w:rPr>
              <w:t>11,993</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ind w:right="24"/>
              <w:spacing w:after="0"/>
              <w:rPr>
                <w:sz w:val="20"/>
                <w:szCs w:val="20"/>
                <w:color w:val="auto"/>
              </w:rPr>
            </w:pPr>
            <w:r>
              <w:rPr>
                <w:rFonts w:ascii="Arial" w:cs="Arial" w:eastAsia="Arial" w:hAnsi="Arial"/>
                <w:sz w:val="19"/>
                <w:szCs w:val="19"/>
                <w:b w:val="1"/>
                <w:bCs w:val="1"/>
                <w:color w:val="231F20"/>
              </w:rPr>
              <w:t>120</w:t>
            </w:r>
          </w:p>
        </w:tc>
        <w:tc>
          <w:tcPr>
            <w:tcW w:w="1100" w:type="dxa"/>
            <w:vAlign w:val="bottom"/>
          </w:tcPr>
          <w:p>
            <w:pPr>
              <w:jc w:val="right"/>
              <w:ind w:right="86"/>
              <w:spacing w:after="0"/>
              <w:rPr>
                <w:sz w:val="20"/>
                <w:szCs w:val="20"/>
                <w:color w:val="auto"/>
              </w:rPr>
            </w:pPr>
            <w:r>
              <w:rPr>
                <w:rFonts w:ascii="Arial" w:cs="Arial" w:eastAsia="Arial" w:hAnsi="Arial"/>
                <w:sz w:val="19"/>
                <w:szCs w:val="19"/>
                <w:b w:val="1"/>
                <w:bCs w:val="1"/>
                <w:color w:val="231F20"/>
              </w:rPr>
              <w:t>$ 151,432</w:t>
            </w:r>
          </w:p>
        </w:tc>
        <w:tc>
          <w:tcPr>
            <w:tcW w:w="220" w:type="dxa"/>
            <w:vAlign w:val="bottom"/>
          </w:tcPr>
          <w:p>
            <w:pPr>
              <w:ind w:left="80"/>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231F20"/>
              </w:rPr>
              <w:t>5)</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40" w:type="dxa"/>
            <w:vAlign w:val="bottom"/>
          </w:tcPr>
          <w:p>
            <w:pPr>
              <w:jc w:val="right"/>
              <w:ind w:right="67"/>
              <w:spacing w:after="0"/>
              <w:rPr>
                <w:sz w:val="20"/>
                <w:szCs w:val="20"/>
                <w:color w:val="auto"/>
              </w:rPr>
            </w:pPr>
            <w:r>
              <w:rPr>
                <w:rFonts w:ascii="Arial" w:cs="Arial" w:eastAsia="Arial" w:hAnsi="Arial"/>
                <w:sz w:val="19"/>
                <w:szCs w:val="19"/>
                <w:b w:val="1"/>
                <w:bCs w:val="1"/>
                <w:color w:val="231F20"/>
              </w:rPr>
              <w:t>4</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(26,019)</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231F20"/>
        </w:rPr>
        <w:t>The accompanying notes are an integral part of these financial statements</w:t>
      </w:r>
    </w:p>
    <w:p>
      <w:pPr>
        <w:sectPr>
          <w:pgSz w:w="15840" w:h="12240" w:orient="landscape"/>
          <w:cols w:equalWidth="0" w:num="2">
            <w:col w:w="218" w:space="485"/>
            <w:col w:w="12760"/>
          </w:cols>
          <w:pgMar w:left="937" w:top="1440" w:right="1440" w:bottom="1440" w:gutter="0" w:footer="0" w:header="0"/>
        </w:sectPr>
      </w:pPr>
    </w:p>
    <w:bookmarkStart w:id="108" w:name="page109"/>
    <w:bookmarkEnd w:id="108"/>
    <w:p>
      <w:pPr>
        <w:spacing w:after="0" w:line="337" w:lineRule="exact"/>
        <w:rPr>
          <w:sz w:val="20"/>
          <w:szCs w:val="20"/>
          <w:color w:val="auto"/>
        </w:rPr>
      </w:pPr>
    </w:p>
    <w:p>
      <w:pPr>
        <w:ind w:left="2920"/>
        <w:spacing w:after="0"/>
        <w:rPr>
          <w:sz w:val="20"/>
          <w:szCs w:val="20"/>
          <w:color w:val="auto"/>
        </w:rPr>
      </w:pPr>
      <w:r>
        <w:rPr>
          <w:rFonts w:ascii="Arial" w:cs="Arial" w:eastAsia="Arial" w:hAnsi="Arial"/>
          <w:sz w:val="19"/>
          <w:szCs w:val="19"/>
          <w:b w:val="1"/>
          <w:bCs w:val="1"/>
          <w:color w:val="231F20"/>
        </w:rPr>
        <w:t>NOTES TO FINANCIAL STATEMENTS</w:t>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231F20"/>
        </w:rPr>
        <w:t>(In thousands, except per share amounts)</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 Overview and Basis of Presentation</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Overview and Organization</w:t>
      </w:r>
    </w:p>
    <w:p>
      <w:pPr>
        <w:spacing w:after="0" w:line="125"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LENSAR, Inc.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LENSAR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or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LNSR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on The Nasdaq Stock Market LLC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Nasdaq</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revenue is derived from the sale and lease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LENSAR Laser System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LLS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and ALLY Robotic Cataract Laser System</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ALLY System</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(collectively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Systems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which may include equipment, a consumable referred to as the Patient Interface Device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PID</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procedure licenses, training, installation, limited warranty and maintenance agreements through extended warranty. The Company has developed its ALLY System as a compact, highly ergonomic system utilizing an extremely fast dual-modality laser and integrating artificial intelligence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AI</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into proprietary imaging and software. The ALLY System is designed to transform premium cataract surgery by utilizing LENSAR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advanced robotic technologies with the ability to perform the entire procedure in a sterile operating room or in-office surgical suite, delivering operational efficiencies and reducing overhead. The Company executed a controlled and targeted initial launch of the ALLY System beginning in August 2022 in the United States. The ALLY System is available to U.S. and European Union cataract surgeons and has also received regulatory clearance in India, Taiwan, South Korea, and certain other countries.</w:t>
      </w:r>
    </w:p>
    <w:p>
      <w:pPr>
        <w:spacing w:after="0" w:line="24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 xml:space="preserve">On March 23, 2025, the Company entered into an Agreement and Plan of Merger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Merger Agreement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with Alcon Research, LLC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Alcon</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and VMI Option Merger Sub, Inc.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Merger Sub</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which provided that, subject to the terms and conditions set forth in the Merger Agreement, Merger Sub would merge with and into the Company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Merger</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with the Company continuing as the surviving corporation of the Merger and as a wholly-owned subsidiary of Alcon. The Merger Agreement was terminated by the parties on March 16, 2026; for further information see Note 18, Subsequent Events.</w:t>
      </w:r>
    </w:p>
    <w:p>
      <w:pPr>
        <w:spacing w:after="0" w:line="24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 xml:space="preserve">The Company received a $10,000 cash deposit towards the aggregate cash consideration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Merger Deposit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which is classified as a current liability on the balance sheet at December 31, 2025. As of such date, the Merger Deposit was considered the property of Alcon in accordance with the terms of the Merger Agreement. For further information on the impact of the termination of the Merger Agreement on the Merger Deposit, see Note 18, Subsequent Events. Refer to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Acquisition-Related Costs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in Note 2, Summary of Significant Accounting Policies, for information regarding acquisition-related costs.</w:t>
      </w:r>
    </w:p>
    <w:p>
      <w:pPr>
        <w:spacing w:after="0" w:line="244" w:lineRule="exact"/>
        <w:rPr>
          <w:sz w:val="20"/>
          <w:szCs w:val="20"/>
          <w:color w:val="auto"/>
        </w:rPr>
      </w:pPr>
    </w:p>
    <w:p>
      <w:pPr>
        <w:jc w:val="both"/>
        <w:ind w:left="140" w:right="140"/>
        <w:spacing w:after="0" w:line="300" w:lineRule="auto"/>
        <w:rPr>
          <w:sz w:val="20"/>
          <w:szCs w:val="20"/>
          <w:color w:val="auto"/>
        </w:rPr>
      </w:pPr>
      <w:r>
        <w:rPr>
          <w:rFonts w:ascii="Arial" w:cs="Arial" w:eastAsia="Arial" w:hAnsi="Arial"/>
          <w:sz w:val="16"/>
          <w:szCs w:val="16"/>
          <w:b w:val="1"/>
          <w:bCs w:val="1"/>
          <w:color w:val="231F20"/>
        </w:rPr>
        <w:t>The Company has incurred recurring losses and operating cash outflows since its inception and as of December 31, 2025 had an accumulated deficit of $177,575. The Company expects to continue to incur losses and cash outflows from operating activities for the near-term future. Pricing increases in component parts for the ALLY System resulting from inflationary pressures, related macroeconomic conditions, and tariffs may necessitate an increase in overall cost to customers, which in turn may have an adverse impact on customer demand.</w:t>
      </w:r>
    </w:p>
    <w:p>
      <w:pPr>
        <w:spacing w:after="0" w:line="199"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Management believes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cash, cash equivalents, and investments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The U.S. government has recently implemented significant changes in U.S. trade policy and taken certain actions that have impacted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business, including imposing tariffs on certain goods imported into the United States, and we have seen a resulting negative impact on our gross profit margin, as we have not passed on these additional costs to our customers. Some of these changes have triggered retaliatory actions by affected countries that could negatively impact demand for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products in these regions, as well as negatively impact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gross profit margin. In addition,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growth depends in part 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ability to produce the ALLY System in sufficient quantities, within requested timelines and at an acceptable price to satisfy customer demand. Our results could be adversely impacted if our distributors do not resume their sales activity to previous levels.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liquidity</w:t>
      </w:r>
    </w:p>
    <w:p>
      <w:pPr>
        <w:sectPr>
          <w:pgSz w:w="12240" w:h="15840" w:orient="portrait"/>
          <w:cols w:equalWidth="0" w:num="1">
            <w:col w:w="9360"/>
          </w:cols>
          <w:pgMar w:left="1440" w:top="1440"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F-7</w:t>
      </w:r>
    </w:p>
    <w:p>
      <w:pPr>
        <w:sectPr>
          <w:pgSz w:w="12240" w:h="15840" w:orient="portrait"/>
          <w:cols w:equalWidth="0" w:num="1">
            <w:col w:w="9360"/>
          </w:cols>
          <w:pgMar w:left="1440" w:top="1440" w:right="1440" w:bottom="378" w:gutter="0" w:footer="0" w:header="0"/>
          <w:type w:val="continuous"/>
        </w:sectPr>
      </w:pPr>
    </w:p>
    <w:bookmarkStart w:id="109" w:name="page110"/>
    <w:bookmarkEnd w:id="109"/>
    <w:p>
      <w:pPr>
        <w:spacing w:after="0" w:line="34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needs will be largely determined by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ability to raise additional funds will depend, among other factors, on financial, economic and market conditions, many of which are outside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spacing w:after="0" w:line="36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Basis of Presentation</w:t>
      </w:r>
    </w:p>
    <w:p>
      <w:pPr>
        <w:spacing w:after="0" w:line="125"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These financial statements have been prepared in accordance with generally accepted accounting principles in the United States of America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U.S. GAAP</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and pursuant to the regulations of the U.S. Securities and Exchange Commission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SEC</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2. Summary of Significant Accounting Policies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Accounting Estimates</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The preparation of financial statements in conformity with U.S. GAAP requires management to make estimates and assumptions that affect the amounts reported in the financial statements and accompanying notes to the financial statements. The accounting estimates that require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24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As of the date of issuance of these financial statements, the Company is not aware of any specific event or circumstance that would require the Company to update estimates, judgments or revise the carrying value of any assets or liabilities.</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Segment Reporting</w:t>
      </w:r>
    </w:p>
    <w:p>
      <w:pPr>
        <w:spacing w:after="0" w:line="128"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Operating segments are defined as components of an entity for which separate financial information is available and that is regularly reviewed by the Chief Operating Decision Maker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CODM</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in deciding how to allocate resources to an individual segment and in assessing performance.</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Cash and Cash Equivalents</w:t>
      </w:r>
    </w:p>
    <w:p>
      <w:pPr>
        <w:spacing w:after="0" w:line="128"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The Company considers all highly liquid investments with initial maturities of three months or less at the date of purchase to be cash equivalents. Cash equivalents consist primarily of amounts invested in money market funds and U.S. Treasury bills that are stated at fair value, based on quoted market prices.</w:t>
      </w:r>
    </w:p>
    <w:p>
      <w:pPr>
        <w:spacing w:after="0" w:line="33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Investments</w:t>
      </w:r>
    </w:p>
    <w:p>
      <w:pPr>
        <w:spacing w:after="0" w:line="128"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6"/>
          <w:szCs w:val="16"/>
          <w:b w:val="1"/>
          <w:bCs w:val="1"/>
          <w:color w:val="231F20"/>
        </w:rPr>
        <w:t>Investments consist of money market funds, U.S. treasury bills and government securities, and certificates of deposit.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w:t>
      </w:r>
    </w:p>
    <w:p>
      <w:pPr>
        <w:sectPr>
          <w:pgSz w:w="12240" w:h="15840" w:orient="portrait"/>
          <w:cols w:equalWidth="0" w:num="1">
            <w:col w:w="9360"/>
          </w:cols>
          <w:pgMar w:left="1440" w:top="1440"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F-8</w:t>
      </w:r>
    </w:p>
    <w:p>
      <w:pPr>
        <w:sectPr>
          <w:pgSz w:w="12240" w:h="15840" w:orient="portrait"/>
          <w:cols w:equalWidth="0" w:num="1">
            <w:col w:w="9360"/>
          </w:cols>
          <w:pgMar w:left="1440" w:top="1440" w:right="1440" w:bottom="378" w:gutter="0" w:footer="0" w:header="0"/>
          <w:type w:val="continuous"/>
        </w:sectPr>
      </w:pPr>
    </w:p>
    <w:bookmarkStart w:id="110" w:name="page111"/>
    <w:bookmarkEnd w:id="110"/>
    <w:p>
      <w:pPr>
        <w:spacing w:after="0" w:line="34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classifications at each balance sheet date. Investments with contractual maturities greater than 12 months are considered long-term investments.</w:t>
      </w:r>
    </w:p>
    <w:p>
      <w:pPr>
        <w:spacing w:after="0" w:line="24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Changes in unrealized gains or losses of investments are recorded in other comprehensive income on the statements of operations. 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net in the statements of operations, and an allowance for credit loss is recorded on the balance sheets. In circumstances when the decline in fair value is non-credit related, the difference is reported in accumulated other comprehensive loss, net of tax as a separate component of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equity.</w:t>
      </w:r>
    </w:p>
    <w:p>
      <w:pPr>
        <w:spacing w:after="0" w:line="36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Concentration of Credit Risk, Credit Losses, and Other Risks and Uncertainties</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Financial instruments that potentially subject the Company to a concentration of credit risk consist primarily of cash, cash equivalents, and investments. The primary objectives for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Furthermore, the Company limits the amount of credit exposure in any one financial instrument. The Company has not experienced any losses on its deposits of cash, cash equivalents and investments.</w:t>
      </w:r>
    </w:p>
    <w:p>
      <w:pPr>
        <w:spacing w:after="0" w:line="35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Accounts Receivable</w:t>
      </w:r>
    </w:p>
    <w:p>
      <w:pPr>
        <w:spacing w:after="0" w:line="128"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The Company makes estimates of the collectability of accounts receivable. In doing so, the Company analyzes historical bad debt trends, customer credit worthiness, current economic trends, changes in customer payment patterns, and possible impact of current conditions and reasonable forecasts not already reflected in historical loss information when evaluating the adequacy of the allowance for credit losses. Amounts are charged off against the allowance for credit losses when the Company determines that recovery is unlikely, and the Company ceases collection efforts.</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Derivative Financial Instruments</w:t>
      </w:r>
    </w:p>
    <w:p>
      <w:pPr>
        <w:spacing w:after="0" w:line="125" w:lineRule="exact"/>
        <w:rPr>
          <w:sz w:val="20"/>
          <w:szCs w:val="20"/>
          <w:color w:val="auto"/>
        </w:rPr>
      </w:pPr>
    </w:p>
    <w:p>
      <w:pPr>
        <w:jc w:val="both"/>
        <w:ind w:left="140" w:right="140" w:firstLine="2"/>
        <w:spacing w:after="0" w:line="222" w:lineRule="exact"/>
        <w:rPr>
          <w:sz w:val="20"/>
          <w:szCs w:val="20"/>
          <w:color w:val="auto"/>
        </w:rPr>
      </w:pPr>
      <w:r>
        <w:rPr>
          <w:rFonts w:ascii="Arial" w:cs="Arial" w:eastAsia="Arial" w:hAnsi="Arial"/>
          <w:sz w:val="16"/>
          <w:szCs w:val="16"/>
          <w:b w:val="1"/>
          <w:bCs w:val="1"/>
          <w:color w:val="231F20"/>
        </w:rPr>
        <w:t>The Company evaluates financial instruments to determine if such instruments are derivatives or contain features that qualify as embedded derivatives in accordance with ASC Topic 815, Derivatives and Hedging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ASC 815</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For derivative financial instruments that are accounted for as liabilities, the derivative instrument is initially recorded at its fair value and is then re-valued at each reporting date, with changes in the fair value reported in the statements of operations. Warrants issued by the Company that do not meet the criteria for equity treatment are recorded as liabilities. We do not use financial instruments or derivatives for any trading purposes.</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Fair Value Measurement</w:t>
      </w:r>
    </w:p>
    <w:p>
      <w:pPr>
        <w:spacing w:after="0" w:line="128" w:lineRule="exact"/>
        <w:rPr>
          <w:sz w:val="20"/>
          <w:szCs w:val="20"/>
          <w:color w:val="auto"/>
        </w:rPr>
      </w:pPr>
    </w:p>
    <w:p>
      <w:pPr>
        <w:jc w:val="both"/>
        <w:ind w:left="140" w:right="140"/>
        <w:spacing w:after="0" w:line="219" w:lineRule="exact"/>
        <w:rPr>
          <w:sz w:val="20"/>
          <w:szCs w:val="20"/>
          <w:color w:val="auto"/>
        </w:rPr>
      </w:pPr>
      <w:r>
        <w:rPr>
          <w:rFonts w:ascii="Arial" w:cs="Arial" w:eastAsia="Arial" w:hAnsi="Arial"/>
          <w:sz w:val="16"/>
          <w:szCs w:val="16"/>
          <w:b w:val="1"/>
          <w:bCs w:val="1"/>
          <w:color w:val="231F20"/>
        </w:rPr>
        <w:t>The fair value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financial instruments are estimates of the amounts that would be received if the Company were to sell an asset or the Company paid to transfer a liability in an orderly transaction between market</w:t>
      </w:r>
    </w:p>
    <w:p>
      <w:pPr>
        <w:sectPr>
          <w:pgSz w:w="12240" w:h="15840" w:orient="portrait"/>
          <w:cols w:equalWidth="0" w:num="1">
            <w:col w:w="9360"/>
          </w:cols>
          <w:pgMar w:left="1440" w:top="1440" w:right="1440"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F-9</w:t>
      </w:r>
    </w:p>
    <w:p>
      <w:pPr>
        <w:sectPr>
          <w:pgSz w:w="12240" w:h="15840" w:orient="portrait"/>
          <w:cols w:equalWidth="0" w:num="1">
            <w:col w:w="9360"/>
          </w:cols>
          <w:pgMar w:left="1440" w:top="1440" w:right="1440" w:bottom="378" w:gutter="0" w:footer="0" w:header="0"/>
          <w:type w:val="continuous"/>
        </w:sectPr>
      </w:pPr>
    </w:p>
    <w:bookmarkStart w:id="111" w:name="page112"/>
    <w:bookmarkEnd w:id="111"/>
    <w:p>
      <w:pPr>
        <w:spacing w:after="0" w:line="343"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participants at the measurement date or exit price. The assets and liabilities are categorized and disclosed in one of the following three categories:</w:t>
      </w:r>
    </w:p>
    <w:p>
      <w:pPr>
        <w:spacing w:after="0" w:line="201" w:lineRule="exact"/>
        <w:rPr>
          <w:sz w:val="20"/>
          <w:szCs w:val="20"/>
          <w:color w:val="auto"/>
        </w:rPr>
      </w:pPr>
    </w:p>
    <w:p>
      <w:pPr>
        <w:ind w:left="840" w:hanging="350"/>
        <w:spacing w:after="0" w:line="231" w:lineRule="exact"/>
        <w:tabs>
          <w:tab w:leader="none" w:pos="840" w:val="left"/>
        </w:tabs>
        <w:numPr>
          <w:ilvl w:val="0"/>
          <w:numId w:val="6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Level 1</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based on quoted market prices in active markets for identical assets and liabilities.</w:t>
      </w:r>
    </w:p>
    <w:p>
      <w:pPr>
        <w:spacing w:after="0" w:line="218" w:lineRule="exact"/>
        <w:rPr>
          <w:rFonts w:ascii="PMingLiU" w:cs="PMingLiU" w:eastAsia="PMingLiU" w:hAnsi="PMingLiU"/>
          <w:sz w:val="19"/>
          <w:szCs w:val="19"/>
          <w:b w:val="1"/>
          <w:bCs w:val="1"/>
          <w:color w:val="231F20"/>
        </w:rPr>
      </w:pPr>
    </w:p>
    <w:p>
      <w:pPr>
        <w:jc w:val="both"/>
        <w:ind w:left="840" w:right="140" w:hanging="350"/>
        <w:spacing w:after="0" w:line="221" w:lineRule="exact"/>
        <w:tabs>
          <w:tab w:leader="none" w:pos="840" w:val="left"/>
        </w:tabs>
        <w:numPr>
          <w:ilvl w:val="0"/>
          <w:numId w:val="6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Level 2</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217" w:lineRule="exact"/>
        <w:rPr>
          <w:rFonts w:ascii="PMingLiU" w:cs="PMingLiU" w:eastAsia="PMingLiU" w:hAnsi="PMingLiU"/>
          <w:sz w:val="19"/>
          <w:szCs w:val="19"/>
          <w:b w:val="1"/>
          <w:bCs w:val="1"/>
          <w:color w:val="231F20"/>
        </w:rPr>
      </w:pPr>
    </w:p>
    <w:p>
      <w:pPr>
        <w:ind w:left="840" w:right="140" w:hanging="350"/>
        <w:spacing w:after="0" w:line="218" w:lineRule="exact"/>
        <w:tabs>
          <w:tab w:leader="none" w:pos="840" w:val="left"/>
        </w:tabs>
        <w:numPr>
          <w:ilvl w:val="0"/>
          <w:numId w:val="6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Level 3</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based on unobservable inputs using 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best estimate and assumptions when inputs are unavailable.</w:t>
      </w:r>
    </w:p>
    <w:p>
      <w:pPr>
        <w:spacing w:after="0" w:line="244"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Fair value measurements are classified in their entirety based on the lowest level of input that is significant to their fair value measurement.</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Inventory</w:t>
      </w:r>
    </w:p>
    <w:p>
      <w:pPr>
        <w:spacing w:after="0" w:line="125"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Inventory, which consists of raw materials, work-in-process and finished goods, is stated at the lower of cost or net realizable value. The Company determines cost using standard costs which approximates actual costs determined on the first-in, first-out basis. Inventory levels are analyzed periodically and written down to their net realizable value if they have become obsolete, have a cost basis in excess of expected net realizable value or are in excess of expected requirements. The Company analyzes current and future product demand relative to the remaining product shelf life to identify potential excess inventory. The Company builds demand forecasts by considering factors such as, but not limited to, overall market potential, market share, market acceptance and patient usage. The Company classifies inventory as current on the balance sheets when the Company expects inventory to be consumed for commercial use within the next twelve months.</w:t>
      </w:r>
    </w:p>
    <w:p>
      <w:pPr>
        <w:spacing w:after="0" w:line="32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Intangible Assets</w:t>
      </w:r>
    </w:p>
    <w:p>
      <w:pPr>
        <w:spacing w:after="0" w:line="128" w:lineRule="exact"/>
        <w:rPr>
          <w:sz w:val="20"/>
          <w:szCs w:val="20"/>
          <w:color w:val="auto"/>
        </w:rPr>
      </w:pPr>
    </w:p>
    <w:p>
      <w:pPr>
        <w:jc w:val="both"/>
        <w:ind w:left="140" w:right="140"/>
        <w:spacing w:after="0" w:line="275" w:lineRule="auto"/>
        <w:rPr>
          <w:sz w:val="20"/>
          <w:szCs w:val="20"/>
          <w:color w:val="auto"/>
        </w:rPr>
      </w:pPr>
      <w:r>
        <w:rPr>
          <w:rFonts w:ascii="Arial" w:cs="Arial" w:eastAsia="Arial" w:hAnsi="Arial"/>
          <w:sz w:val="17"/>
          <w:szCs w:val="17"/>
          <w:b w:val="1"/>
          <w:bCs w:val="1"/>
          <w:color w:val="231F20"/>
        </w:rPr>
        <w:t>Intangible assets with finite useful lives consist primarily of acquired product rights, acquired technology, and customer relationships. Acquired product rights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During the year ended December 31, 2024, the Company recorded an impairment for intangible assets, see Note 8, Intangible Assets, for more details. The Company did not record any impairment of its intangible assets for the year ended December 31, 2025.</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Property and Equipment</w:t>
      </w:r>
    </w:p>
    <w:p>
      <w:pPr>
        <w:spacing w:after="0" w:line="125" w:lineRule="exact"/>
        <w:rPr>
          <w:sz w:val="20"/>
          <w:szCs w:val="20"/>
          <w:color w:val="auto"/>
        </w:rPr>
      </w:pPr>
    </w:p>
    <w:p>
      <w:pPr>
        <w:jc w:val="both"/>
        <w:ind w:left="140" w:right="140"/>
        <w:spacing w:after="0" w:line="329" w:lineRule="auto"/>
        <w:rPr>
          <w:sz w:val="20"/>
          <w:szCs w:val="20"/>
          <w:color w:val="auto"/>
        </w:rPr>
      </w:pPr>
      <w:r>
        <w:rPr>
          <w:rFonts w:ascii="Arial" w:cs="Arial" w:eastAsia="Arial" w:hAnsi="Arial"/>
          <w:sz w:val="16"/>
          <w:szCs w:val="16"/>
          <w:b w:val="1"/>
          <w:bCs w:val="1"/>
          <w:color w:val="231F20"/>
        </w:rPr>
        <w:t>Property and equipment is stated at cost less accumulated depreciation. Repairs and maintenance costs are expensed as incurred. Depreciation is computed using the straight-line method over the following estimated useful lives:</w:t>
      </w:r>
    </w:p>
    <w:p>
      <w:pPr>
        <w:sectPr>
          <w:pgSz w:w="12240" w:h="15840" w:orient="portrait"/>
          <w:cols w:equalWidth="0" w:num="1">
            <w:col w:w="9360"/>
          </w:cols>
          <w:pgMar w:left="1440" w:top="1440" w:right="1440" w:bottom="390" w:gutter="0" w:footer="0" w:header="0"/>
        </w:sectPr>
      </w:pPr>
    </w:p>
    <w:p>
      <w:pPr>
        <w:spacing w:after="0" w:line="71"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31F20"/>
        </w:rPr>
        <w:t>Leasehold improvements</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31F20"/>
        </w:rPr>
        <w:t>Research and development equipment</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31F20"/>
        </w:rPr>
        <w:t>Manufacturing equipment</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31F20"/>
        </w:rPr>
        <w:t>Computer and office equipment</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31F20"/>
        </w:rPr>
        <w:t>Transportation equipment</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31F20"/>
        </w:rPr>
        <w:t>Furniture and fixtures</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31F20"/>
        </w:rPr>
        <w:t>Software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Lesser of useful life or term of lease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3-8 years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3-5 years</w:t>
      </w:r>
    </w:p>
    <w:p>
      <w:pPr>
        <w:spacing w:after="0" w:line="5" w:lineRule="exact"/>
        <w:rPr>
          <w:sz w:val="20"/>
          <w:szCs w:val="20"/>
          <w:color w:val="auto"/>
        </w:rPr>
      </w:pPr>
    </w:p>
    <w:p>
      <w:pPr>
        <w:ind w:left="160" w:hanging="151"/>
        <w:spacing w:after="0"/>
        <w:tabs>
          <w:tab w:leader="none" w:pos="160" w:val="left"/>
        </w:tabs>
        <w:numPr>
          <w:ilvl w:val="0"/>
          <w:numId w:val="61"/>
        </w:numPr>
        <w:rPr>
          <w:rFonts w:ascii="Arial" w:cs="Arial" w:eastAsia="Arial" w:hAnsi="Arial"/>
          <w:sz w:val="19"/>
          <w:szCs w:val="19"/>
          <w:b w:val="1"/>
          <w:bCs w:val="1"/>
          <w:color w:val="231F20"/>
        </w:rPr>
      </w:pPr>
      <w:r>
        <w:rPr>
          <w:rFonts w:ascii="Arial" w:cs="Arial" w:eastAsia="Arial" w:hAnsi="Arial"/>
          <w:sz w:val="19"/>
          <w:szCs w:val="19"/>
          <w:b w:val="1"/>
          <w:bCs w:val="1"/>
          <w:color w:val="231F20"/>
        </w:rPr>
        <w:t>years</w:t>
      </w:r>
    </w:p>
    <w:p>
      <w:pPr>
        <w:spacing w:after="0" w:line="4" w:lineRule="exact"/>
        <w:rPr>
          <w:rFonts w:ascii="Arial" w:cs="Arial" w:eastAsia="Arial" w:hAnsi="Arial"/>
          <w:sz w:val="19"/>
          <w:szCs w:val="19"/>
          <w:b w:val="1"/>
          <w:bCs w:val="1"/>
          <w:color w:val="231F20"/>
        </w:rPr>
      </w:pPr>
    </w:p>
    <w:p>
      <w:pPr>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3-5 years</w:t>
      </w:r>
    </w:p>
    <w:p>
      <w:pPr>
        <w:spacing w:after="0" w:line="4" w:lineRule="exact"/>
        <w:rPr>
          <w:rFonts w:ascii="Arial" w:cs="Arial" w:eastAsia="Arial" w:hAnsi="Arial"/>
          <w:sz w:val="19"/>
          <w:szCs w:val="19"/>
          <w:b w:val="1"/>
          <w:bCs w:val="1"/>
          <w:color w:val="231F20"/>
        </w:rPr>
      </w:pPr>
    </w:p>
    <w:p>
      <w:pPr>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7 years</w:t>
      </w:r>
    </w:p>
    <w:p>
      <w:pPr>
        <w:spacing w:after="0" w:line="4" w:lineRule="exact"/>
        <w:rPr>
          <w:rFonts w:ascii="Arial" w:cs="Arial" w:eastAsia="Arial" w:hAnsi="Arial"/>
          <w:sz w:val="19"/>
          <w:szCs w:val="19"/>
          <w:b w:val="1"/>
          <w:bCs w:val="1"/>
          <w:color w:val="231F20"/>
        </w:rPr>
      </w:pPr>
    </w:p>
    <w:p>
      <w:pPr>
        <w:ind w:left="160" w:hanging="151"/>
        <w:spacing w:after="0"/>
        <w:tabs>
          <w:tab w:leader="none" w:pos="160" w:val="left"/>
        </w:tabs>
        <w:numPr>
          <w:ilvl w:val="0"/>
          <w:numId w:val="61"/>
        </w:numPr>
        <w:rPr>
          <w:rFonts w:ascii="Arial" w:cs="Arial" w:eastAsia="Arial" w:hAnsi="Arial"/>
          <w:sz w:val="19"/>
          <w:szCs w:val="19"/>
          <w:b w:val="1"/>
          <w:bCs w:val="1"/>
          <w:color w:val="231F20"/>
        </w:rPr>
      </w:pPr>
      <w:r>
        <w:rPr>
          <w:rFonts w:ascii="Arial" w:cs="Arial" w:eastAsia="Arial" w:hAnsi="Arial"/>
          <w:sz w:val="19"/>
          <w:szCs w:val="19"/>
          <w:b w:val="1"/>
          <w:bCs w:val="1"/>
          <w:color w:val="231F20"/>
        </w:rPr>
        <w:t>years</w:t>
      </w:r>
    </w:p>
    <w:p>
      <w:pPr>
        <w:spacing w:after="0" w:line="200" w:lineRule="exact"/>
        <w:rPr>
          <w:sz w:val="20"/>
          <w:szCs w:val="20"/>
          <w:color w:val="auto"/>
        </w:rPr>
      </w:pPr>
    </w:p>
    <w:p>
      <w:pPr>
        <w:sectPr>
          <w:pgSz w:w="12240" w:h="15840" w:orient="portrait"/>
          <w:cols w:equalWidth="0" w:num="2">
            <w:col w:w="4240" w:space="280"/>
            <w:col w:w="4840"/>
          </w:cols>
          <w:pgMar w:left="1440" w:top="1440" w:right="1440" w:bottom="39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F-10</w:t>
      </w:r>
    </w:p>
    <w:p>
      <w:pPr>
        <w:sectPr>
          <w:pgSz w:w="12240" w:h="15840" w:orient="portrait"/>
          <w:cols w:equalWidth="0" w:num="1">
            <w:col w:w="9360"/>
          </w:cols>
          <w:pgMar w:left="1440" w:top="1440" w:right="1440" w:bottom="39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Equipment Under Lease</w:t>
      </w:r>
    </w:p>
    <w:p>
      <w:pPr>
        <w:spacing w:after="0" w:line="125"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Equipment under lease is related to systems which are leased to customers instead of sold. Equipment under operating lease is stated at cost less accumulated depreciation and is classified as Equipment under lease, net on the balance sheets. Depreciation is computed using the straight-line method over an estimated useful life of the greater of the lease term or five years to ten years.</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Revenue Recognition</w:t>
      </w:r>
    </w:p>
    <w:p>
      <w:pPr>
        <w:spacing w:after="0" w:line="125"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The Company recognizes revenue in accordance with Accounting Standards Codification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ASC</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Topic 606, Revenue from Contracts with Customers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ASC 606</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Policy Elections and Practical Expedients Taken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Company applies the following policy elections:</w:t>
      </w:r>
    </w:p>
    <w:p>
      <w:pPr>
        <w:spacing w:after="0" w:line="243"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7"/>
          <w:szCs w:val="17"/>
          <w:b w:val="1"/>
          <w:bCs w:val="1"/>
          <w:color w:val="231F20"/>
        </w:rPr>
        <w:t>Taxes assessed by a governmental authority that are both imposed on and concurrent with a specific revenue-producing transaction, that are collected by the Company from a customer, are excluded from revenue.</w:t>
      </w:r>
    </w:p>
    <w:p>
      <w:pPr>
        <w:spacing w:after="0" w:line="199"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The Company has elected to apply the practical expedient that allows an entity to not adjust the promised amount of consideration in customer contracts for the effect of a significant financing component when the period between the transfer of product and services and payment of the related consideration is less than one year.</w:t>
      </w:r>
    </w:p>
    <w:p>
      <w:pPr>
        <w:spacing w:after="0" w:line="189"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Shipping and handling costs associated with outbound freight after control over a product has transferred to a customer are accounted for as a fulfillment cost and are included in cost of product revenue. Shipping and handling costs for the years ended December 31, 2025 and 2024 were $313 and $337, respectively.</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General</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Revenue is recognized from the sale of products and services when the Company transfers control of such promised products and services. The amount of revenue recognized reflects the consideration to which the Company expects to be entitled to receive in exchange for these products and services. A five-step model is utilized to achieve the core principle and includes the following steps: (1) identify the customer contract; (2) identify the contract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performance obligations; (3) determine the transaction price; (4) allocate the transaction price to the performance obligations; and (5) recognize revenue when the performance obligations are satisfied.</w:t>
      </w:r>
    </w:p>
    <w:p>
      <w:pPr>
        <w:spacing w:after="0" w:line="246"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The Company principally derives its revenue from the sale and lease of systems and the sale of other related products and services, including PIDs, procedure licenses, and extended warranty service agreements. Most customers are on pre-paid or 30-day payment terms, depending on the product purchased. Typically, returns are not allowed.</w:t>
      </w:r>
    </w:p>
    <w:p>
      <w:pPr>
        <w:spacing w:after="0" w:line="241"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Judgment is required to determine the level of interdependency between the system and the sale of other related products and services. For bundled packages, which include the sale or lease of a system and provision of other products and services, the Company accounts for individual products and services separately if they are distinct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i.e., if a product or service is separately identifiable from other items in the bundled package and if the customer can benefit from it on its own or with other resources that are readily available to the customer. The system, training and installation services are one performance obligation. The other products and services, including PIDs, procedure licenses, and extended warranty services, which are either sold together with the system or on a standalone basis, are all accounted for as separate performance obligations. The transaction price of bundled packages is allocated to each performance obligation on a relative standalone selling price basis. Standalone selling prices are based on observable prices at which the Company separately sells the products or services. If a standalone selling price is not directly observable, the Company estimates the selling price using available observable information.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F-11</w:t>
      </w:r>
    </w:p>
    <w:p>
      <w:pPr>
        <w:sectPr>
          <w:pgSz w:w="12240" w:h="15840" w:orient="portrait"/>
          <w:cols w:equalWidth="0" w:num="1">
            <w:col w:w="9360"/>
          </w:cols>
          <w:pgMar w:left="1440" w:top="1440" w:right="1440" w:bottom="390" w:gutter="0" w:footer="0" w:header="0"/>
          <w:type w:val="continuous"/>
        </w:sectPr>
      </w:pPr>
    </w:p>
    <w:bookmarkStart w:id="113" w:name="page114"/>
    <w:bookmarkEnd w:id="113"/>
    <w:p>
      <w:pPr>
        <w:spacing w:after="0" w:line="343"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The Company recognizes revenue as the performance obligations are satisfied by transferring control of the product or service to a customer, as described below.</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31F20"/>
        </w:rPr>
        <w:t>Product Revenue. The Company recognizes revenue for the sale of the following products at a point in time:</w:t>
      </w:r>
    </w:p>
    <w:p>
      <w:pPr>
        <w:spacing w:after="0" w:line="143" w:lineRule="exact"/>
        <w:rPr>
          <w:sz w:val="20"/>
          <w:szCs w:val="20"/>
          <w:color w:val="auto"/>
        </w:rPr>
      </w:pPr>
    </w:p>
    <w:p>
      <w:pPr>
        <w:jc w:val="both"/>
        <w:ind w:left="840" w:right="140"/>
        <w:spacing w:after="0" w:line="221" w:lineRule="exact"/>
        <w:rPr>
          <w:sz w:val="20"/>
          <w:szCs w:val="20"/>
          <w:color w:val="auto"/>
        </w:rPr>
      </w:pPr>
      <w:r>
        <w:rPr>
          <w:rFonts w:ascii="Arial" w:cs="Arial" w:eastAsia="Arial" w:hAnsi="Arial"/>
          <w:sz w:val="19"/>
          <w:szCs w:val="19"/>
          <w:b w:val="1"/>
          <w:bCs w:val="1"/>
          <w:color w:val="231F20"/>
        </w:rPr>
        <w:t>Equipment.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LLS and ALLY System sales are recognized as Product revenue when the Company transfers control of the system. This usually occurs after the customer signs a contract, the Company installs the system, and the Company performs the requisite training for use of the system for direct customers. System sales to distributors are recognized as revenue upon shipment as they do not require training and installation.</w:t>
      </w:r>
    </w:p>
    <w:p>
      <w:pPr>
        <w:spacing w:after="0" w:line="127" w:lineRule="exact"/>
        <w:rPr>
          <w:sz w:val="20"/>
          <w:szCs w:val="20"/>
          <w:color w:val="auto"/>
        </w:rPr>
      </w:pPr>
    </w:p>
    <w:p>
      <w:pPr>
        <w:jc w:val="both"/>
        <w:ind w:left="840" w:right="140"/>
        <w:spacing w:after="0" w:line="277" w:lineRule="auto"/>
        <w:rPr>
          <w:sz w:val="20"/>
          <w:szCs w:val="20"/>
          <w:color w:val="auto"/>
        </w:rPr>
      </w:pPr>
      <w:r>
        <w:rPr>
          <w:rFonts w:ascii="Arial" w:cs="Arial" w:eastAsia="Arial" w:hAnsi="Arial"/>
          <w:sz w:val="17"/>
          <w:szCs w:val="17"/>
          <w:b w:val="1"/>
          <w:bCs w:val="1"/>
          <w:color w:val="231F20"/>
        </w:rPr>
        <w:t>PID and Procedure Licenses. The systems require both a PID and a procedure license to perform each procedure. The Company recognizes Product revenue for PIDs when the Company transfers control of the PID. The Company recognizes Product revenue for procedure licenses at the point in time when control of the procedure license is transferred to the customer. A procedure license represents a one-time right to utilize the system surgical application in connection with a surgery procedure. For the sale of PIDs and procedure licenses, the Company may offer volume discounts to certain customers. To determine the amount of revenue that should be recognized at the time control over these products transfers to the customer, the Company estimates the average per unit price, net of discounts.</w:t>
      </w:r>
    </w:p>
    <w:p>
      <w:pPr>
        <w:spacing w:after="0" w:line="214" w:lineRule="exact"/>
        <w:rPr>
          <w:sz w:val="20"/>
          <w:szCs w:val="20"/>
          <w:color w:val="auto"/>
        </w:rPr>
      </w:pPr>
    </w:p>
    <w:p>
      <w:pPr>
        <w:jc w:val="both"/>
        <w:ind w:left="140" w:right="140"/>
        <w:spacing w:after="0" w:line="303" w:lineRule="auto"/>
        <w:rPr>
          <w:sz w:val="20"/>
          <w:szCs w:val="20"/>
          <w:color w:val="auto"/>
        </w:rPr>
      </w:pPr>
      <w:r>
        <w:rPr>
          <w:rFonts w:ascii="Arial" w:cs="Arial" w:eastAsia="Arial" w:hAnsi="Arial"/>
          <w:sz w:val="16"/>
          <w:szCs w:val="16"/>
          <w:b w:val="1"/>
          <w:bCs w:val="1"/>
          <w:color w:val="231F20"/>
        </w:rPr>
        <w:t>Service Revenue. The Company offers an extended warranty that provides additional maintenance services beyond the standard limited warranty. The Company recognizes Service revenue from the sale of extended warranties over the warranty period on a ratable basis as the Company stands ready to provide services as needed. Customers have the option of renewing the warranty period, which is considered a new and separate contract.</w:t>
      </w:r>
    </w:p>
    <w:p>
      <w:pPr>
        <w:spacing w:after="0" w:line="196"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8"/>
          <w:szCs w:val="18"/>
          <w:b w:val="1"/>
          <w:bCs w:val="1"/>
          <w:color w:val="231F20"/>
        </w:rPr>
        <w:t>Lease Revenue. For system operating leases, the Company recognizes lease revenue over the length of the lease in accordance with ASC Topic 842, Leases,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ASC 842</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For additional information regarding accounting for leases, see the Leases section within this footnote below and Note 6, Leases.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Contract Costs</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The Company offers a variety of commission plans to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s salesforce. Certain compensation under these plans is earned by sales representatives solely as a result of obtaining a customer contract. These are considered incremental costs of obtaining a contract and are eligible for capitalization under ASC Topic 340-40, Other Assets and Deferred Costs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Contracts with Customers, to the extent they are recoverable. Incremental costs of obtaining a contract are deferred over the period the related revenue is recognized and the Company has elected not to defer costs related to goods or services to be delivered over a period that is one year or less.</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Significant Financing Component</w:t>
      </w:r>
    </w:p>
    <w:p>
      <w:pPr>
        <w:spacing w:after="0" w:line="125"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The Company provides extended payment terms to certain customers that represent a significant financing component. The Company adjusts the amount of promised consideration for the time value of money using its discount rate and recognizes interest income separate from the revenue recognized on contracts with customers.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Limited Warranty Obligations</w:t>
      </w:r>
    </w:p>
    <w:p>
      <w:pPr>
        <w:spacing w:after="0" w:line="128"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The Company offers limited warranties on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products which provide the customer assurance that the product will function as the parties intended because it complies with agreed-upon specifications; therefore, these assurance-type warranties are not treated as a separate revenue performance obligation and are accounted for as guarantees under U.S. GAAP. The Company regularly reviews its warranty liability and updates these balances based on historical warranty cost trends.</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Concentrations of Customers</w:t>
      </w:r>
    </w:p>
    <w:p>
      <w:pPr>
        <w:spacing w:after="0" w:line="125" w:lineRule="exact"/>
        <w:rPr>
          <w:sz w:val="20"/>
          <w:szCs w:val="20"/>
          <w:color w:val="auto"/>
        </w:rPr>
      </w:pPr>
    </w:p>
    <w:p>
      <w:pPr>
        <w:jc w:val="both"/>
        <w:ind w:left="140" w:right="140"/>
        <w:spacing w:after="0" w:line="219" w:lineRule="exact"/>
        <w:rPr>
          <w:sz w:val="20"/>
          <w:szCs w:val="20"/>
          <w:color w:val="auto"/>
        </w:rPr>
      </w:pPr>
      <w:r>
        <w:rPr>
          <w:rFonts w:ascii="Arial" w:cs="Arial" w:eastAsia="Arial" w:hAnsi="Arial"/>
          <w:sz w:val="16"/>
          <w:szCs w:val="16"/>
          <w:b w:val="1"/>
          <w:bCs w:val="1"/>
          <w:color w:val="231F20"/>
        </w:rPr>
        <w:t>For the year ended December 31, 2025, one customer accounted for 13%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revenue and no customers accounted for 10% or more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accounts receivable, net as of December 31, 2025. For the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F-12</w:t>
      </w:r>
    </w:p>
    <w:p>
      <w:pPr>
        <w:sectPr>
          <w:pgSz w:w="12240" w:h="15840" w:orient="portrait"/>
          <w:cols w:equalWidth="0" w:num="1">
            <w:col w:w="9360"/>
          </w:cols>
          <w:pgMar w:left="1440" w:top="1440" w:right="1440" w:bottom="390" w:gutter="0" w:footer="0" w:header="0"/>
          <w:type w:val="continuous"/>
        </w:sectPr>
      </w:pPr>
    </w:p>
    <w:bookmarkStart w:id="114" w:name="page115"/>
    <w:bookmarkEnd w:id="114"/>
    <w:p>
      <w:pPr>
        <w:spacing w:after="0" w:line="343"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year ended December 31, 2024, one customer accounted for 14%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revenue and 12%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accounts receivable, net as of December 31, 2024.</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Acquisition-Related Costs</w:t>
      </w:r>
    </w:p>
    <w:p>
      <w:pPr>
        <w:spacing w:after="0" w:line="128"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Acquisition-related costs of $17,141, which consists of advisory, legal, accounting, valuation and other professional or consulting fees related to and incurred in association with the Merger Agreement with Alcon, are expensed as incurred and included within selling, general and administrative expenses in the statements of operations and comprehensive loss for the year ended December 31, 2025. Of the $17,141 in acquisition-related costs incurred, $13,806 is classified as accounts payable and $180 is classified as accrued liabilities on the balance sheet at December 31, 2025. Certain amounts of these acquisition-related costs were contingent upon the successful closing of the Merger, see Note 18, Subsequent Events.</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Related Parties</w:t>
      </w:r>
    </w:p>
    <w:p>
      <w:pPr>
        <w:spacing w:after="0" w:line="125"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The Company follows ASC 850, Related Party Disclosures, for the identification of related parties and disclosure of related party transactions. A party is considered to be related to the Company if the party, directly or indirectly or through one or more intermediaries, controls, is controlled by, or is under common control with the Company. Related parties also include principal owners, management and directors, as well as members of their immediate families or any other parties with which the Company may deal if one party to a transaction controls, or can significantly influence, the management or operating policies of the other to an extent that one of the transacting parties might be prevented from fully pursuing its own separate interests.</w:t>
      </w:r>
    </w:p>
    <w:p>
      <w:pPr>
        <w:spacing w:after="0" w:line="216"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7"/>
          <w:szCs w:val="17"/>
          <w:b w:val="1"/>
          <w:bCs w:val="1"/>
          <w:color w:val="231F20"/>
        </w:rPr>
        <w:t>Transactions involving related parties cannot be presumed to be conducted on an arm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s-length basis, as the requisite conditions of competitive, free-market dealings may not exist. Representations about transactions with related parties, if made, shall not imply that the related party transactions were consummated on terms equivalent to those that prevail in arm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s-length transactions unless such representations can be substantiated.</w:t>
      </w:r>
    </w:p>
    <w:p>
      <w:pPr>
        <w:spacing w:after="0" w:line="246"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9"/>
          <w:szCs w:val="19"/>
          <w:b w:val="1"/>
          <w:bCs w:val="1"/>
          <w:color w:val="231F20"/>
        </w:rPr>
        <w:t>In May 2023, the Company completed the Private Placement (as defined in Note 12, Redeemable Convertible Preferred Stock) with NR-GRI Partners, LP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NR-GRI</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an affiliate of North Run Capital, LP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North Run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Pursuant to the terms of the Private Placement, Thomas B. Ellis and Todd B. Hammer, co-managing partners of North Run, joined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Board of Directors following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2023 Annual Meeting of Stockholders. Refer to Note 10, Warrant Liabilities, and Note 12, Redeemable Convertible Preferred Stock, for more details related to the Private Placement.</w:t>
      </w:r>
    </w:p>
    <w:p>
      <w:pPr>
        <w:spacing w:after="0" w:line="248"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 June 2023, the Company entered into an international distribution agreement in India with a company owned by an employee at that time.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year ended December 31, 2024 associated with its Indian operations. There were no amounts due from, or due to, the distributor at December 31, 2024. The related party relationship ended on April 1, 2024.</w:t>
      </w:r>
    </w:p>
    <w:p>
      <w:pPr>
        <w:spacing w:after="0" w:line="33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Research and Development</w:t>
      </w:r>
    </w:p>
    <w:p>
      <w:pPr>
        <w:spacing w:after="0" w:line="12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The Company expenses research and development costs as incurred. Research and development expenses consist primarily of engineering, product development, clinical studies to develop and support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products, regulatory expenses, and other costs associated with products and technologies that are in development. Research and development expenses include employee compensation, including stock-based compensation, supplies, consulting, prototypes, testing, materials, travel expenses, and depreciation.</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F-13</w:t>
      </w:r>
    </w:p>
    <w:p>
      <w:pPr>
        <w:sectPr>
          <w:pgSz w:w="12240" w:h="15840" w:orient="portrait"/>
          <w:cols w:equalWidth="0" w:num="1">
            <w:col w:w="9360"/>
          </w:cols>
          <w:pgMar w:left="1440" w:top="1440" w:right="1440" w:bottom="390" w:gutter="0" w:footer="0" w:header="0"/>
          <w:type w:val="continuous"/>
        </w:sectPr>
      </w:pPr>
    </w:p>
    <w:bookmarkStart w:id="115" w:name="page116"/>
    <w:bookmarkEnd w:id="115"/>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Advertising Costs</w:t>
      </w:r>
    </w:p>
    <w:p>
      <w:pPr>
        <w:spacing w:after="0" w:line="125"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The Company expenses advertising costs as incurred. Advertising costs includes design and production costs, including website development, written media campaigns, and other items. Advertising costs of $727 and $580 were expensed during the years ended December 31, 2025 and 2024, respectively.</w:t>
      </w:r>
    </w:p>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Income Taxes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Company is subject to U.S. federal, state, and local corporate income taxes at the entity level.</w:t>
      </w:r>
    </w:p>
    <w:p>
      <w:pPr>
        <w:spacing w:after="0" w:line="243"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provision for income taxes is determined using the asset and liability approach. Tax laws require items to be included in tax filings at different times than the items are reflected in the financial statements. A current liability is recognized for the estimated taxes payable for the current year. Deferred taxes represent the future tax consequences expected to occur when the reported amounts of assets and liabilities are recovered or paid. Deferred taxes are adjusted for enacted changes in tax rates and tax laws in the year in which such laws are enacted. Valuation allowances are recorded to reduce deferred tax assets when it is more likely than not that a tax benefit will not be realized.</w:t>
      </w:r>
    </w:p>
    <w:p>
      <w:pPr>
        <w:spacing w:after="0" w:line="226" w:lineRule="exact"/>
        <w:rPr>
          <w:sz w:val="20"/>
          <w:szCs w:val="20"/>
          <w:color w:val="auto"/>
        </w:rPr>
      </w:pPr>
    </w:p>
    <w:p>
      <w:pPr>
        <w:jc w:val="both"/>
        <w:ind w:left="140" w:right="140"/>
        <w:spacing w:after="0" w:line="298" w:lineRule="auto"/>
        <w:rPr>
          <w:sz w:val="20"/>
          <w:szCs w:val="20"/>
          <w:color w:val="auto"/>
        </w:rPr>
      </w:pPr>
      <w:r>
        <w:rPr>
          <w:rFonts w:ascii="Arial" w:cs="Arial" w:eastAsia="Arial" w:hAnsi="Arial"/>
          <w:sz w:val="16"/>
          <w:szCs w:val="16"/>
          <w:b w:val="1"/>
          <w:bCs w:val="1"/>
          <w:color w:val="231F20"/>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The Company adjusts the level of the liability to reflect any subsequent changes in the relevant facts surrounding the uncertain positions. Any interest and penalties on uncertain tax positions are included within the tax provision.</w:t>
      </w:r>
    </w:p>
    <w:p>
      <w:pPr>
        <w:spacing w:after="0" w:line="199"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 xml:space="preserve">Under Sections 382 and 383 of the Internal Revenue Code of 1986, as amended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Code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an aggregate change in stock ownership of one or more stockholders or groups of stockholders owning at least 5%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s stock that exceeds 50 percentage points (by value) over a rolling three-year period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Section 382 ownership change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Private Placement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triggering the application of Section 382 of the Code. Refer to Note 12, Redeemable Convertible Preferred Stock, for more details related to the Private Placement. The Company has not completed a detailed analysis to determine whether any subsequent Section 382 ownership changes have occurred and thus whether additional limitations have been triggered under Sections 382 and 383 of the Code since December 31, 2023. The Company has computed and applied limitations of tax deductions in the income tax provision computation in each year since the Section 382 ownership change was applicable; however, these limitations do not have a material impact on the financial statements.</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Leases</w:t>
      </w:r>
    </w:p>
    <w:p>
      <w:pPr>
        <w:spacing w:after="0" w:line="128"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Company accounts for leasing arrangements in accordance with ASC Topic 842. The Company determines if an arrangement is a lease or contains an embedded lease at inception if it contains the right to control the use of an identified asset under a leasing arrangement with an initial term greater than 12 months. The Company determines whether a contract conveys the right to control the use of an identified asset for a period of time if the contract contains both the right to obtain substantially all of the economic benefits from the use of the identified asset and the right to direct the use of the identified asset.</w:t>
      </w:r>
    </w:p>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Policy Elections and Practical Expedients Taken</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The Company has lease arrangements with lease and non-lease components, which are accounted for separately.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F-14</w:t>
      </w:r>
    </w:p>
    <w:p>
      <w:pPr>
        <w:sectPr>
          <w:pgSz w:w="12240" w:h="15840" w:orient="portrait"/>
          <w:cols w:equalWidth="0" w:num="1">
            <w:col w:w="9360"/>
          </w:cols>
          <w:pgMar w:left="1440" w:top="1440" w:right="1440" w:bottom="390" w:gutter="0" w:footer="0" w:header="0"/>
          <w:type w:val="continuous"/>
        </w:sectPr>
      </w:pPr>
    </w:p>
    <w:bookmarkStart w:id="116" w:name="page117"/>
    <w:bookmarkEnd w:id="116"/>
    <w:p>
      <w:pPr>
        <w:spacing w:after="0" w:line="343" w:lineRule="exact"/>
        <w:rPr>
          <w:sz w:val="20"/>
          <w:szCs w:val="20"/>
          <w:color w:val="auto"/>
        </w:rPr>
      </w:pPr>
    </w:p>
    <w:p>
      <w:pPr>
        <w:jc w:val="both"/>
        <w:ind w:left="140" w:right="140"/>
        <w:spacing w:after="0" w:line="284" w:lineRule="auto"/>
        <w:rPr>
          <w:sz w:val="20"/>
          <w:szCs w:val="20"/>
          <w:color w:val="auto"/>
        </w:rPr>
      </w:pPr>
      <w:r>
        <w:rPr>
          <w:rFonts w:ascii="Arial" w:cs="Arial" w:eastAsia="Arial" w:hAnsi="Arial"/>
          <w:sz w:val="17"/>
          <w:szCs w:val="17"/>
          <w:b w:val="1"/>
          <w:bCs w:val="1"/>
          <w:color w:val="231F20"/>
        </w:rPr>
        <w:t>For leases that commenced before the effective date of ASC 842, the Company elected the practical expedients to not reassess the following: (i) whether any expired or existing contracts contain leases; (ii) the lease classification for any expired or existing leases; and (iii) initial direct costs for any existing leases.</w:t>
      </w:r>
    </w:p>
    <w:p>
      <w:pPr>
        <w:spacing w:after="0" w:line="208" w:lineRule="exact"/>
        <w:rPr>
          <w:sz w:val="20"/>
          <w:szCs w:val="20"/>
          <w:color w:val="auto"/>
        </w:rPr>
      </w:pPr>
    </w:p>
    <w:p>
      <w:pPr>
        <w:jc w:val="both"/>
        <w:ind w:left="140" w:right="140"/>
        <w:spacing w:after="0" w:line="219" w:lineRule="exact"/>
        <w:rPr>
          <w:sz w:val="20"/>
          <w:szCs w:val="20"/>
          <w:color w:val="auto"/>
        </w:rPr>
      </w:pPr>
      <w:r>
        <w:rPr>
          <w:rFonts w:ascii="Arial" w:cs="Arial" w:eastAsia="Arial" w:hAnsi="Arial"/>
          <w:sz w:val="19"/>
          <w:szCs w:val="19"/>
          <w:b w:val="1"/>
          <w:bCs w:val="1"/>
          <w:color w:val="231F20"/>
        </w:rPr>
        <w:t>For short term leases, defined as leases with a lease term of 12 months or less, the Company elected to not recognize an associated lease liability and right of use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ROU</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asset. Lease payments for short term leases are expensed on a straight-line basis over the lease term.</w:t>
      </w:r>
    </w:p>
    <w:p>
      <w:pPr>
        <w:spacing w:after="0" w:line="244"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Company has a policy to exclude from the consideration in a lessor contract all taxes assessed by a governmental authority that are both imposed on and concurrent with a specific lease revenue-producing transaction and collected by the Company from a lessee.</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Lessee Arrangements</w:t>
      </w:r>
    </w:p>
    <w:p>
      <w:pPr>
        <w:spacing w:after="0" w:line="125"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8"/>
          <w:szCs w:val="18"/>
          <w:b w:val="1"/>
          <w:bCs w:val="1"/>
          <w:color w:val="231F20"/>
        </w:rPr>
        <w:t>Lessee operating right of use assets are included in Other assets in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balance sheet. Lessee operating lease liabilities are included in Operating lease liabilities and Long-term operating lease liabilities in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balance sheet. The Company does not have lessee financing leases.</w:t>
      </w:r>
    </w:p>
    <w:p>
      <w:pPr>
        <w:spacing w:after="0" w:line="243"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Operating lease ROU assets represent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right to use an underlying asset for the lease term and lease liabilities represent its obligation to make lease payments arising from the lease. Operating lease ROU assets and liabilities are recognized at commencement date based on the present value of remaining lease payments over the lease term. The Company uses the implicit rate when readily determinable at lease inception. As most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leases do not provide an implicit rate, the Company uses its incremental borrowing rate based on the information available at the commencement date, including the lease term and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credit risk, in determining the present value of lease payments.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remaining lease terms may include options to extend or terminate the lease when it is reasonably certain that the Company will exercise that option. Lease expense for lease payments is recognized on a straight-line basis as operating expense in the statements of operations over the lease term.</w:t>
      </w:r>
    </w:p>
    <w:p>
      <w:pPr>
        <w:spacing w:after="0" w:line="24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For lease arrangements with lease and non-lease components where the Company is the lessee, the Company separately accounts for lease and non-lease components, which consists primarily of common area maintenance services. Non-lease components are expensed as incurred.</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Lessor Arrangements</w:t>
      </w:r>
    </w:p>
    <w:p>
      <w:pPr>
        <w:spacing w:after="0" w:line="128" w:lineRule="exact"/>
        <w:rPr>
          <w:sz w:val="20"/>
          <w:szCs w:val="20"/>
          <w:color w:val="auto"/>
        </w:rPr>
      </w:pPr>
    </w:p>
    <w:p>
      <w:pPr>
        <w:jc w:val="both"/>
        <w:ind w:left="140" w:right="140"/>
        <w:spacing w:after="0"/>
        <w:rPr>
          <w:sz w:val="20"/>
          <w:szCs w:val="20"/>
          <w:color w:val="auto"/>
        </w:rPr>
      </w:pPr>
      <w:r>
        <w:rPr>
          <w:rFonts w:ascii="Arial" w:cs="Arial" w:eastAsia="Arial" w:hAnsi="Arial"/>
          <w:sz w:val="19"/>
          <w:szCs w:val="19"/>
          <w:b w:val="1"/>
          <w:bCs w:val="1"/>
          <w:color w:val="231F20"/>
        </w:rPr>
        <w:t>The Company leases equipment to customers under operating leases. Leases are generally not cancellable until after an initial term and may or may not require the customer to purchase a minimum number of procedures and consumables throughout the contract term.</w:t>
      </w:r>
    </w:p>
    <w:p>
      <w:pPr>
        <w:spacing w:after="0" w:line="245"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6"/>
          <w:szCs w:val="16"/>
          <w:b w:val="1"/>
          <w:bCs w:val="1"/>
          <w:color w:val="231F20"/>
        </w:rPr>
        <w:t>For lease arrangements with lease and non-lease components where the Company is the lessor, the Company allocates the contract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transaction price (including discounts) to the lease and non-lease components on a relative standalone selling price basis using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best estimate of the standalone selling price of each distinct product or service in the contract. Lease elements generally include a system, while non-lease elements generally include extended warranty services, PIDs and procedure licenses. The stand-alone selling prices for the extended warranty services, PIDs and procedure licenses are determined based on the prices at which the Company separately sells such products and services. The system stand-alone selling prices are determined using the expected cost plus a margin approach. Allocation of the transaction price is determined at the inception of the lease arrangement.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leases primarily consist of leases with fixed lease payments. For those leases with variable lease payments, the variable lease payment is typically based upon use of the leased equipment or the purchase of procedure licenses and consumables used with the leased equipment. Non-lease components are accounted for under ASC 606. For additional information regarding ASC 606, see Note 3, Revenue from Contracts with Customers.</w:t>
      </w:r>
    </w:p>
    <w:p>
      <w:pPr>
        <w:spacing w:after="0" w:line="245"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Some leases include options to extend the leases on a month-to-month basis if the customer does not notify the Company of the intention to return the equipment at the end of the lease term. The Company typically does not offer options to terminate the leases before the end of the lease term. A new contract is generated if a customer intends to</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F-15</w:t>
      </w:r>
    </w:p>
    <w:p>
      <w:pPr>
        <w:sectPr>
          <w:pgSz w:w="12240" w:h="15840" w:orient="portrait"/>
          <w:cols w:equalWidth="0" w:num="1">
            <w:col w:w="9360"/>
          </w:cols>
          <w:pgMar w:left="1440" w:top="1440" w:right="1440" w:bottom="390" w:gutter="0" w:footer="0" w:header="0"/>
          <w:type w:val="continuous"/>
        </w:sectPr>
      </w:pPr>
    </w:p>
    <w:bookmarkStart w:id="117" w:name="page118"/>
    <w:bookmarkEnd w:id="117"/>
    <w:p>
      <w:pPr>
        <w:spacing w:after="0" w:line="34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continue using the equipment under the initial term and the new contract term is not included in the initial lease term.</w:t>
      </w:r>
    </w:p>
    <w:p>
      <w:pPr>
        <w:spacing w:after="0" w:line="244" w:lineRule="exact"/>
        <w:rPr>
          <w:sz w:val="20"/>
          <w:szCs w:val="20"/>
          <w:color w:val="auto"/>
        </w:rPr>
      </w:pPr>
    </w:p>
    <w:p>
      <w:pPr>
        <w:jc w:val="both"/>
        <w:ind w:left="140" w:right="140"/>
        <w:spacing w:after="0" w:line="276" w:lineRule="auto"/>
        <w:rPr>
          <w:sz w:val="20"/>
          <w:szCs w:val="20"/>
          <w:color w:val="auto"/>
        </w:rPr>
      </w:pPr>
      <w:r>
        <w:rPr>
          <w:rFonts w:ascii="Arial" w:cs="Arial" w:eastAsia="Arial" w:hAnsi="Arial"/>
          <w:sz w:val="17"/>
          <w:szCs w:val="17"/>
          <w:b w:val="1"/>
          <w:bCs w:val="1"/>
          <w:color w:val="231F20"/>
        </w:rPr>
        <w:t>In determining whether a transaction should be classified as a sales-type or operating lease, the Company considers the following criteria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 If any of these criteria are met, the lease is classified as a sales-type lease. If none of these criteria are met the lease is classified as an operating lease. For the years ended December 31, 2025 and 2024, the Company does not have any sales-type leases.</w:t>
      </w:r>
    </w:p>
    <w:p>
      <w:pPr>
        <w:spacing w:after="0" w:line="214"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For operating leases, rental income is recognized on a straight-line basis over the lease term as lease revenue. The cost of customer-leased equipment is recorded within equipment under lease, net in the balance sheets and depreciated over the equipment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estimated useful life. Depreciation expense associated with the leased equipment under operating lease arrangements is reflected in cost of lease in the statements of operations. Some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operating leases include a purchase option for the customer to purchase the leased asset at the end of the lease arrangement, subject to a new contract. The purchase price does not qualify as a bargain purchase option. The Company manages its risk on its investment in the equipment through pricing and the term of the leases. Lessees do not provide residual value guarantees on leased equipment. Equipment returned to the Company may be leased or sold to other customers. Initial direct costs, recorded in prepaid and other current assets, are deferred and recognized over the lease term.</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Stock-Based Compensation</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The Company accounts for stock-based compensation in accordance with ASC Topic 718, Compensation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Stock Compensation,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ASC 718</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Stock-based compensation is measured at the grant date based on the fair value of the award and is generally expensed over the requisite service period. Stock-based compensation expense is recognized using a straight-line attribution method over the requisite service period, except for portions of awards subject to performance conditions, which will be recognized ratably over the service period for each separate performance vesting tranche once it is probable the performance condition will be met. The Company made accounting policy elections to account for modifications to the requisite service period using the bifurcated approach and to account for forfeitures as they occur.</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See Note 14, Stock-Based Compensation, for a discussion of stock-based compensation plans.</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Earnings (Loss) per Share</w:t>
      </w:r>
    </w:p>
    <w:p>
      <w:pPr>
        <w:spacing w:after="0" w:line="125"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and restricted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losses. As such, losses are attributed entirely to common stockholders and for periods in which the Company has reported a net loss, diluted loss per common share is the same as basic loss per common share.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F-16</w:t>
      </w:r>
    </w:p>
    <w:p>
      <w:pPr>
        <w:sectPr>
          <w:pgSz w:w="12240" w:h="15840" w:orient="portrait"/>
          <w:cols w:equalWidth="0" w:num="1">
            <w:col w:w="9360"/>
          </w:cols>
          <w:pgMar w:left="1440" w:top="1440" w:right="1440" w:bottom="390" w:gutter="0" w:footer="0" w:header="0"/>
          <w:type w:val="continuous"/>
        </w:sectPr>
      </w:pPr>
    </w:p>
    <w:bookmarkStart w:id="118" w:name="page119"/>
    <w:bookmarkEnd w:id="118"/>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Recently Issued Accounting Pronouncements Not Yet Adopted</w:t>
      </w:r>
    </w:p>
    <w:p>
      <w:pPr>
        <w:spacing w:after="0" w:line="24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In November 2024, the FASB issued ASU 2024-03, Income Statement-Reporting Comprehensive Income-Expense Disaggregation Disclosures (Subtopic 220-40): Disaggregation of Income Statement Expenses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ASU 2024-03</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3. Revenue from Contracts with Customers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Disaggregation of Revenue</w:t>
      </w:r>
    </w:p>
    <w:p>
      <w:pPr>
        <w:spacing w:after="0" w:line="125"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7"/>
          <w:szCs w:val="17"/>
          <w:b w:val="1"/>
          <w:bCs w:val="1"/>
          <w:color w:val="231F20"/>
        </w:rPr>
        <w:t>The following table summarizes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product and service revenue disaggregated by geographic region, which is determined based on customer location, for the years ended December 31, 2025 and 2024:</w:t>
      </w:r>
    </w:p>
    <w:p>
      <w:pPr>
        <w:spacing w:after="0" w:line="14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3"/>
          </w:tcPr>
          <w:p>
            <w:pPr>
              <w:jc w:val="right"/>
              <w:ind w:right="46"/>
              <w:spacing w:after="0"/>
              <w:rPr>
                <w:sz w:val="20"/>
                <w:szCs w:val="20"/>
                <w:color w:val="auto"/>
              </w:rPr>
            </w:pPr>
            <w:r>
              <w:rPr>
                <w:rFonts w:ascii="Arial" w:cs="Arial" w:eastAsia="Arial" w:hAnsi="Arial"/>
                <w:sz w:val="16"/>
                <w:szCs w:val="16"/>
                <w:b w:val="1"/>
                <w:bCs w:val="1"/>
                <w:color w:val="231F20"/>
                <w:w w:val="88"/>
              </w:rPr>
              <w:t>Year Ended December 31,</w:t>
            </w:r>
          </w:p>
        </w:tc>
      </w:tr>
      <w:tr>
        <w:trPr>
          <w:trHeight w:val="209"/>
        </w:trPr>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jc w:val="right"/>
              <w:ind w:right="308"/>
              <w:spacing w:after="0"/>
              <w:rPr>
                <w:sz w:val="20"/>
                <w:szCs w:val="20"/>
                <w:color w:val="auto"/>
              </w:rPr>
            </w:pPr>
            <w:r>
              <w:rPr>
                <w:rFonts w:ascii="Arial" w:cs="Arial" w:eastAsia="Arial" w:hAnsi="Arial"/>
                <w:sz w:val="16"/>
                <w:szCs w:val="16"/>
                <w:b w:val="1"/>
                <w:bCs w:val="1"/>
                <w:color w:val="231F20"/>
              </w:rPr>
              <w:t>2025</w:t>
            </w:r>
          </w:p>
        </w:tc>
        <w:tc>
          <w:tcPr>
            <w:tcW w:w="280" w:type="dxa"/>
            <w:vAlign w:val="bottom"/>
          </w:tcPr>
          <w:p>
            <w:pPr>
              <w:spacing w:after="0"/>
              <w:rPr>
                <w:sz w:val="18"/>
                <w:szCs w:val="18"/>
                <w:color w:val="auto"/>
              </w:rPr>
            </w:pPr>
          </w:p>
        </w:tc>
        <w:tc>
          <w:tcPr>
            <w:tcW w:w="720" w:type="dxa"/>
            <w:vAlign w:val="bottom"/>
          </w:tcPr>
          <w:p>
            <w:pPr>
              <w:jc w:val="right"/>
              <w:ind w:right="206"/>
              <w:spacing w:after="0"/>
              <w:rPr>
                <w:sz w:val="20"/>
                <w:szCs w:val="20"/>
                <w:color w:val="auto"/>
              </w:rPr>
            </w:pPr>
            <w:r>
              <w:rPr>
                <w:rFonts w:ascii="Arial" w:cs="Arial" w:eastAsia="Arial" w:hAnsi="Arial"/>
                <w:sz w:val="16"/>
                <w:szCs w:val="16"/>
                <w:b w:val="1"/>
                <w:bCs w:val="1"/>
                <w:color w:val="231F20"/>
              </w:rPr>
              <w:t>2024</w:t>
            </w:r>
          </w:p>
        </w:tc>
      </w:tr>
      <w:tr>
        <w:trPr>
          <w:trHeight w:val="250"/>
        </w:trPr>
        <w:tc>
          <w:tcPr>
            <w:tcW w:w="3300" w:type="dxa"/>
            <w:vAlign w:val="bottom"/>
          </w:tcPr>
          <w:p>
            <w:pPr>
              <w:spacing w:after="0"/>
              <w:rPr>
                <w:sz w:val="20"/>
                <w:szCs w:val="20"/>
                <w:color w:val="auto"/>
              </w:rPr>
            </w:pPr>
            <w:r>
              <w:rPr>
                <w:rFonts w:ascii="Arial" w:cs="Arial" w:eastAsia="Arial" w:hAnsi="Arial"/>
                <w:sz w:val="19"/>
                <w:szCs w:val="19"/>
                <w:b w:val="1"/>
                <w:bCs w:val="1"/>
                <w:color w:val="231F20"/>
              </w:rPr>
              <w:t>United States</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8"/>
              <w:spacing w:after="0"/>
              <w:rPr>
                <w:sz w:val="20"/>
                <w:szCs w:val="20"/>
                <w:color w:val="auto"/>
              </w:rPr>
            </w:pPr>
            <w:r>
              <w:rPr>
                <w:rFonts w:ascii="Arial" w:cs="Arial" w:eastAsia="Arial" w:hAnsi="Arial"/>
                <w:sz w:val="19"/>
                <w:szCs w:val="19"/>
                <w:b w:val="1"/>
                <w:bCs w:val="1"/>
                <w:color w:val="231F20"/>
              </w:rPr>
              <w:t>34,313</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28,907</w:t>
            </w:r>
          </w:p>
        </w:tc>
      </w:tr>
      <w:tr>
        <w:trPr>
          <w:trHeight w:val="235"/>
        </w:trPr>
        <w:tc>
          <w:tcPr>
            <w:tcW w:w="3300" w:type="dxa"/>
            <w:vAlign w:val="bottom"/>
          </w:tcPr>
          <w:p>
            <w:pPr>
              <w:spacing w:after="0"/>
              <w:rPr>
                <w:sz w:val="20"/>
                <w:szCs w:val="20"/>
                <w:color w:val="auto"/>
              </w:rPr>
            </w:pPr>
            <w:r>
              <w:rPr>
                <w:rFonts w:ascii="Arial" w:cs="Arial" w:eastAsia="Arial" w:hAnsi="Arial"/>
                <w:sz w:val="19"/>
                <w:szCs w:val="19"/>
                <w:b w:val="1"/>
                <w:bCs w:val="1"/>
                <w:color w:val="231F20"/>
              </w:rPr>
              <w:t>Europe</w:t>
            </w:r>
          </w:p>
        </w:tc>
        <w:tc>
          <w:tcPr>
            <w:tcW w:w="108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9"/>
                <w:szCs w:val="19"/>
                <w:b w:val="1"/>
                <w:bCs w:val="1"/>
                <w:color w:val="231F20"/>
              </w:rPr>
              <w:t>8,427</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10,157</w:t>
            </w:r>
          </w:p>
        </w:tc>
      </w:tr>
      <w:tr>
        <w:trPr>
          <w:trHeight w:val="238"/>
        </w:trPr>
        <w:tc>
          <w:tcPr>
            <w:tcW w:w="3300" w:type="dxa"/>
            <w:vAlign w:val="bottom"/>
          </w:tcPr>
          <w:p>
            <w:pPr>
              <w:spacing w:after="0"/>
              <w:rPr>
                <w:sz w:val="20"/>
                <w:szCs w:val="20"/>
                <w:color w:val="auto"/>
              </w:rPr>
            </w:pPr>
            <w:r>
              <w:rPr>
                <w:rFonts w:ascii="Arial" w:cs="Arial" w:eastAsia="Arial" w:hAnsi="Arial"/>
                <w:sz w:val="19"/>
                <w:szCs w:val="19"/>
                <w:b w:val="1"/>
                <w:bCs w:val="1"/>
                <w:color w:val="231F20"/>
              </w:rPr>
              <w:t>Asia (excluding South Korea)</w:t>
            </w:r>
          </w:p>
        </w:tc>
        <w:tc>
          <w:tcPr>
            <w:tcW w:w="108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9"/>
                <w:szCs w:val="19"/>
                <w:b w:val="1"/>
                <w:bCs w:val="1"/>
                <w:color w:val="231F20"/>
              </w:rPr>
              <w:t>8,020</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5,487</w:t>
            </w:r>
          </w:p>
        </w:tc>
      </w:tr>
      <w:tr>
        <w:trPr>
          <w:trHeight w:val="238"/>
        </w:trPr>
        <w:tc>
          <w:tcPr>
            <w:tcW w:w="3300" w:type="dxa"/>
            <w:vAlign w:val="bottom"/>
          </w:tcPr>
          <w:p>
            <w:pPr>
              <w:spacing w:after="0"/>
              <w:rPr>
                <w:sz w:val="20"/>
                <w:szCs w:val="20"/>
                <w:color w:val="auto"/>
              </w:rPr>
            </w:pPr>
            <w:r>
              <w:rPr>
                <w:rFonts w:ascii="Arial" w:cs="Arial" w:eastAsia="Arial" w:hAnsi="Arial"/>
                <w:sz w:val="19"/>
                <w:szCs w:val="19"/>
                <w:b w:val="1"/>
                <w:bCs w:val="1"/>
                <w:color w:val="231F20"/>
              </w:rPr>
              <w:t>South Korea</w:t>
            </w:r>
          </w:p>
        </w:tc>
        <w:tc>
          <w:tcPr>
            <w:tcW w:w="108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9"/>
                <w:szCs w:val="19"/>
                <w:b w:val="1"/>
                <w:bCs w:val="1"/>
                <w:color w:val="231F20"/>
              </w:rPr>
              <w:t>658</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848</w:t>
            </w:r>
          </w:p>
        </w:tc>
      </w:tr>
      <w:tr>
        <w:trPr>
          <w:trHeight w:val="235"/>
        </w:trPr>
        <w:tc>
          <w:tcPr>
            <w:tcW w:w="3300" w:type="dxa"/>
            <w:vAlign w:val="bottom"/>
          </w:tcPr>
          <w:p>
            <w:pPr>
              <w:spacing w:after="0"/>
              <w:rPr>
                <w:sz w:val="20"/>
                <w:szCs w:val="20"/>
                <w:color w:val="auto"/>
              </w:rPr>
            </w:pPr>
            <w:r>
              <w:rPr>
                <w:rFonts w:ascii="Arial" w:cs="Arial" w:eastAsia="Arial" w:hAnsi="Arial"/>
                <w:sz w:val="19"/>
                <w:szCs w:val="19"/>
                <w:b w:val="1"/>
                <w:bCs w:val="1"/>
                <w:color w:val="231F20"/>
              </w:rPr>
              <w:t>Other</w:t>
            </w:r>
          </w:p>
        </w:tc>
        <w:tc>
          <w:tcPr>
            <w:tcW w:w="108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9"/>
                <w:szCs w:val="19"/>
                <w:b w:val="1"/>
                <w:bCs w:val="1"/>
                <w:color w:val="231F20"/>
              </w:rPr>
              <w:t>238</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563</w:t>
            </w:r>
          </w:p>
        </w:tc>
      </w:tr>
      <w:tr>
        <w:trPr>
          <w:trHeight w:val="341"/>
        </w:trPr>
        <w:tc>
          <w:tcPr>
            <w:tcW w:w="3300" w:type="dxa"/>
            <w:vAlign w:val="bottom"/>
          </w:tcPr>
          <w:p>
            <w:pPr>
              <w:spacing w:after="0"/>
              <w:rPr>
                <w:sz w:val="20"/>
                <w:szCs w:val="20"/>
                <w:color w:val="auto"/>
              </w:rPr>
            </w:pPr>
            <w:r>
              <w:rPr>
                <w:rFonts w:ascii="Arial" w:cs="Arial" w:eastAsia="Arial" w:hAnsi="Arial"/>
                <w:sz w:val="19"/>
                <w:szCs w:val="19"/>
                <w:b w:val="1"/>
                <w:bCs w:val="1"/>
                <w:color w:val="231F20"/>
              </w:rPr>
              <w:t>Total</w:t>
            </w:r>
            <w:r>
              <w:rPr>
                <w:rFonts w:ascii="Arial" w:cs="Arial" w:eastAsia="Arial" w:hAnsi="Arial"/>
                <w:sz w:val="25"/>
                <w:szCs w:val="25"/>
                <w:b w:val="1"/>
                <w:bCs w:val="1"/>
                <w:color w:val="231F20"/>
                <w:vertAlign w:val="superscript"/>
              </w:rPr>
              <w:t>1</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8"/>
              <w:spacing w:after="0"/>
              <w:rPr>
                <w:sz w:val="20"/>
                <w:szCs w:val="20"/>
                <w:color w:val="auto"/>
              </w:rPr>
            </w:pPr>
            <w:r>
              <w:rPr>
                <w:rFonts w:ascii="Arial" w:cs="Arial" w:eastAsia="Arial" w:hAnsi="Arial"/>
                <w:sz w:val="19"/>
                <w:szCs w:val="19"/>
                <w:b w:val="1"/>
                <w:bCs w:val="1"/>
                <w:color w:val="231F20"/>
              </w:rPr>
              <w:t>51,656</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45,962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-1119505</wp:posOffset>
            </wp:positionV>
            <wp:extent cx="5203190" cy="4213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03190" cy="4213225"/>
                    </a:xfrm>
                    <a:prstGeom prst="rect">
                      <a:avLst/>
                    </a:prstGeom>
                    <a:noFill/>
                  </pic:spPr>
                </pic:pic>
              </a:graphicData>
            </a:graphic>
          </wp:anchor>
        </w:drawing>
      </w:r>
    </w:p>
    <w:p>
      <w:pPr>
        <w:spacing w:after="0" w:line="146" w:lineRule="exact"/>
        <w:rPr>
          <w:sz w:val="20"/>
          <w:szCs w:val="20"/>
          <w:color w:val="auto"/>
        </w:rPr>
      </w:pPr>
    </w:p>
    <w:p>
      <w:pPr>
        <w:ind w:left="140" w:right="140" w:firstLine="2"/>
        <w:spacing w:after="0" w:line="254" w:lineRule="auto"/>
        <w:tabs>
          <w:tab w:leader="none" w:pos="260" w:val="left"/>
        </w:tabs>
        <w:numPr>
          <w:ilvl w:val="0"/>
          <w:numId w:val="62"/>
        </w:numPr>
        <w:rPr>
          <w:rFonts w:ascii="Arial" w:cs="Arial" w:eastAsia="Arial" w:hAnsi="Arial"/>
          <w:sz w:val="21"/>
          <w:szCs w:val="21"/>
          <w:b w:val="1"/>
          <w:bCs w:val="1"/>
          <w:color w:val="231F20"/>
          <w:vertAlign w:val="superscript"/>
        </w:rPr>
      </w:pPr>
      <w:r>
        <w:rPr>
          <w:rFonts w:ascii="Arial" w:cs="Arial" w:eastAsia="Arial" w:hAnsi="Arial"/>
          <w:sz w:val="16"/>
          <w:szCs w:val="16"/>
          <w:b w:val="1"/>
          <w:bCs w:val="1"/>
          <w:color w:val="231F20"/>
        </w:rPr>
        <w:t>The table above does not include lease revenue of $6,779 and $7,532 for the years ended December 31, 2025 and 2024, respectively. Substantially all lease revenue originates from the United States. Refer to Note 6, Leases.</w:t>
      </w:r>
    </w:p>
    <w:p>
      <w:pPr>
        <w:spacing w:after="0" w:line="3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Contract Balances</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The following table provides information about receivables and contract liabilities from contracts with customers:</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ind w:right="385"/>
              <w:spacing w:after="0"/>
              <w:rPr>
                <w:sz w:val="20"/>
                <w:szCs w:val="20"/>
                <w:color w:val="auto"/>
              </w:rPr>
            </w:pPr>
            <w:r>
              <w:rPr>
                <w:rFonts w:ascii="Arial" w:cs="Arial" w:eastAsia="Arial" w:hAnsi="Arial"/>
                <w:sz w:val="16"/>
                <w:szCs w:val="16"/>
                <w:b w:val="1"/>
                <w:bCs w:val="1"/>
                <w:color w:val="231F20"/>
              </w:rPr>
              <w:t>As of December 31,</w:t>
            </w:r>
          </w:p>
        </w:tc>
      </w:tr>
      <w:tr>
        <w:trPr>
          <w:trHeight w:val="206"/>
        </w:trPr>
        <w:tc>
          <w:tcPr>
            <w:tcW w:w="2360" w:type="dxa"/>
            <w:vAlign w:val="bottom"/>
          </w:tcPr>
          <w:p>
            <w:pPr>
              <w:spacing w:after="0"/>
              <w:rPr>
                <w:sz w:val="17"/>
                <w:szCs w:val="17"/>
                <w:color w:val="auto"/>
              </w:rPr>
            </w:pPr>
          </w:p>
        </w:tc>
        <w:tc>
          <w:tcPr>
            <w:tcW w:w="2440" w:type="dxa"/>
            <w:vAlign w:val="bottom"/>
          </w:tcPr>
          <w:p>
            <w:pPr>
              <w:ind w:left="840"/>
              <w:spacing w:after="0"/>
              <w:rPr>
                <w:sz w:val="20"/>
                <w:szCs w:val="20"/>
                <w:color w:val="auto"/>
              </w:rPr>
            </w:pPr>
            <w:r>
              <w:rPr>
                <w:rFonts w:ascii="Arial" w:cs="Arial" w:eastAsia="Arial" w:hAnsi="Arial"/>
                <w:sz w:val="16"/>
                <w:szCs w:val="16"/>
                <w:b w:val="1"/>
                <w:bCs w:val="1"/>
                <w:color w:val="231F20"/>
              </w:rPr>
              <w:t>Classification</w:t>
            </w:r>
          </w:p>
        </w:tc>
        <w:tc>
          <w:tcPr>
            <w:tcW w:w="380" w:type="dxa"/>
            <w:vAlign w:val="bottom"/>
          </w:tcPr>
          <w:p>
            <w:pPr>
              <w:spacing w:after="0"/>
              <w:rPr>
                <w:sz w:val="17"/>
                <w:szCs w:val="17"/>
                <w:color w:val="auto"/>
              </w:rPr>
            </w:pPr>
          </w:p>
        </w:tc>
        <w:tc>
          <w:tcPr>
            <w:tcW w:w="900" w:type="dxa"/>
            <w:vAlign w:val="bottom"/>
          </w:tcPr>
          <w:p>
            <w:pPr>
              <w:jc w:val="right"/>
              <w:ind w:right="367"/>
              <w:spacing w:after="0"/>
              <w:rPr>
                <w:sz w:val="20"/>
                <w:szCs w:val="20"/>
                <w:color w:val="auto"/>
              </w:rPr>
            </w:pPr>
            <w:r>
              <w:rPr>
                <w:rFonts w:ascii="Arial" w:cs="Arial" w:eastAsia="Arial" w:hAnsi="Arial"/>
                <w:sz w:val="16"/>
                <w:szCs w:val="16"/>
                <w:b w:val="1"/>
                <w:bCs w:val="1"/>
                <w:color w:val="231F20"/>
              </w:rPr>
              <w:t>2025</w:t>
            </w:r>
          </w:p>
        </w:tc>
        <w:tc>
          <w:tcPr>
            <w:tcW w:w="320" w:type="dxa"/>
            <w:vAlign w:val="bottom"/>
          </w:tcPr>
          <w:p>
            <w:pPr>
              <w:spacing w:after="0"/>
              <w:rPr>
                <w:sz w:val="17"/>
                <w:szCs w:val="17"/>
                <w:color w:val="auto"/>
              </w:rPr>
            </w:pPr>
          </w:p>
        </w:tc>
        <w:tc>
          <w:tcPr>
            <w:tcW w:w="800" w:type="dxa"/>
            <w:vAlign w:val="bottom"/>
          </w:tcPr>
          <w:p>
            <w:pPr>
              <w:jc w:val="right"/>
              <w:ind w:right="265"/>
              <w:spacing w:after="0"/>
              <w:rPr>
                <w:sz w:val="20"/>
                <w:szCs w:val="20"/>
                <w:color w:val="auto"/>
              </w:rPr>
            </w:pPr>
            <w:r>
              <w:rPr>
                <w:rFonts w:ascii="Arial" w:cs="Arial" w:eastAsia="Arial" w:hAnsi="Arial"/>
                <w:sz w:val="16"/>
                <w:szCs w:val="16"/>
                <w:b w:val="1"/>
                <w:bCs w:val="1"/>
                <w:color w:val="231F20"/>
              </w:rPr>
              <w:t>2024</w:t>
            </w:r>
          </w:p>
        </w:tc>
      </w:tr>
      <w:tr>
        <w:trPr>
          <w:trHeight w:val="251"/>
        </w:trPr>
        <w:tc>
          <w:tcPr>
            <w:tcW w:w="2360" w:type="dxa"/>
            <w:vAlign w:val="bottom"/>
          </w:tcPr>
          <w:p>
            <w:pPr>
              <w:spacing w:after="0"/>
              <w:rPr>
                <w:sz w:val="20"/>
                <w:szCs w:val="20"/>
                <w:color w:val="auto"/>
              </w:rPr>
            </w:pPr>
            <w:r>
              <w:rPr>
                <w:rFonts w:ascii="Arial" w:cs="Arial" w:eastAsia="Arial" w:hAnsi="Arial"/>
                <w:sz w:val="19"/>
                <w:szCs w:val="19"/>
                <w:b w:val="1"/>
                <w:bCs w:val="1"/>
                <w:color w:val="231F20"/>
                <w:w w:val="89"/>
              </w:rPr>
              <w:t>Accounts receivable, current</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Accounts receivable, net</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7"/>
              <w:spacing w:after="0"/>
              <w:rPr>
                <w:sz w:val="20"/>
                <w:szCs w:val="20"/>
                <w:color w:val="auto"/>
              </w:rPr>
            </w:pPr>
            <w:r>
              <w:rPr>
                <w:rFonts w:ascii="Arial" w:cs="Arial" w:eastAsia="Arial" w:hAnsi="Arial"/>
                <w:sz w:val="19"/>
                <w:szCs w:val="19"/>
                <w:b w:val="1"/>
                <w:bCs w:val="1"/>
                <w:color w:val="231F20"/>
              </w:rPr>
              <w:t>6,377</w:t>
            </w:r>
          </w:p>
        </w:tc>
        <w:tc>
          <w:tcPr>
            <w:tcW w:w="32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6,085</w:t>
            </w:r>
          </w:p>
        </w:tc>
      </w:tr>
      <w:tr>
        <w:trPr>
          <w:trHeight w:val="238"/>
        </w:trPr>
        <w:tc>
          <w:tcPr>
            <w:tcW w:w="2360" w:type="dxa"/>
            <w:vAlign w:val="bottom"/>
          </w:tcPr>
          <w:p>
            <w:pPr>
              <w:spacing w:after="0"/>
              <w:rPr>
                <w:sz w:val="20"/>
                <w:szCs w:val="20"/>
                <w:color w:val="auto"/>
              </w:rPr>
            </w:pPr>
            <w:r>
              <w:rPr>
                <w:rFonts w:ascii="Arial" w:cs="Arial" w:eastAsia="Arial" w:hAnsi="Arial"/>
                <w:sz w:val="19"/>
                <w:szCs w:val="19"/>
                <w:b w:val="1"/>
                <w:bCs w:val="1"/>
                <w:color w:val="231F20"/>
                <w:w w:val="96"/>
              </w:rPr>
              <w:t>Accounts receivable, long-</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w w:val="88"/>
              </w:rPr>
              <w:t>Notes and other receivables,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9"/>
                <w:szCs w:val="19"/>
                <w:b w:val="1"/>
                <w:bCs w:val="1"/>
                <w:color w:val="231F20"/>
              </w:rPr>
              <w:t>term</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long-term, net</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1220" w:type="dxa"/>
            <w:vAlign w:val="bottom"/>
            <w:gridSpan w:val="2"/>
          </w:tcPr>
          <w:p>
            <w:pPr>
              <w:jc w:val="right"/>
              <w:ind w:right="43"/>
              <w:spacing w:after="0" w:line="223"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38</w:t>
            </w:r>
          </w:p>
        </w:tc>
      </w:tr>
      <w:tr>
        <w:trPr>
          <w:trHeight w:val="238"/>
        </w:trPr>
        <w:tc>
          <w:tcPr>
            <w:tcW w:w="2360" w:type="dxa"/>
            <w:vAlign w:val="bottom"/>
          </w:tcPr>
          <w:p>
            <w:pPr>
              <w:spacing w:after="0"/>
              <w:rPr>
                <w:sz w:val="20"/>
                <w:szCs w:val="20"/>
                <w:color w:val="auto"/>
              </w:rPr>
            </w:pPr>
            <w:r>
              <w:rPr>
                <w:rFonts w:ascii="Arial" w:cs="Arial" w:eastAsia="Arial" w:hAnsi="Arial"/>
                <w:sz w:val="19"/>
                <w:szCs w:val="19"/>
                <w:b w:val="1"/>
                <w:bCs w:val="1"/>
                <w:color w:val="231F20"/>
              </w:rPr>
              <w:t>Notes receivable, current</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Notes receivable, net</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7"/>
              <w:spacing w:after="0"/>
              <w:rPr>
                <w:sz w:val="20"/>
                <w:szCs w:val="20"/>
                <w:color w:val="auto"/>
              </w:rPr>
            </w:pPr>
            <w:r>
              <w:rPr>
                <w:rFonts w:ascii="Arial" w:cs="Arial" w:eastAsia="Arial" w:hAnsi="Arial"/>
                <w:sz w:val="19"/>
                <w:szCs w:val="19"/>
                <w:b w:val="1"/>
                <w:bCs w:val="1"/>
                <w:color w:val="231F20"/>
              </w:rPr>
              <w:t>295</w:t>
            </w:r>
          </w:p>
        </w:tc>
        <w:tc>
          <w:tcPr>
            <w:tcW w:w="32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395</w:t>
            </w:r>
          </w:p>
        </w:tc>
      </w:tr>
      <w:tr>
        <w:trPr>
          <w:trHeight w:val="235"/>
        </w:trPr>
        <w:tc>
          <w:tcPr>
            <w:tcW w:w="2360" w:type="dxa"/>
            <w:vAlign w:val="bottom"/>
          </w:tcPr>
          <w:p>
            <w:pPr>
              <w:spacing w:after="0"/>
              <w:rPr>
                <w:sz w:val="20"/>
                <w:szCs w:val="20"/>
                <w:color w:val="auto"/>
              </w:rPr>
            </w:pPr>
            <w:r>
              <w:rPr>
                <w:rFonts w:ascii="Arial" w:cs="Arial" w:eastAsia="Arial" w:hAnsi="Arial"/>
                <w:sz w:val="19"/>
                <w:szCs w:val="19"/>
                <w:b w:val="1"/>
                <w:bCs w:val="1"/>
                <w:color w:val="231F20"/>
                <w:w w:val="93"/>
              </w:rPr>
              <w:t>Notes receivable, long-term</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w w:val="88"/>
              </w:rPr>
              <w:t>Notes and other receivables,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long-term, net</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7"/>
              <w:spacing w:after="0"/>
              <w:rPr>
                <w:sz w:val="20"/>
                <w:szCs w:val="20"/>
                <w:color w:val="auto"/>
              </w:rPr>
            </w:pPr>
            <w:r>
              <w:rPr>
                <w:rFonts w:ascii="Arial" w:cs="Arial" w:eastAsia="Arial" w:hAnsi="Arial"/>
                <w:sz w:val="19"/>
                <w:szCs w:val="19"/>
                <w:b w:val="1"/>
                <w:bCs w:val="1"/>
                <w:color w:val="231F20"/>
              </w:rPr>
              <w:t>731</w:t>
            </w:r>
          </w:p>
        </w:tc>
        <w:tc>
          <w:tcPr>
            <w:tcW w:w="32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1,122</w:t>
            </w:r>
          </w:p>
        </w:tc>
      </w:tr>
      <w:tr>
        <w:trPr>
          <w:trHeight w:val="238"/>
        </w:trPr>
        <w:tc>
          <w:tcPr>
            <w:tcW w:w="2360" w:type="dxa"/>
            <w:vAlign w:val="bottom"/>
          </w:tcPr>
          <w:p>
            <w:pPr>
              <w:spacing w:after="0"/>
              <w:rPr>
                <w:sz w:val="20"/>
                <w:szCs w:val="20"/>
                <w:color w:val="auto"/>
              </w:rPr>
            </w:pPr>
            <w:r>
              <w:rPr>
                <w:rFonts w:ascii="Arial" w:cs="Arial" w:eastAsia="Arial" w:hAnsi="Arial"/>
                <w:sz w:val="19"/>
                <w:szCs w:val="19"/>
                <w:b w:val="1"/>
                <w:bCs w:val="1"/>
                <w:color w:val="231F20"/>
              </w:rPr>
              <w:t>Contract asset, current</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w w:val="99"/>
              </w:rPr>
              <w:t>Prepaid and other current</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assets</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1220" w:type="dxa"/>
            <w:vAlign w:val="bottom"/>
            <w:gridSpan w:val="2"/>
          </w:tcPr>
          <w:p>
            <w:pPr>
              <w:jc w:val="right"/>
              <w:ind w:right="43"/>
              <w:spacing w:after="0" w:line="223"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236</w:t>
            </w:r>
          </w:p>
        </w:tc>
      </w:tr>
      <w:tr>
        <w:trPr>
          <w:trHeight w:val="235"/>
        </w:trPr>
        <w:tc>
          <w:tcPr>
            <w:tcW w:w="2360" w:type="dxa"/>
            <w:vAlign w:val="bottom"/>
          </w:tcPr>
          <w:p>
            <w:pPr>
              <w:spacing w:after="0"/>
              <w:rPr>
                <w:sz w:val="20"/>
                <w:szCs w:val="20"/>
                <w:color w:val="auto"/>
              </w:rPr>
            </w:pPr>
            <w:r>
              <w:rPr>
                <w:rFonts w:ascii="Arial" w:cs="Arial" w:eastAsia="Arial" w:hAnsi="Arial"/>
                <w:sz w:val="19"/>
                <w:szCs w:val="19"/>
                <w:b w:val="1"/>
                <w:bCs w:val="1"/>
                <w:color w:val="231F20"/>
              </w:rPr>
              <w:t>Contract liability, current</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Deferred revenue</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7"/>
              <w:spacing w:after="0"/>
              <w:rPr>
                <w:sz w:val="20"/>
                <w:szCs w:val="20"/>
                <w:color w:val="auto"/>
              </w:rPr>
            </w:pPr>
            <w:r>
              <w:rPr>
                <w:rFonts w:ascii="Arial" w:cs="Arial" w:eastAsia="Arial" w:hAnsi="Arial"/>
                <w:sz w:val="19"/>
                <w:szCs w:val="19"/>
                <w:b w:val="1"/>
                <w:bCs w:val="1"/>
                <w:color w:val="231F20"/>
              </w:rPr>
              <w:t>479</w:t>
            </w:r>
          </w:p>
        </w:tc>
        <w:tc>
          <w:tcPr>
            <w:tcW w:w="32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2360" w:type="dxa"/>
            <w:vAlign w:val="bottom"/>
          </w:tcPr>
          <w:p>
            <w:pPr>
              <w:spacing w:after="0"/>
              <w:rPr>
                <w:sz w:val="20"/>
                <w:szCs w:val="20"/>
                <w:color w:val="auto"/>
              </w:rPr>
            </w:pPr>
            <w:r>
              <w:rPr>
                <w:rFonts w:ascii="Arial" w:cs="Arial" w:eastAsia="Arial" w:hAnsi="Arial"/>
                <w:sz w:val="19"/>
                <w:szCs w:val="19"/>
                <w:b w:val="1"/>
                <w:bCs w:val="1"/>
                <w:color w:val="231F20"/>
              </w:rPr>
              <w:t>Deferred revenue, current</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rPr>
              <w:t>Deferred revenue</w:t>
            </w: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7"/>
              <w:spacing w:after="0"/>
              <w:rPr>
                <w:sz w:val="20"/>
                <w:szCs w:val="20"/>
                <w:color w:val="auto"/>
              </w:rPr>
            </w:pPr>
            <w:r>
              <w:rPr>
                <w:rFonts w:ascii="Arial" w:cs="Arial" w:eastAsia="Arial" w:hAnsi="Arial"/>
                <w:sz w:val="19"/>
                <w:szCs w:val="19"/>
                <w:b w:val="1"/>
                <w:bCs w:val="1"/>
                <w:color w:val="231F20"/>
              </w:rPr>
              <w:t>2,595</w:t>
            </w:r>
          </w:p>
        </w:tc>
        <w:tc>
          <w:tcPr>
            <w:tcW w:w="32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1,677</w:t>
            </w:r>
          </w:p>
        </w:tc>
      </w:tr>
      <w:tr>
        <w:trPr>
          <w:trHeight w:val="238"/>
        </w:trPr>
        <w:tc>
          <w:tcPr>
            <w:tcW w:w="2360" w:type="dxa"/>
            <w:vAlign w:val="bottom"/>
          </w:tcPr>
          <w:p>
            <w:pPr>
              <w:spacing w:after="0"/>
              <w:rPr>
                <w:sz w:val="20"/>
                <w:szCs w:val="20"/>
                <w:color w:val="auto"/>
              </w:rPr>
            </w:pPr>
            <w:r>
              <w:rPr>
                <w:rFonts w:ascii="Arial" w:cs="Arial" w:eastAsia="Arial" w:hAnsi="Arial"/>
                <w:sz w:val="19"/>
                <w:szCs w:val="19"/>
                <w:b w:val="1"/>
                <w:bCs w:val="1"/>
                <w:color w:val="231F20"/>
              </w:rPr>
              <w:t>Deferred revenue, non-</w:t>
            </w:r>
          </w:p>
        </w:tc>
        <w:tc>
          <w:tcPr>
            <w:tcW w:w="2440" w:type="dxa"/>
            <w:vAlign w:val="bottom"/>
          </w:tcPr>
          <w:p>
            <w:pPr>
              <w:ind w:left="120"/>
              <w:spacing w:after="0"/>
              <w:rPr>
                <w:sz w:val="20"/>
                <w:szCs w:val="20"/>
                <w:color w:val="auto"/>
              </w:rPr>
            </w:pPr>
            <w:r>
              <w:rPr>
                <w:rFonts w:ascii="Arial" w:cs="Arial" w:eastAsia="Arial" w:hAnsi="Arial"/>
                <w:sz w:val="19"/>
                <w:szCs w:val="19"/>
                <w:b w:val="1"/>
                <w:bCs w:val="1"/>
                <w:color w:val="231F20"/>
                <w:w w:val="99"/>
              </w:rPr>
              <w:t>Other long-term liabilities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9"/>
                <w:szCs w:val="19"/>
                <w:b w:val="1"/>
                <w:bCs w:val="1"/>
                <w:color w:val="231F20"/>
              </w:rPr>
              <w:t>current</w:t>
            </w:r>
          </w:p>
        </w:tc>
        <w:tc>
          <w:tcPr>
            <w:tcW w:w="2440" w:type="dxa"/>
            <w:vAlign w:val="bottom"/>
          </w:tcPr>
          <w:p>
            <w:pPr>
              <w:spacing w:after="0"/>
              <w:rPr>
                <w:sz w:val="19"/>
                <w:szCs w:val="19"/>
                <w:color w:val="auto"/>
              </w:rPr>
            </w:pPr>
          </w:p>
        </w:tc>
        <w:tc>
          <w:tcPr>
            <w:tcW w:w="38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7"/>
              <w:spacing w:after="0"/>
              <w:rPr>
                <w:sz w:val="20"/>
                <w:szCs w:val="20"/>
                <w:color w:val="auto"/>
              </w:rPr>
            </w:pPr>
            <w:r>
              <w:rPr>
                <w:rFonts w:ascii="Arial" w:cs="Arial" w:eastAsia="Arial" w:hAnsi="Arial"/>
                <w:sz w:val="19"/>
                <w:szCs w:val="19"/>
                <w:b w:val="1"/>
                <w:bCs w:val="1"/>
                <w:color w:val="231F20"/>
              </w:rPr>
              <w:t>910</w:t>
            </w:r>
          </w:p>
        </w:tc>
        <w:tc>
          <w:tcPr>
            <w:tcW w:w="320" w:type="dxa"/>
            <w:vAlign w:val="bottom"/>
          </w:tcPr>
          <w:p>
            <w:pPr>
              <w:jc w:val="right"/>
              <w:ind w:right="4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696</w:t>
            </w:r>
          </w:p>
        </w:tc>
      </w:tr>
    </w:tbl>
    <w:p>
      <w:pPr>
        <w:spacing w:after="0" w:line="142"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Accounts Receivable, Net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Accounts receivable,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F-17</w:t>
      </w:r>
    </w:p>
    <w:p>
      <w:pPr>
        <w:sectPr>
          <w:pgSz w:w="12240" w:h="15840" w:orient="portrait"/>
          <w:cols w:equalWidth="0" w:num="1">
            <w:col w:w="9360"/>
          </w:cols>
          <w:pgMar w:left="1440" w:top="1440" w:right="1440" w:bottom="390" w:gutter="0" w:footer="0" w:header="0"/>
          <w:type w:val="continuous"/>
        </w:sectPr>
      </w:pPr>
    </w:p>
    <w:bookmarkStart w:id="119" w:name="page120"/>
    <w:bookmarkEnd w:id="119"/>
    <w:p>
      <w:pPr>
        <w:spacing w:after="0" w:line="343"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customer credit worthiness, historical payment experience, the age of outstanding receivables, collateral to the extent applicable and reflects the possible impact of current conditions and reasonable forecasts not already reflected in historical loss information.</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following table summarizes the activity in the allowance for credit losses:</w:t>
      </w:r>
    </w:p>
    <w:p>
      <w:pPr>
        <w:spacing w:after="0" w:line="216"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jc w:val="right"/>
              <w:ind w:right="265"/>
              <w:spacing w:after="0"/>
              <w:rPr>
                <w:sz w:val="20"/>
                <w:szCs w:val="20"/>
                <w:color w:val="auto"/>
              </w:rPr>
            </w:pPr>
            <w:r>
              <w:rPr>
                <w:rFonts w:ascii="Arial" w:cs="Arial" w:eastAsia="Arial" w:hAnsi="Arial"/>
                <w:sz w:val="16"/>
                <w:szCs w:val="16"/>
                <w:b w:val="1"/>
                <w:bCs w:val="1"/>
                <w:color w:val="231F20"/>
              </w:rPr>
              <w:t>Amount</w:t>
            </w:r>
          </w:p>
        </w:tc>
      </w:tr>
      <w:tr>
        <w:trPr>
          <w:trHeight w:val="238"/>
        </w:trPr>
        <w:tc>
          <w:tcPr>
            <w:tcW w:w="4660" w:type="dxa"/>
            <w:vAlign w:val="bottom"/>
          </w:tcPr>
          <w:p>
            <w:pPr>
              <w:spacing w:after="0"/>
              <w:rPr>
                <w:sz w:val="20"/>
                <w:szCs w:val="20"/>
                <w:color w:val="auto"/>
              </w:rPr>
            </w:pPr>
            <w:r>
              <w:rPr>
                <w:rFonts w:ascii="Arial" w:cs="Arial" w:eastAsia="Arial" w:hAnsi="Arial"/>
                <w:sz w:val="19"/>
                <w:szCs w:val="19"/>
                <w:b w:val="1"/>
                <w:bCs w:val="1"/>
                <w:color w:val="231F20"/>
                <w:w w:val="95"/>
              </w:rPr>
              <w:t>Accounts receivable, allowance for credit losses as of</w:t>
            </w: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9"/>
                <w:szCs w:val="19"/>
                <w:b w:val="1"/>
                <w:bCs w:val="1"/>
                <w:color w:val="231F20"/>
              </w:rPr>
              <w:t>December 31, 2023</w:t>
            </w:r>
          </w:p>
        </w:tc>
        <w:tc>
          <w:tcPr>
            <w:tcW w:w="6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62</w:t>
            </w:r>
          </w:p>
        </w:tc>
      </w:tr>
      <w:tr>
        <w:trPr>
          <w:trHeight w:val="223"/>
        </w:trPr>
        <w:tc>
          <w:tcPr>
            <w:tcW w:w="4660" w:type="dxa"/>
            <w:vAlign w:val="bottom"/>
          </w:tcPr>
          <w:p>
            <w:pPr>
              <w:spacing w:after="0"/>
              <w:rPr>
                <w:sz w:val="20"/>
                <w:szCs w:val="20"/>
                <w:color w:val="auto"/>
              </w:rPr>
            </w:pPr>
            <w:r>
              <w:rPr>
                <w:rFonts w:ascii="Arial" w:cs="Arial" w:eastAsia="Arial" w:hAnsi="Arial"/>
                <w:sz w:val="19"/>
                <w:szCs w:val="19"/>
                <w:b w:val="1"/>
                <w:bCs w:val="1"/>
                <w:color w:val="231F20"/>
              </w:rPr>
              <w:t>Change in provision for credit losses</w:t>
            </w: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43</w:t>
            </w:r>
          </w:p>
        </w:tc>
      </w:tr>
      <w:tr>
        <w:trPr>
          <w:trHeight w:val="223"/>
        </w:trPr>
        <w:tc>
          <w:tcPr>
            <w:tcW w:w="4660" w:type="dxa"/>
            <w:vAlign w:val="bottom"/>
          </w:tcPr>
          <w:p>
            <w:pPr>
              <w:spacing w:after="0"/>
              <w:rPr>
                <w:sz w:val="20"/>
                <w:szCs w:val="20"/>
                <w:color w:val="auto"/>
              </w:rPr>
            </w:pPr>
            <w:r>
              <w:rPr>
                <w:rFonts w:ascii="Arial" w:cs="Arial" w:eastAsia="Arial" w:hAnsi="Arial"/>
                <w:sz w:val="19"/>
                <w:szCs w:val="19"/>
                <w:b w:val="1"/>
                <w:bCs w:val="1"/>
                <w:color w:val="231F20"/>
              </w:rPr>
              <w:t>Write-offs</w:t>
            </w:r>
          </w:p>
        </w:tc>
        <w:tc>
          <w:tcPr>
            <w:tcW w:w="68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4660" w:type="dxa"/>
            <w:vAlign w:val="bottom"/>
          </w:tcPr>
          <w:p>
            <w:pPr>
              <w:spacing w:after="0"/>
              <w:rPr>
                <w:sz w:val="20"/>
                <w:szCs w:val="20"/>
                <w:color w:val="auto"/>
              </w:rPr>
            </w:pPr>
            <w:r>
              <w:rPr>
                <w:rFonts w:ascii="Arial" w:cs="Arial" w:eastAsia="Arial" w:hAnsi="Arial"/>
                <w:sz w:val="19"/>
                <w:szCs w:val="19"/>
                <w:b w:val="1"/>
                <w:bCs w:val="1"/>
                <w:color w:val="231F20"/>
                <w:w w:val="95"/>
              </w:rPr>
              <w:t>Accounts receivable, allowance for credit losses as of</w:t>
            </w: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9"/>
                <w:szCs w:val="19"/>
                <w:b w:val="1"/>
                <w:bCs w:val="1"/>
                <w:color w:val="231F20"/>
              </w:rPr>
              <w:t>December 31, 2024</w:t>
            </w: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105</w:t>
            </w:r>
          </w:p>
        </w:tc>
      </w:tr>
      <w:tr>
        <w:trPr>
          <w:trHeight w:val="223"/>
        </w:trPr>
        <w:tc>
          <w:tcPr>
            <w:tcW w:w="4660" w:type="dxa"/>
            <w:vAlign w:val="bottom"/>
          </w:tcPr>
          <w:p>
            <w:pPr>
              <w:spacing w:after="0"/>
              <w:rPr>
                <w:sz w:val="20"/>
                <w:szCs w:val="20"/>
                <w:color w:val="auto"/>
              </w:rPr>
            </w:pPr>
            <w:r>
              <w:rPr>
                <w:rFonts w:ascii="Arial" w:cs="Arial" w:eastAsia="Arial" w:hAnsi="Arial"/>
                <w:sz w:val="19"/>
                <w:szCs w:val="19"/>
                <w:b w:val="1"/>
                <w:bCs w:val="1"/>
                <w:color w:val="231F20"/>
              </w:rPr>
              <w:t>Change in provision for credit losses</w:t>
            </w: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(43)</w:t>
            </w:r>
          </w:p>
        </w:tc>
      </w:tr>
      <w:tr>
        <w:trPr>
          <w:trHeight w:val="223"/>
        </w:trPr>
        <w:tc>
          <w:tcPr>
            <w:tcW w:w="4660" w:type="dxa"/>
            <w:vAlign w:val="bottom"/>
          </w:tcPr>
          <w:p>
            <w:pPr>
              <w:spacing w:after="0"/>
              <w:rPr>
                <w:sz w:val="20"/>
                <w:szCs w:val="20"/>
                <w:color w:val="auto"/>
              </w:rPr>
            </w:pPr>
            <w:r>
              <w:rPr>
                <w:rFonts w:ascii="Arial" w:cs="Arial" w:eastAsia="Arial" w:hAnsi="Arial"/>
                <w:sz w:val="19"/>
                <w:szCs w:val="19"/>
                <w:b w:val="1"/>
                <w:bCs w:val="1"/>
                <w:color w:val="231F20"/>
              </w:rPr>
              <w:t>Write-offs</w:t>
            </w:r>
          </w:p>
        </w:tc>
        <w:tc>
          <w:tcPr>
            <w:tcW w:w="68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4660" w:type="dxa"/>
            <w:vAlign w:val="bottom"/>
          </w:tcPr>
          <w:p>
            <w:pPr>
              <w:spacing w:after="0"/>
              <w:rPr>
                <w:sz w:val="20"/>
                <w:szCs w:val="20"/>
                <w:color w:val="auto"/>
              </w:rPr>
            </w:pPr>
            <w:r>
              <w:rPr>
                <w:rFonts w:ascii="Arial" w:cs="Arial" w:eastAsia="Arial" w:hAnsi="Arial"/>
                <w:sz w:val="19"/>
                <w:szCs w:val="19"/>
                <w:b w:val="1"/>
                <w:bCs w:val="1"/>
                <w:color w:val="231F20"/>
                <w:w w:val="95"/>
              </w:rPr>
              <w:t>Accounts receivable, allowance for credit losses as of</w:t>
            </w: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9"/>
                <w:szCs w:val="19"/>
                <w:b w:val="1"/>
                <w:bCs w:val="1"/>
                <w:color w:val="231F20"/>
              </w:rPr>
              <w:t>December 31, 2025</w:t>
            </w:r>
          </w:p>
        </w:tc>
        <w:tc>
          <w:tcPr>
            <w:tcW w:w="6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-1456055</wp:posOffset>
            </wp:positionV>
            <wp:extent cx="4064000" cy="6350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64000" cy="6350000"/>
                    </a:xfrm>
                    <a:prstGeom prst="rect">
                      <a:avLst/>
                    </a:prstGeom>
                    <a:noFill/>
                  </pic:spPr>
                </pic:pic>
              </a:graphicData>
            </a:graphic>
          </wp:anchor>
        </w:drawing>
      </w:r>
    </w:p>
    <w:p>
      <w:pPr>
        <w:spacing w:after="0" w:line="266"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Notes Receivable, Net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Notes receivable, net includes amounts billed and due from customers under extended payment terms with a significant financing component. Interest rates on notes receivable range from 7.0% to 8.0%. The Company recorded interest income on notes receivable during the years ended December 31, 2025 and 2024 of $91 and $103 in other income, net in the statement of operations.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following table summarizes the activity in the allowance for notes receivable:</w:t>
      </w:r>
    </w:p>
    <w:p>
      <w:pPr>
        <w:spacing w:after="0" w:line="110"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jc w:val="right"/>
              <w:ind w:right="265"/>
              <w:spacing w:after="0"/>
              <w:rPr>
                <w:sz w:val="20"/>
                <w:szCs w:val="20"/>
                <w:color w:val="auto"/>
              </w:rPr>
            </w:pPr>
            <w:r>
              <w:rPr>
                <w:rFonts w:ascii="Arial" w:cs="Arial" w:eastAsia="Arial" w:hAnsi="Arial"/>
                <w:sz w:val="16"/>
                <w:szCs w:val="16"/>
                <w:b w:val="1"/>
                <w:bCs w:val="1"/>
                <w:color w:val="231F20"/>
              </w:rPr>
              <w:t>Amount</w:t>
            </w:r>
          </w:p>
        </w:tc>
      </w:tr>
      <w:tr>
        <w:trPr>
          <w:trHeight w:val="236"/>
        </w:trPr>
        <w:tc>
          <w:tcPr>
            <w:tcW w:w="4520" w:type="dxa"/>
            <w:vAlign w:val="bottom"/>
          </w:tcPr>
          <w:p>
            <w:pPr>
              <w:spacing w:after="0"/>
              <w:rPr>
                <w:sz w:val="20"/>
                <w:szCs w:val="20"/>
                <w:color w:val="auto"/>
              </w:rPr>
            </w:pPr>
            <w:r>
              <w:rPr>
                <w:rFonts w:ascii="Arial" w:cs="Arial" w:eastAsia="Arial" w:hAnsi="Arial"/>
                <w:sz w:val="19"/>
                <w:szCs w:val="19"/>
                <w:b w:val="1"/>
                <w:bCs w:val="1"/>
                <w:color w:val="231F20"/>
                <w:w w:val="99"/>
              </w:rPr>
              <w:t>Notes receivable, allowance for credit losses as of</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9"/>
                <w:szCs w:val="19"/>
                <w:b w:val="1"/>
                <w:bCs w:val="1"/>
                <w:color w:val="231F20"/>
              </w:rPr>
              <w:t>December 31, 2023</w:t>
            </w:r>
          </w:p>
        </w:tc>
        <w:tc>
          <w:tcPr>
            <w:tcW w:w="82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33</w:t>
            </w:r>
          </w:p>
        </w:tc>
      </w:tr>
      <w:tr>
        <w:trPr>
          <w:trHeight w:val="223"/>
        </w:trPr>
        <w:tc>
          <w:tcPr>
            <w:tcW w:w="4520" w:type="dxa"/>
            <w:vAlign w:val="bottom"/>
          </w:tcPr>
          <w:p>
            <w:pPr>
              <w:spacing w:after="0"/>
              <w:rPr>
                <w:sz w:val="20"/>
                <w:szCs w:val="20"/>
                <w:color w:val="auto"/>
              </w:rPr>
            </w:pPr>
            <w:r>
              <w:rPr>
                <w:rFonts w:ascii="Arial" w:cs="Arial" w:eastAsia="Arial" w:hAnsi="Arial"/>
                <w:sz w:val="19"/>
                <w:szCs w:val="19"/>
                <w:b w:val="1"/>
                <w:bCs w:val="1"/>
                <w:color w:val="231F20"/>
              </w:rPr>
              <w:t>Change in provision for credit losses</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w:t>
            </w:r>
          </w:p>
        </w:tc>
      </w:tr>
      <w:tr>
        <w:trPr>
          <w:trHeight w:val="223"/>
        </w:trPr>
        <w:tc>
          <w:tcPr>
            <w:tcW w:w="4520" w:type="dxa"/>
            <w:vAlign w:val="bottom"/>
          </w:tcPr>
          <w:p>
            <w:pPr>
              <w:spacing w:after="0"/>
              <w:rPr>
                <w:sz w:val="20"/>
                <w:szCs w:val="20"/>
                <w:color w:val="auto"/>
              </w:rPr>
            </w:pPr>
            <w:r>
              <w:rPr>
                <w:rFonts w:ascii="Arial" w:cs="Arial" w:eastAsia="Arial" w:hAnsi="Arial"/>
                <w:sz w:val="19"/>
                <w:szCs w:val="19"/>
                <w:b w:val="1"/>
                <w:bCs w:val="1"/>
                <w:color w:val="231F20"/>
              </w:rPr>
              <w:t>Write-offs</w:t>
            </w:r>
          </w:p>
        </w:tc>
        <w:tc>
          <w:tcPr>
            <w:tcW w:w="82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4520" w:type="dxa"/>
            <w:vAlign w:val="bottom"/>
          </w:tcPr>
          <w:p>
            <w:pPr>
              <w:spacing w:after="0"/>
              <w:rPr>
                <w:sz w:val="20"/>
                <w:szCs w:val="20"/>
                <w:color w:val="auto"/>
              </w:rPr>
            </w:pPr>
            <w:r>
              <w:rPr>
                <w:rFonts w:ascii="Arial" w:cs="Arial" w:eastAsia="Arial" w:hAnsi="Arial"/>
                <w:sz w:val="19"/>
                <w:szCs w:val="19"/>
                <w:b w:val="1"/>
                <w:bCs w:val="1"/>
                <w:color w:val="231F20"/>
                <w:w w:val="99"/>
              </w:rPr>
              <w:t>Notes receivable, allowance for credit losses as of</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9"/>
                <w:szCs w:val="19"/>
                <w:b w:val="1"/>
                <w:bCs w:val="1"/>
                <w:color w:val="231F20"/>
              </w:rPr>
              <w:t>December 31, 2024</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31</w:t>
            </w:r>
          </w:p>
        </w:tc>
      </w:tr>
      <w:tr>
        <w:trPr>
          <w:trHeight w:val="223"/>
        </w:trPr>
        <w:tc>
          <w:tcPr>
            <w:tcW w:w="4520" w:type="dxa"/>
            <w:vAlign w:val="bottom"/>
          </w:tcPr>
          <w:p>
            <w:pPr>
              <w:spacing w:after="0"/>
              <w:rPr>
                <w:sz w:val="20"/>
                <w:szCs w:val="20"/>
                <w:color w:val="auto"/>
              </w:rPr>
            </w:pPr>
            <w:r>
              <w:rPr>
                <w:rFonts w:ascii="Arial" w:cs="Arial" w:eastAsia="Arial" w:hAnsi="Arial"/>
                <w:sz w:val="19"/>
                <w:szCs w:val="19"/>
                <w:b w:val="1"/>
                <w:bCs w:val="1"/>
                <w:color w:val="231F20"/>
              </w:rPr>
              <w:t>Change in provision for credit losses</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(10)</w:t>
            </w:r>
          </w:p>
        </w:tc>
      </w:tr>
      <w:tr>
        <w:trPr>
          <w:trHeight w:val="223"/>
        </w:trPr>
        <w:tc>
          <w:tcPr>
            <w:tcW w:w="4520" w:type="dxa"/>
            <w:vAlign w:val="bottom"/>
          </w:tcPr>
          <w:p>
            <w:pPr>
              <w:spacing w:after="0"/>
              <w:rPr>
                <w:sz w:val="20"/>
                <w:szCs w:val="20"/>
                <w:color w:val="auto"/>
              </w:rPr>
            </w:pPr>
            <w:r>
              <w:rPr>
                <w:rFonts w:ascii="Arial" w:cs="Arial" w:eastAsia="Arial" w:hAnsi="Arial"/>
                <w:sz w:val="19"/>
                <w:szCs w:val="19"/>
                <w:b w:val="1"/>
                <w:bCs w:val="1"/>
                <w:color w:val="231F20"/>
              </w:rPr>
              <w:t>Write-offs</w:t>
            </w:r>
          </w:p>
        </w:tc>
        <w:tc>
          <w:tcPr>
            <w:tcW w:w="82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4520" w:type="dxa"/>
            <w:vAlign w:val="bottom"/>
          </w:tcPr>
          <w:p>
            <w:pPr>
              <w:spacing w:after="0"/>
              <w:rPr>
                <w:sz w:val="20"/>
                <w:szCs w:val="20"/>
                <w:color w:val="auto"/>
              </w:rPr>
            </w:pPr>
            <w:r>
              <w:rPr>
                <w:rFonts w:ascii="Arial" w:cs="Arial" w:eastAsia="Arial" w:hAnsi="Arial"/>
                <w:sz w:val="19"/>
                <w:szCs w:val="19"/>
                <w:b w:val="1"/>
                <w:bCs w:val="1"/>
                <w:color w:val="231F20"/>
                <w:w w:val="99"/>
              </w:rPr>
              <w:t>Notes receivable, allowance for credit losses as of</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9"/>
                <w:szCs w:val="19"/>
                <w:b w:val="1"/>
                <w:bCs w:val="1"/>
                <w:color w:val="231F20"/>
              </w:rPr>
              <w:t>December 31, 2025</w:t>
            </w:r>
          </w:p>
        </w:tc>
        <w:tc>
          <w:tcPr>
            <w:tcW w:w="82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21</w:t>
            </w:r>
          </w:p>
        </w:tc>
      </w:tr>
    </w:tbl>
    <w:p>
      <w:pPr>
        <w:spacing w:after="0" w:line="28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31F20"/>
        </w:rPr>
        <w:t>Maturities of notes receivable, net under extended payment terms with a significant financing component as of</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December 31, 2025 are as follows:</w:t>
      </w:r>
    </w:p>
    <w:p>
      <w:pPr>
        <w:spacing w:after="0" w:line="144" w:lineRule="exact"/>
        <w:rPr>
          <w:sz w:val="20"/>
          <w:szCs w:val="20"/>
          <w:color w:val="auto"/>
        </w:rPr>
      </w:pPr>
    </w:p>
    <w:tbl>
      <w:tblPr>
        <w:tblLayout w:type="fixed"/>
        <w:tblInd w:w="1960" w:type="dxa"/>
        <w:tblCellMar>
          <w:top w:w="0" w:type="dxa"/>
          <w:left w:w="0" w:type="dxa"/>
          <w:bottom w:w="0" w:type="dxa"/>
          <w:right w:w="0" w:type="dxa"/>
        </w:tblCellMar>
      </w:tblPr>
      <w:tr>
        <w:trPr>
          <w:trHeight w:val="184"/>
        </w:trPr>
        <w:tc>
          <w:tcPr>
            <w:tcW w:w="4100" w:type="dxa"/>
            <w:vAlign w:val="bottom"/>
          </w:tcPr>
          <w:p>
            <w:pPr>
              <w:spacing w:after="0"/>
              <w:rPr>
                <w:sz w:val="20"/>
                <w:szCs w:val="20"/>
                <w:color w:val="auto"/>
              </w:rPr>
            </w:pPr>
            <w:r>
              <w:rPr>
                <w:rFonts w:ascii="Arial" w:cs="Arial" w:eastAsia="Arial" w:hAnsi="Arial"/>
                <w:sz w:val="16"/>
                <w:szCs w:val="16"/>
                <w:b w:val="1"/>
                <w:bCs w:val="1"/>
                <w:color w:val="231F20"/>
              </w:rPr>
              <w:t>Fiscal Year</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Arial" w:cs="Arial" w:eastAsia="Arial" w:hAnsi="Arial"/>
                <w:sz w:val="16"/>
                <w:szCs w:val="16"/>
                <w:b w:val="1"/>
                <w:bCs w:val="1"/>
                <w:color w:val="231F20"/>
                <w:w w:val="95"/>
              </w:rPr>
              <w:t>Amount</w:t>
            </w:r>
          </w:p>
        </w:tc>
      </w:tr>
      <w:tr>
        <w:trPr>
          <w:trHeight w:val="251"/>
        </w:trPr>
        <w:tc>
          <w:tcPr>
            <w:tcW w:w="410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4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354</w:t>
            </w: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332</w:t>
            </w: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222</w:t>
            </w: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125</w:t>
            </w: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rPr>
              <w:t>2030</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125</w:t>
            </w:r>
          </w:p>
        </w:tc>
      </w:tr>
      <w:tr>
        <w:trPr>
          <w:trHeight w:val="238"/>
        </w:trPr>
        <w:tc>
          <w:tcPr>
            <w:tcW w:w="4100" w:type="dxa"/>
            <w:vAlign w:val="bottom"/>
          </w:tcPr>
          <w:p>
            <w:pPr>
              <w:spacing w:after="0"/>
              <w:rPr>
                <w:sz w:val="20"/>
                <w:szCs w:val="20"/>
                <w:color w:val="auto"/>
              </w:rPr>
            </w:pPr>
            <w:r>
              <w:rPr>
                <w:rFonts w:ascii="Arial" w:cs="Arial" w:eastAsia="Arial" w:hAnsi="Arial"/>
                <w:sz w:val="19"/>
                <w:szCs w:val="19"/>
                <w:b w:val="1"/>
                <w:bCs w:val="1"/>
                <w:color w:val="231F20"/>
              </w:rPr>
              <w:t>Thereafter</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36</w:t>
            </w:r>
          </w:p>
        </w:tc>
      </w:tr>
      <w:tr>
        <w:trPr>
          <w:trHeight w:val="252"/>
        </w:trPr>
        <w:tc>
          <w:tcPr>
            <w:tcW w:w="4100" w:type="dxa"/>
            <w:vAlign w:val="bottom"/>
          </w:tcPr>
          <w:p>
            <w:pPr>
              <w:spacing w:after="0"/>
              <w:rPr>
                <w:sz w:val="20"/>
                <w:szCs w:val="20"/>
                <w:color w:val="auto"/>
              </w:rPr>
            </w:pPr>
            <w:r>
              <w:rPr>
                <w:rFonts w:ascii="Arial" w:cs="Arial" w:eastAsia="Arial" w:hAnsi="Arial"/>
                <w:sz w:val="19"/>
                <w:szCs w:val="19"/>
                <w:b w:val="1"/>
                <w:bCs w:val="1"/>
                <w:color w:val="231F20"/>
              </w:rPr>
              <w:t>Total undiscounted cash flows</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1,194</w:t>
            </w:r>
          </w:p>
        </w:tc>
      </w:tr>
      <w:tr>
        <w:trPr>
          <w:trHeight w:val="235"/>
        </w:trPr>
        <w:tc>
          <w:tcPr>
            <w:tcW w:w="4100" w:type="dxa"/>
            <w:vAlign w:val="bottom"/>
          </w:tcPr>
          <w:p>
            <w:pPr>
              <w:spacing w:after="0"/>
              <w:rPr>
                <w:sz w:val="20"/>
                <w:szCs w:val="20"/>
                <w:color w:val="auto"/>
              </w:rPr>
            </w:pPr>
            <w:r>
              <w:rPr>
                <w:rFonts w:ascii="Arial" w:cs="Arial" w:eastAsia="Arial" w:hAnsi="Arial"/>
                <w:sz w:val="19"/>
                <w:szCs w:val="19"/>
                <w:b w:val="1"/>
                <w:bCs w:val="1"/>
                <w:color w:val="231F20"/>
              </w:rPr>
              <w:t>Present value of notes receivable</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1,047</w:t>
            </w:r>
          </w:p>
        </w:tc>
      </w:tr>
      <w:tr>
        <w:trPr>
          <w:trHeight w:val="252"/>
        </w:trPr>
        <w:tc>
          <w:tcPr>
            <w:tcW w:w="4100" w:type="dxa"/>
            <w:vAlign w:val="bottom"/>
          </w:tcPr>
          <w:p>
            <w:pPr>
              <w:spacing w:after="0"/>
              <w:rPr>
                <w:sz w:val="20"/>
                <w:szCs w:val="20"/>
                <w:color w:val="auto"/>
              </w:rPr>
            </w:pPr>
            <w:r>
              <w:rPr>
                <w:rFonts w:ascii="Arial" w:cs="Arial" w:eastAsia="Arial" w:hAnsi="Arial"/>
                <w:sz w:val="19"/>
                <w:szCs w:val="19"/>
                <w:b w:val="1"/>
                <w:bCs w:val="1"/>
                <w:color w:val="231F20"/>
                <w:w w:val="90"/>
              </w:rPr>
              <w:t>Difference between undiscounted and discounted</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9"/>
                <w:szCs w:val="19"/>
                <w:b w:val="1"/>
                <w:bCs w:val="1"/>
                <w:color w:val="231F20"/>
              </w:rPr>
              <w:t>cash flows</w:t>
            </w:r>
          </w:p>
        </w:tc>
        <w:tc>
          <w:tcPr>
            <w:tcW w:w="4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147</w:t>
            </w:r>
          </w:p>
        </w:tc>
      </w:tr>
    </w:tbl>
    <w:p>
      <w:pPr>
        <w:spacing w:after="0" w:line="286"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 xml:space="preserve">Contract Assets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balance sheets.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F-18</w:t>
      </w:r>
    </w:p>
    <w:p>
      <w:pPr>
        <w:sectPr>
          <w:pgSz w:w="12240" w:h="15840" w:orient="portrait"/>
          <w:cols w:equalWidth="0" w:num="1">
            <w:col w:w="9360"/>
          </w:cols>
          <w:pgMar w:left="1440" w:top="1440" w:right="1440" w:bottom="390" w:gutter="0" w:footer="0" w:header="0"/>
          <w:type w:val="continuous"/>
        </w:sectPr>
      </w:pPr>
    </w:p>
    <w:bookmarkStart w:id="120" w:name="page121"/>
    <w:bookmarkEnd w:id="120"/>
    <w:p>
      <w:pPr>
        <w:spacing w:after="0" w:line="34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following table provides information about contract assets from contracts with customers:</w:t>
      </w:r>
    </w:p>
    <w:p>
      <w:pPr>
        <w:spacing w:after="0" w:line="134"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ind w:right="265"/>
              <w:spacing w:after="0"/>
              <w:rPr>
                <w:sz w:val="20"/>
                <w:szCs w:val="20"/>
                <w:color w:val="auto"/>
              </w:rPr>
            </w:pPr>
            <w:r>
              <w:rPr>
                <w:rFonts w:ascii="Arial" w:cs="Arial" w:eastAsia="Arial" w:hAnsi="Arial"/>
                <w:sz w:val="16"/>
                <w:szCs w:val="16"/>
                <w:b w:val="1"/>
                <w:bCs w:val="1"/>
                <w:color w:val="231F20"/>
              </w:rPr>
              <w:t>Amount</w:t>
            </w:r>
          </w:p>
        </w:tc>
      </w:tr>
      <w:tr>
        <w:trPr>
          <w:trHeight w:val="253"/>
        </w:trPr>
        <w:tc>
          <w:tcPr>
            <w:tcW w:w="4140" w:type="dxa"/>
            <w:vAlign w:val="bottom"/>
          </w:tcPr>
          <w:p>
            <w:pPr>
              <w:spacing w:after="0"/>
              <w:rPr>
                <w:sz w:val="20"/>
                <w:szCs w:val="20"/>
                <w:color w:val="auto"/>
              </w:rPr>
            </w:pPr>
            <w:r>
              <w:rPr>
                <w:rFonts w:ascii="Arial" w:cs="Arial" w:eastAsia="Arial" w:hAnsi="Arial"/>
                <w:sz w:val="19"/>
                <w:szCs w:val="19"/>
                <w:b w:val="1"/>
                <w:bCs w:val="1"/>
                <w:color w:val="231F20"/>
              </w:rPr>
              <w:t>Contract assets at December 31, 2023</w:t>
            </w:r>
          </w:p>
        </w:tc>
        <w:tc>
          <w:tcPr>
            <w:tcW w:w="12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982</w:t>
            </w:r>
          </w:p>
        </w:tc>
      </w:tr>
      <w:tr>
        <w:trPr>
          <w:trHeight w:val="235"/>
        </w:trPr>
        <w:tc>
          <w:tcPr>
            <w:tcW w:w="4140" w:type="dxa"/>
            <w:vAlign w:val="bottom"/>
          </w:tcPr>
          <w:p>
            <w:pPr>
              <w:spacing w:after="0"/>
              <w:rPr>
                <w:sz w:val="20"/>
                <w:szCs w:val="20"/>
                <w:color w:val="auto"/>
              </w:rPr>
            </w:pPr>
            <w:r>
              <w:rPr>
                <w:rFonts w:ascii="Arial" w:cs="Arial" w:eastAsia="Arial" w:hAnsi="Arial"/>
                <w:sz w:val="19"/>
                <w:szCs w:val="19"/>
                <w:b w:val="1"/>
                <w:bCs w:val="1"/>
                <w:color w:val="231F20"/>
              </w:rPr>
              <w:t>Contract assets recognized</w:t>
            </w:r>
          </w:p>
        </w:tc>
        <w:tc>
          <w:tcPr>
            <w:tcW w:w="1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1,037</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Payments received</w:t>
            </w:r>
          </w:p>
        </w:tc>
        <w:tc>
          <w:tcPr>
            <w:tcW w:w="1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(1,595)</w:t>
            </w:r>
          </w:p>
        </w:tc>
      </w:tr>
      <w:tr>
        <w:trPr>
          <w:trHeight w:val="235"/>
        </w:trPr>
        <w:tc>
          <w:tcPr>
            <w:tcW w:w="4140" w:type="dxa"/>
            <w:vAlign w:val="bottom"/>
          </w:tcPr>
          <w:p>
            <w:pPr>
              <w:spacing w:after="0"/>
              <w:rPr>
                <w:sz w:val="20"/>
                <w:szCs w:val="20"/>
                <w:color w:val="auto"/>
              </w:rPr>
            </w:pPr>
            <w:r>
              <w:rPr>
                <w:rFonts w:ascii="Arial" w:cs="Arial" w:eastAsia="Arial" w:hAnsi="Arial"/>
                <w:sz w:val="19"/>
                <w:szCs w:val="19"/>
                <w:b w:val="1"/>
                <w:bCs w:val="1"/>
                <w:color w:val="231F20"/>
              </w:rPr>
              <w:t>Write-offs due to contract modifications</w:t>
            </w:r>
          </w:p>
        </w:tc>
        <w:tc>
          <w:tcPr>
            <w:tcW w:w="1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(188)</w:t>
            </w:r>
          </w:p>
        </w:tc>
      </w:tr>
      <w:tr>
        <w:trPr>
          <w:trHeight w:val="252"/>
        </w:trPr>
        <w:tc>
          <w:tcPr>
            <w:tcW w:w="4140" w:type="dxa"/>
            <w:vAlign w:val="bottom"/>
          </w:tcPr>
          <w:p>
            <w:pPr>
              <w:spacing w:after="0"/>
              <w:rPr>
                <w:sz w:val="20"/>
                <w:szCs w:val="20"/>
                <w:color w:val="auto"/>
              </w:rPr>
            </w:pPr>
            <w:r>
              <w:rPr>
                <w:rFonts w:ascii="Arial" w:cs="Arial" w:eastAsia="Arial" w:hAnsi="Arial"/>
                <w:sz w:val="19"/>
                <w:szCs w:val="19"/>
                <w:b w:val="1"/>
                <w:bCs w:val="1"/>
                <w:color w:val="231F20"/>
              </w:rPr>
              <w:t>Contract assets at December 31, 2024</w:t>
            </w:r>
          </w:p>
        </w:tc>
        <w:tc>
          <w:tcPr>
            <w:tcW w:w="1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236</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Contract assets recognized</w:t>
            </w:r>
          </w:p>
        </w:tc>
        <w:tc>
          <w:tcPr>
            <w:tcW w:w="1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1,318</w:t>
            </w:r>
          </w:p>
        </w:tc>
      </w:tr>
      <w:tr>
        <w:trPr>
          <w:trHeight w:val="235"/>
        </w:trPr>
        <w:tc>
          <w:tcPr>
            <w:tcW w:w="4140" w:type="dxa"/>
            <w:vAlign w:val="bottom"/>
          </w:tcPr>
          <w:p>
            <w:pPr>
              <w:spacing w:after="0"/>
              <w:rPr>
                <w:sz w:val="20"/>
                <w:szCs w:val="20"/>
                <w:color w:val="auto"/>
              </w:rPr>
            </w:pPr>
            <w:r>
              <w:rPr>
                <w:rFonts w:ascii="Arial" w:cs="Arial" w:eastAsia="Arial" w:hAnsi="Arial"/>
                <w:sz w:val="19"/>
                <w:szCs w:val="19"/>
                <w:b w:val="1"/>
                <w:bCs w:val="1"/>
                <w:color w:val="231F20"/>
              </w:rPr>
              <w:t>Payments received</w:t>
            </w:r>
          </w:p>
        </w:tc>
        <w:tc>
          <w:tcPr>
            <w:tcW w:w="1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(1,445)</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Write-offs due to contract modifications</w:t>
            </w:r>
          </w:p>
        </w:tc>
        <w:tc>
          <w:tcPr>
            <w:tcW w:w="1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(109)</w:t>
            </w:r>
          </w:p>
        </w:tc>
      </w:tr>
      <w:tr>
        <w:trPr>
          <w:trHeight w:val="252"/>
        </w:trPr>
        <w:tc>
          <w:tcPr>
            <w:tcW w:w="4140" w:type="dxa"/>
            <w:vAlign w:val="bottom"/>
          </w:tcPr>
          <w:p>
            <w:pPr>
              <w:spacing w:after="0"/>
              <w:rPr>
                <w:sz w:val="20"/>
                <w:szCs w:val="20"/>
                <w:color w:val="auto"/>
              </w:rPr>
            </w:pPr>
            <w:r>
              <w:rPr>
                <w:rFonts w:ascii="Arial" w:cs="Arial" w:eastAsia="Arial" w:hAnsi="Arial"/>
                <w:sz w:val="19"/>
                <w:szCs w:val="19"/>
                <w:b w:val="1"/>
                <w:bCs w:val="1"/>
                <w:color w:val="231F20"/>
              </w:rPr>
              <w:t>Contract assets at December 31, 2025</w:t>
            </w:r>
          </w:p>
        </w:tc>
        <w:tc>
          <w:tcPr>
            <w:tcW w:w="12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-1392555</wp:posOffset>
            </wp:positionV>
            <wp:extent cx="4064000" cy="4187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64000" cy="4187190"/>
                    </a:xfrm>
                    <a:prstGeom prst="rect">
                      <a:avLst/>
                    </a:prstGeom>
                    <a:noFill/>
                  </pic:spPr>
                </pic:pic>
              </a:graphicData>
            </a:graphic>
          </wp:anchor>
        </w:drawing>
      </w:r>
    </w:p>
    <w:p>
      <w:pPr>
        <w:spacing w:after="0" w:line="266"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Deferred Revenue and Contract Liabilities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deferred revenue and contract liabilities represent services and products sold to customers 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balance sheets.</w:t>
      </w:r>
    </w:p>
    <w:p>
      <w:pPr>
        <w:spacing w:after="0" w:line="246"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following table provides information about deferred revenue and contract liabilities from contracts with customers:</w:t>
      </w:r>
    </w:p>
    <w:p>
      <w:pPr>
        <w:spacing w:after="0" w:line="14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jc w:val="right"/>
              <w:ind w:right="265"/>
              <w:spacing w:after="0"/>
              <w:rPr>
                <w:sz w:val="20"/>
                <w:szCs w:val="20"/>
                <w:color w:val="auto"/>
              </w:rPr>
            </w:pPr>
            <w:r>
              <w:rPr>
                <w:rFonts w:ascii="Arial" w:cs="Arial" w:eastAsia="Arial" w:hAnsi="Arial"/>
                <w:sz w:val="16"/>
                <w:szCs w:val="16"/>
                <w:b w:val="1"/>
                <w:bCs w:val="1"/>
                <w:color w:val="231F20"/>
              </w:rPr>
              <w:t>Amount</w:t>
            </w:r>
          </w:p>
        </w:tc>
      </w:tr>
      <w:tr>
        <w:trPr>
          <w:trHeight w:val="251"/>
        </w:trPr>
        <w:tc>
          <w:tcPr>
            <w:tcW w:w="4580" w:type="dxa"/>
            <w:vAlign w:val="bottom"/>
          </w:tcPr>
          <w:p>
            <w:pPr>
              <w:spacing w:after="0"/>
              <w:rPr>
                <w:sz w:val="20"/>
                <w:szCs w:val="20"/>
                <w:color w:val="auto"/>
              </w:rPr>
            </w:pPr>
            <w:r>
              <w:rPr>
                <w:rFonts w:ascii="Arial" w:cs="Arial" w:eastAsia="Arial" w:hAnsi="Arial"/>
                <w:sz w:val="19"/>
                <w:szCs w:val="19"/>
                <w:b w:val="1"/>
                <w:bCs w:val="1"/>
                <w:color w:val="231F20"/>
              </w:rPr>
              <w:t>Contract liabilities at December 31, 2023</w:t>
            </w:r>
          </w:p>
        </w:tc>
        <w:tc>
          <w:tcPr>
            <w:tcW w:w="76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1,919</w:t>
            </w:r>
          </w:p>
        </w:tc>
      </w:tr>
      <w:tr>
        <w:trPr>
          <w:trHeight w:val="238"/>
        </w:trPr>
        <w:tc>
          <w:tcPr>
            <w:tcW w:w="4580" w:type="dxa"/>
            <w:vAlign w:val="bottom"/>
          </w:tcPr>
          <w:p>
            <w:pPr>
              <w:spacing w:after="0"/>
              <w:rPr>
                <w:sz w:val="20"/>
                <w:szCs w:val="20"/>
                <w:color w:val="auto"/>
              </w:rPr>
            </w:pPr>
            <w:r>
              <w:rPr>
                <w:rFonts w:ascii="Arial" w:cs="Arial" w:eastAsia="Arial" w:hAnsi="Arial"/>
                <w:sz w:val="19"/>
                <w:szCs w:val="19"/>
                <w:b w:val="1"/>
                <w:bCs w:val="1"/>
                <w:color w:val="231F20"/>
              </w:rPr>
              <w:t>Billings not yet recognized as revenue</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2,055</w:t>
            </w:r>
          </w:p>
        </w:tc>
      </w:tr>
      <w:tr>
        <w:trPr>
          <w:trHeight w:val="235"/>
        </w:trPr>
        <w:tc>
          <w:tcPr>
            <w:tcW w:w="4580" w:type="dxa"/>
            <w:vAlign w:val="bottom"/>
          </w:tcPr>
          <w:p>
            <w:pPr>
              <w:spacing w:after="0"/>
              <w:rPr>
                <w:sz w:val="20"/>
                <w:szCs w:val="20"/>
                <w:color w:val="auto"/>
              </w:rPr>
            </w:pPr>
            <w:r>
              <w:rPr>
                <w:rFonts w:ascii="Arial" w:cs="Arial" w:eastAsia="Arial" w:hAnsi="Arial"/>
                <w:sz w:val="19"/>
                <w:szCs w:val="19"/>
                <w:b w:val="1"/>
                <w:bCs w:val="1"/>
                <w:color w:val="231F20"/>
                <w:w w:val="97"/>
              </w:rPr>
              <w:t>Beginning contract liabilities recognized as revenue</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(1,387)</w:t>
            </w:r>
          </w:p>
        </w:tc>
      </w:tr>
      <w:tr>
        <w:trPr>
          <w:trHeight w:val="276"/>
        </w:trPr>
        <w:tc>
          <w:tcPr>
            <w:tcW w:w="4580" w:type="dxa"/>
            <w:vAlign w:val="bottom"/>
          </w:tcPr>
          <w:p>
            <w:pPr>
              <w:spacing w:after="0" w:line="276" w:lineRule="exact"/>
              <w:rPr>
                <w:sz w:val="20"/>
                <w:szCs w:val="20"/>
                <w:color w:val="auto"/>
              </w:rPr>
            </w:pPr>
            <w:r>
              <w:rPr>
                <w:rFonts w:ascii="Arial" w:cs="Arial" w:eastAsia="Arial" w:hAnsi="Arial"/>
                <w:sz w:val="19"/>
                <w:szCs w:val="19"/>
                <w:b w:val="1"/>
                <w:bCs w:val="1"/>
                <w:color w:val="231F20"/>
              </w:rPr>
              <w:t>Impairment</w:t>
            </w:r>
            <w:r>
              <w:rPr>
                <w:rFonts w:ascii="Arial" w:cs="Arial" w:eastAsia="Arial" w:hAnsi="Arial"/>
                <w:sz w:val="25"/>
                <w:szCs w:val="25"/>
                <w:b w:val="1"/>
                <w:bCs w:val="1"/>
                <w:color w:val="231F20"/>
                <w:vertAlign w:val="superscript"/>
              </w:rPr>
              <w:t>1</w:t>
            </w: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(214)</w:t>
            </w:r>
          </w:p>
        </w:tc>
      </w:tr>
      <w:tr>
        <w:trPr>
          <w:trHeight w:val="213"/>
        </w:trPr>
        <w:tc>
          <w:tcPr>
            <w:tcW w:w="4580" w:type="dxa"/>
            <w:vAlign w:val="bottom"/>
          </w:tcPr>
          <w:p>
            <w:pPr>
              <w:spacing w:after="0" w:line="214" w:lineRule="exact"/>
              <w:rPr>
                <w:sz w:val="20"/>
                <w:szCs w:val="20"/>
                <w:color w:val="auto"/>
              </w:rPr>
            </w:pPr>
            <w:r>
              <w:rPr>
                <w:rFonts w:ascii="Arial" w:cs="Arial" w:eastAsia="Arial" w:hAnsi="Arial"/>
                <w:sz w:val="19"/>
                <w:szCs w:val="19"/>
                <w:b w:val="1"/>
                <w:bCs w:val="1"/>
                <w:color w:val="231F20"/>
              </w:rPr>
              <w:t>Contract liabilities at December 31, 2024</w:t>
            </w:r>
          </w:p>
        </w:tc>
        <w:tc>
          <w:tcPr>
            <w:tcW w:w="760" w:type="dxa"/>
            <w:vAlign w:val="bottom"/>
          </w:tcPr>
          <w:p>
            <w:pPr>
              <w:spacing w:after="0"/>
              <w:rPr>
                <w:sz w:val="18"/>
                <w:szCs w:val="18"/>
                <w:color w:val="auto"/>
              </w:rPr>
            </w:pPr>
          </w:p>
        </w:tc>
        <w:tc>
          <w:tcPr>
            <w:tcW w:w="10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2,373</w:t>
            </w:r>
          </w:p>
        </w:tc>
      </w:tr>
      <w:tr>
        <w:trPr>
          <w:trHeight w:val="235"/>
        </w:trPr>
        <w:tc>
          <w:tcPr>
            <w:tcW w:w="4580" w:type="dxa"/>
            <w:vAlign w:val="bottom"/>
          </w:tcPr>
          <w:p>
            <w:pPr>
              <w:spacing w:after="0"/>
              <w:rPr>
                <w:sz w:val="20"/>
                <w:szCs w:val="20"/>
                <w:color w:val="auto"/>
              </w:rPr>
            </w:pPr>
            <w:r>
              <w:rPr>
                <w:rFonts w:ascii="Arial" w:cs="Arial" w:eastAsia="Arial" w:hAnsi="Arial"/>
                <w:sz w:val="19"/>
                <w:szCs w:val="19"/>
                <w:b w:val="1"/>
                <w:bCs w:val="1"/>
                <w:color w:val="231F20"/>
              </w:rPr>
              <w:t>Billings not yet recognized as revenue</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3,112</w:t>
            </w:r>
          </w:p>
        </w:tc>
      </w:tr>
      <w:tr>
        <w:trPr>
          <w:trHeight w:val="238"/>
        </w:trPr>
        <w:tc>
          <w:tcPr>
            <w:tcW w:w="4580" w:type="dxa"/>
            <w:vAlign w:val="bottom"/>
          </w:tcPr>
          <w:p>
            <w:pPr>
              <w:spacing w:after="0"/>
              <w:rPr>
                <w:sz w:val="20"/>
                <w:szCs w:val="20"/>
                <w:color w:val="auto"/>
              </w:rPr>
            </w:pPr>
            <w:r>
              <w:rPr>
                <w:rFonts w:ascii="Arial" w:cs="Arial" w:eastAsia="Arial" w:hAnsi="Arial"/>
                <w:sz w:val="19"/>
                <w:szCs w:val="19"/>
                <w:b w:val="1"/>
                <w:bCs w:val="1"/>
                <w:color w:val="231F20"/>
                <w:w w:val="97"/>
              </w:rPr>
              <w:t>Beginning contract liabilities recognized as revenue</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(1,501)</w:t>
            </w:r>
          </w:p>
        </w:tc>
      </w:tr>
      <w:tr>
        <w:trPr>
          <w:trHeight w:val="250"/>
        </w:trPr>
        <w:tc>
          <w:tcPr>
            <w:tcW w:w="4580" w:type="dxa"/>
            <w:vAlign w:val="bottom"/>
          </w:tcPr>
          <w:p>
            <w:pPr>
              <w:spacing w:after="0"/>
              <w:rPr>
                <w:sz w:val="20"/>
                <w:szCs w:val="20"/>
                <w:color w:val="auto"/>
              </w:rPr>
            </w:pPr>
            <w:r>
              <w:rPr>
                <w:rFonts w:ascii="Arial" w:cs="Arial" w:eastAsia="Arial" w:hAnsi="Arial"/>
                <w:sz w:val="19"/>
                <w:szCs w:val="19"/>
                <w:b w:val="1"/>
                <w:bCs w:val="1"/>
                <w:color w:val="231F20"/>
              </w:rPr>
              <w:t>Contract liabilities at December 31, 2025</w:t>
            </w:r>
          </w:p>
        </w:tc>
        <w:tc>
          <w:tcPr>
            <w:tcW w:w="76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3,984</w:t>
            </w:r>
          </w:p>
        </w:tc>
      </w:tr>
    </w:tbl>
    <w:p>
      <w:pPr>
        <w:spacing w:after="0" w:line="171" w:lineRule="exact"/>
        <w:rPr>
          <w:sz w:val="20"/>
          <w:szCs w:val="20"/>
          <w:color w:val="auto"/>
        </w:rPr>
      </w:pPr>
    </w:p>
    <w:p>
      <w:pPr>
        <w:ind w:left="140" w:right="140" w:firstLine="2"/>
        <w:spacing w:after="0" w:line="222" w:lineRule="auto"/>
        <w:tabs>
          <w:tab w:leader="none" w:pos="274" w:val="left"/>
        </w:tabs>
        <w:numPr>
          <w:ilvl w:val="0"/>
          <w:numId w:val="63"/>
        </w:numPr>
        <w:rPr>
          <w:rFonts w:ascii="Arial" w:cs="Arial" w:eastAsia="Arial" w:hAnsi="Arial"/>
          <w:sz w:val="23"/>
          <w:szCs w:val="23"/>
          <w:b w:val="1"/>
          <w:bCs w:val="1"/>
          <w:color w:val="231F20"/>
          <w:vertAlign w:val="superscript"/>
        </w:rPr>
      </w:pPr>
      <w:r>
        <w:rPr>
          <w:rFonts w:ascii="Arial" w:cs="Arial" w:eastAsia="Arial" w:hAnsi="Arial"/>
          <w:sz w:val="18"/>
          <w:szCs w:val="18"/>
          <w:b w:val="1"/>
          <w:bCs w:val="1"/>
          <w:color w:val="231F20"/>
        </w:rPr>
        <w:t>The Company wrote off certain contract liabilities associated with intangible assets that were determined to be impaired during the year ended December 31, 2024. Refer to Note 8, Intangible Assets.</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Transaction Price Allocated to Future Performance Obligations</w:t>
      </w:r>
    </w:p>
    <w:p>
      <w:pPr>
        <w:spacing w:after="0" w:line="125" w:lineRule="exact"/>
        <w:rPr>
          <w:sz w:val="20"/>
          <w:szCs w:val="20"/>
          <w:color w:val="auto"/>
        </w:rPr>
      </w:pPr>
    </w:p>
    <w:p>
      <w:pPr>
        <w:jc w:val="both"/>
        <w:ind w:left="140" w:right="140"/>
        <w:spacing w:after="0" w:line="277" w:lineRule="auto"/>
        <w:rPr>
          <w:sz w:val="20"/>
          <w:szCs w:val="20"/>
          <w:color w:val="auto"/>
        </w:rPr>
      </w:pPr>
      <w:r>
        <w:rPr>
          <w:rFonts w:ascii="Arial" w:cs="Arial" w:eastAsia="Arial" w:hAnsi="Arial"/>
          <w:sz w:val="17"/>
          <w:szCs w:val="17"/>
          <w:b w:val="1"/>
          <w:bCs w:val="1"/>
          <w:color w:val="231F20"/>
        </w:rPr>
        <w:t>At December 31, 2025, the revenue expected to be recognized in future periods related to performance obligations that are unsatisfied for executed contracts with an original duration of one year or more was approximately $46,649. The Company expects to satisfy its remaining performance obligations over the next five years, with $15,676 to be satisfied in the next twelve months, $12,811 to be satisfied in the next two years, $9,765 to be satisfied in the next three years, $6,295 to be satisfied in the next four years, and $2,102 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F-19</w:t>
      </w:r>
    </w:p>
    <w:p>
      <w:pPr>
        <w:sectPr>
          <w:pgSz w:w="12240" w:h="15840" w:orient="portrait"/>
          <w:cols w:equalWidth="0" w:num="1">
            <w:col w:w="9360"/>
          </w:cols>
          <w:pgMar w:left="1440" w:top="1440" w:right="1440" w:bottom="390" w:gutter="0" w:footer="0" w:header="0"/>
          <w:type w:val="continuous"/>
        </w:sectPr>
      </w:pPr>
    </w:p>
    <w:bookmarkStart w:id="121" w:name="page122"/>
    <w:bookmarkEnd w:id="121"/>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Costs to Obtain Contracts</w:t>
      </w:r>
    </w:p>
    <w:p>
      <w:pPr>
        <w:spacing w:after="0" w:line="12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following table provides information about the costs to obtain contracts associated with contracts with customers for the years ended December 31, 2025 and 2024:</w:t>
      </w:r>
    </w:p>
    <w:p>
      <w:pPr>
        <w:spacing w:after="0" w:line="14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80" w:type="dxa"/>
            <w:vAlign w:val="bottom"/>
            <w:gridSpan w:val="3"/>
          </w:tcPr>
          <w:p>
            <w:pPr>
              <w:jc w:val="right"/>
              <w:ind w:right="127"/>
              <w:spacing w:after="0"/>
              <w:rPr>
                <w:sz w:val="20"/>
                <w:szCs w:val="20"/>
                <w:color w:val="auto"/>
              </w:rPr>
            </w:pPr>
            <w:r>
              <w:rPr>
                <w:rFonts w:ascii="Arial" w:cs="Arial" w:eastAsia="Arial" w:hAnsi="Arial"/>
                <w:sz w:val="16"/>
                <w:szCs w:val="16"/>
                <w:b w:val="1"/>
                <w:bCs w:val="1"/>
                <w:color w:val="231F20"/>
                <w:w w:val="88"/>
              </w:rPr>
              <w:t>Year Ended December 31,</w:t>
            </w:r>
          </w:p>
        </w:tc>
      </w:tr>
      <w:tr>
        <w:trPr>
          <w:trHeight w:val="206"/>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jc w:val="right"/>
              <w:ind w:right="349"/>
              <w:spacing w:after="0"/>
              <w:rPr>
                <w:sz w:val="20"/>
                <w:szCs w:val="20"/>
                <w:color w:val="auto"/>
              </w:rPr>
            </w:pPr>
            <w:r>
              <w:rPr>
                <w:rFonts w:ascii="Arial" w:cs="Arial" w:eastAsia="Arial" w:hAnsi="Arial"/>
                <w:sz w:val="16"/>
                <w:szCs w:val="16"/>
                <w:b w:val="1"/>
                <w:bCs w:val="1"/>
                <w:color w:val="231F20"/>
              </w:rPr>
              <w:t>2025</w:t>
            </w:r>
          </w:p>
        </w:tc>
        <w:tc>
          <w:tcPr>
            <w:tcW w:w="240" w:type="dxa"/>
            <w:vAlign w:val="bottom"/>
          </w:tcPr>
          <w:p>
            <w:pPr>
              <w:spacing w:after="0"/>
              <w:rPr>
                <w:sz w:val="17"/>
                <w:szCs w:val="17"/>
                <w:color w:val="auto"/>
              </w:rPr>
            </w:pPr>
          </w:p>
        </w:tc>
        <w:tc>
          <w:tcPr>
            <w:tcW w:w="800" w:type="dxa"/>
            <w:vAlign w:val="bottom"/>
          </w:tcPr>
          <w:p>
            <w:pPr>
              <w:jc w:val="right"/>
              <w:ind w:right="287"/>
              <w:spacing w:after="0"/>
              <w:rPr>
                <w:sz w:val="20"/>
                <w:szCs w:val="20"/>
                <w:color w:val="auto"/>
              </w:rPr>
            </w:pPr>
            <w:r>
              <w:rPr>
                <w:rFonts w:ascii="Arial" w:cs="Arial" w:eastAsia="Arial" w:hAnsi="Arial"/>
                <w:sz w:val="16"/>
                <w:szCs w:val="16"/>
                <w:b w:val="1"/>
                <w:bCs w:val="1"/>
                <w:color w:val="231F20"/>
              </w:rPr>
              <w:t>2024</w:t>
            </w:r>
          </w:p>
        </w:tc>
      </w:tr>
      <w:tr>
        <w:trPr>
          <w:trHeight w:val="253"/>
        </w:trPr>
        <w:tc>
          <w:tcPr>
            <w:tcW w:w="2840" w:type="dxa"/>
            <w:vAlign w:val="bottom"/>
          </w:tcPr>
          <w:p>
            <w:pPr>
              <w:spacing w:after="0"/>
              <w:rPr>
                <w:sz w:val="20"/>
                <w:szCs w:val="20"/>
                <w:color w:val="auto"/>
              </w:rPr>
            </w:pPr>
            <w:r>
              <w:rPr>
                <w:rFonts w:ascii="Arial" w:cs="Arial" w:eastAsia="Arial" w:hAnsi="Arial"/>
                <w:sz w:val="19"/>
                <w:szCs w:val="19"/>
                <w:b w:val="1"/>
                <w:bCs w:val="1"/>
                <w:color w:val="231F20"/>
              </w:rPr>
              <w:t>Beginning balance</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ind w:right="49"/>
              <w:spacing w:after="0"/>
              <w:rPr>
                <w:sz w:val="20"/>
                <w:szCs w:val="20"/>
                <w:color w:val="auto"/>
              </w:rPr>
            </w:pPr>
            <w:r>
              <w:rPr>
                <w:rFonts w:ascii="Arial" w:cs="Arial" w:eastAsia="Arial" w:hAnsi="Arial"/>
                <w:sz w:val="19"/>
                <w:szCs w:val="19"/>
                <w:b w:val="1"/>
                <w:bCs w:val="1"/>
                <w:color w:val="231F20"/>
              </w:rPr>
              <w:t>165</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35</w:t>
            </w:r>
          </w:p>
        </w:tc>
      </w:tr>
      <w:tr>
        <w:trPr>
          <w:trHeight w:val="235"/>
        </w:trPr>
        <w:tc>
          <w:tcPr>
            <w:tcW w:w="2840" w:type="dxa"/>
            <w:vAlign w:val="bottom"/>
          </w:tcPr>
          <w:p>
            <w:pPr>
              <w:ind w:left="100"/>
              <w:spacing w:after="0"/>
              <w:rPr>
                <w:sz w:val="20"/>
                <w:szCs w:val="20"/>
                <w:color w:val="auto"/>
              </w:rPr>
            </w:pPr>
            <w:r>
              <w:rPr>
                <w:rFonts w:ascii="Arial" w:cs="Arial" w:eastAsia="Arial" w:hAnsi="Arial"/>
                <w:sz w:val="19"/>
                <w:szCs w:val="19"/>
                <w:b w:val="1"/>
                <w:bCs w:val="1"/>
                <w:color w:val="231F20"/>
              </w:rPr>
              <w:t>Additions</w:t>
            </w:r>
          </w:p>
        </w:tc>
        <w:tc>
          <w:tcPr>
            <w:tcW w:w="1520" w:type="dxa"/>
            <w:vAlign w:val="bottom"/>
          </w:tcPr>
          <w:p>
            <w:pPr>
              <w:spacing w:after="0"/>
              <w:rPr>
                <w:sz w:val="20"/>
                <w:szCs w:val="20"/>
                <w:color w:val="auto"/>
              </w:rPr>
            </w:pPr>
          </w:p>
        </w:tc>
        <w:tc>
          <w:tcPr>
            <w:tcW w:w="940" w:type="dxa"/>
            <w:vAlign w:val="bottom"/>
          </w:tcPr>
          <w:p>
            <w:pPr>
              <w:jc w:val="right"/>
              <w:ind w:right="49"/>
              <w:spacing w:after="0"/>
              <w:rPr>
                <w:sz w:val="20"/>
                <w:szCs w:val="20"/>
                <w:color w:val="auto"/>
              </w:rPr>
            </w:pPr>
            <w:r>
              <w:rPr>
                <w:rFonts w:ascii="Arial" w:cs="Arial" w:eastAsia="Arial" w:hAnsi="Arial"/>
                <w:sz w:val="19"/>
                <w:szCs w:val="19"/>
                <w:b w:val="1"/>
                <w:bCs w:val="1"/>
                <w:color w:val="231F20"/>
              </w:rPr>
              <w:t>937</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701</w:t>
            </w:r>
          </w:p>
        </w:tc>
      </w:tr>
      <w:tr>
        <w:trPr>
          <w:trHeight w:val="238"/>
        </w:trPr>
        <w:tc>
          <w:tcPr>
            <w:tcW w:w="2840" w:type="dxa"/>
            <w:vAlign w:val="bottom"/>
          </w:tcPr>
          <w:p>
            <w:pPr>
              <w:ind w:left="100"/>
              <w:spacing w:after="0"/>
              <w:rPr>
                <w:sz w:val="20"/>
                <w:szCs w:val="20"/>
                <w:color w:val="auto"/>
              </w:rPr>
            </w:pPr>
            <w:r>
              <w:rPr>
                <w:rFonts w:ascii="Arial" w:cs="Arial" w:eastAsia="Arial" w:hAnsi="Arial"/>
                <w:sz w:val="19"/>
                <w:szCs w:val="19"/>
                <w:b w:val="1"/>
                <w:bCs w:val="1"/>
                <w:color w:val="231F20"/>
              </w:rPr>
              <w:t>Amortization</w:t>
            </w:r>
          </w:p>
        </w:tc>
        <w:tc>
          <w:tcPr>
            <w:tcW w:w="1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(857)</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(571)</w:t>
            </w:r>
          </w:p>
        </w:tc>
      </w:tr>
      <w:tr>
        <w:trPr>
          <w:trHeight w:val="252"/>
        </w:trPr>
        <w:tc>
          <w:tcPr>
            <w:tcW w:w="2840" w:type="dxa"/>
            <w:vAlign w:val="bottom"/>
          </w:tcPr>
          <w:p>
            <w:pPr>
              <w:spacing w:after="0"/>
              <w:rPr>
                <w:sz w:val="20"/>
                <w:szCs w:val="20"/>
                <w:color w:val="auto"/>
              </w:rPr>
            </w:pPr>
            <w:r>
              <w:rPr>
                <w:rFonts w:ascii="Arial" w:cs="Arial" w:eastAsia="Arial" w:hAnsi="Arial"/>
                <w:sz w:val="19"/>
                <w:szCs w:val="19"/>
                <w:b w:val="1"/>
                <w:bCs w:val="1"/>
                <w:color w:val="231F20"/>
              </w:rPr>
              <w:t>Ending balance</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ind w:right="49"/>
              <w:spacing w:after="0"/>
              <w:rPr>
                <w:sz w:val="20"/>
                <w:szCs w:val="20"/>
                <w:color w:val="auto"/>
              </w:rPr>
            </w:pPr>
            <w:r>
              <w:rPr>
                <w:rFonts w:ascii="Arial" w:cs="Arial" w:eastAsia="Arial" w:hAnsi="Arial"/>
                <w:sz w:val="19"/>
                <w:szCs w:val="19"/>
                <w:b w:val="1"/>
                <w:bCs w:val="1"/>
                <w:color w:val="231F20"/>
              </w:rPr>
              <w:t>245</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-762635</wp:posOffset>
            </wp:positionV>
            <wp:extent cx="5792470" cy="6868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2470" cy="686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4. Fair Value of Financial Instruments</w:t>
      </w:r>
    </w:p>
    <w:p>
      <w:pPr>
        <w:spacing w:after="0" w:line="12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9"/>
          <w:szCs w:val="19"/>
          <w:b w:val="1"/>
          <w:bCs w:val="1"/>
          <w:color w:val="231F20"/>
        </w:rPr>
        <w:t>The carrying value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cash, cash equivalents, accounts receivable, accounts payable, accrued liabilities, and other current liabilities approximate fair value based on the short-term maturities of these instruments. The carrying value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notes receivable also approximates fair value based on the associated credit risk.</w:t>
      </w:r>
    </w:p>
    <w:p>
      <w:pPr>
        <w:spacing w:after="0" w:line="243" w:lineRule="exact"/>
        <w:rPr>
          <w:sz w:val="20"/>
          <w:szCs w:val="20"/>
          <w:color w:val="auto"/>
        </w:rPr>
      </w:pPr>
    </w:p>
    <w:p>
      <w:pPr>
        <w:jc w:val="both"/>
        <w:ind w:left="140" w:right="140"/>
        <w:spacing w:after="0" w:line="279" w:lineRule="auto"/>
        <w:rPr>
          <w:sz w:val="20"/>
          <w:szCs w:val="20"/>
          <w:color w:val="auto"/>
        </w:rPr>
      </w:pPr>
      <w:r>
        <w:rPr>
          <w:rFonts w:ascii="Arial" w:cs="Arial" w:eastAsia="Arial" w:hAnsi="Arial"/>
          <w:sz w:val="17"/>
          <w:szCs w:val="17"/>
          <w:b w:val="1"/>
          <w:bCs w:val="1"/>
          <w:color w:val="231F20"/>
        </w:rPr>
        <w:t>The Company classifies money market funds, U.S. treasury bills and government securities,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10, Warrant Liabilities.</w:t>
      </w:r>
    </w:p>
    <w:p>
      <w:pPr>
        <w:spacing w:after="0" w:line="21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following table sets forth by level, within the fair value hierarchy, the Company's assets and liabilities at fair value as of December 31, 2025 and 2024:</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231F20"/>
              </w:rPr>
              <w:t>December 31, 2025</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3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jc w:val="right"/>
              <w:ind w:right="246"/>
              <w:spacing w:after="0"/>
              <w:rPr>
                <w:sz w:val="20"/>
                <w:szCs w:val="20"/>
                <w:color w:val="auto"/>
              </w:rPr>
            </w:pPr>
            <w:r>
              <w:rPr>
                <w:rFonts w:ascii="Arial" w:cs="Arial" w:eastAsia="Arial" w:hAnsi="Arial"/>
                <w:sz w:val="16"/>
                <w:szCs w:val="16"/>
                <w:b w:val="1"/>
                <w:bCs w:val="1"/>
                <w:color w:val="231F20"/>
                <w:w w:val="99"/>
              </w:rPr>
              <w:t>Level 1</w:t>
            </w:r>
          </w:p>
        </w:tc>
        <w:tc>
          <w:tcPr>
            <w:tcW w:w="260" w:type="dxa"/>
            <w:vAlign w:val="bottom"/>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b w:val="1"/>
                <w:bCs w:val="1"/>
                <w:color w:val="231F20"/>
              </w:rPr>
              <w:t>Level 2</w:t>
            </w:r>
          </w:p>
        </w:tc>
        <w:tc>
          <w:tcPr>
            <w:tcW w:w="880" w:type="dxa"/>
            <w:vAlign w:val="bottom"/>
          </w:tcPr>
          <w:p>
            <w:pPr>
              <w:jc w:val="right"/>
              <w:ind w:right="246"/>
              <w:spacing w:after="0"/>
              <w:rPr>
                <w:sz w:val="20"/>
                <w:szCs w:val="20"/>
                <w:color w:val="auto"/>
              </w:rPr>
            </w:pPr>
            <w:r>
              <w:rPr>
                <w:rFonts w:ascii="Arial" w:cs="Arial" w:eastAsia="Arial" w:hAnsi="Arial"/>
                <w:sz w:val="16"/>
                <w:szCs w:val="16"/>
                <w:b w:val="1"/>
                <w:bCs w:val="1"/>
                <w:color w:val="231F20"/>
                <w:w w:val="95"/>
              </w:rPr>
              <w:t>Level 3</w:t>
            </w:r>
          </w:p>
        </w:tc>
        <w:tc>
          <w:tcPr>
            <w:tcW w:w="300" w:type="dxa"/>
            <w:vAlign w:val="bottom"/>
          </w:tcPr>
          <w:p>
            <w:pPr>
              <w:spacing w:after="0"/>
              <w:rPr>
                <w:sz w:val="17"/>
                <w:szCs w:val="17"/>
                <w:color w:val="auto"/>
              </w:rPr>
            </w:pPr>
          </w:p>
        </w:tc>
        <w:tc>
          <w:tcPr>
            <w:tcW w:w="760" w:type="dxa"/>
            <w:vAlign w:val="bottom"/>
          </w:tcPr>
          <w:p>
            <w:pPr>
              <w:jc w:val="right"/>
              <w:ind w:right="206"/>
              <w:spacing w:after="0"/>
              <w:rPr>
                <w:sz w:val="20"/>
                <w:szCs w:val="20"/>
                <w:color w:val="auto"/>
              </w:rPr>
            </w:pPr>
            <w:r>
              <w:rPr>
                <w:rFonts w:ascii="Arial" w:cs="Arial" w:eastAsia="Arial" w:hAnsi="Arial"/>
                <w:sz w:val="16"/>
                <w:szCs w:val="16"/>
                <w:b w:val="1"/>
                <w:bCs w:val="1"/>
                <w:color w:val="231F20"/>
              </w:rPr>
              <w:t>Total</w:t>
            </w:r>
          </w:p>
        </w:tc>
      </w:tr>
      <w:tr>
        <w:trPr>
          <w:trHeight w:val="251"/>
        </w:trPr>
        <w:tc>
          <w:tcPr>
            <w:tcW w:w="3400" w:type="dxa"/>
            <w:vAlign w:val="bottom"/>
          </w:tcPr>
          <w:p>
            <w:pPr>
              <w:spacing w:after="0"/>
              <w:rPr>
                <w:sz w:val="20"/>
                <w:szCs w:val="20"/>
                <w:color w:val="auto"/>
              </w:rPr>
            </w:pPr>
            <w:r>
              <w:rPr>
                <w:rFonts w:ascii="Arial" w:cs="Arial" w:eastAsia="Arial" w:hAnsi="Arial"/>
                <w:sz w:val="19"/>
                <w:szCs w:val="19"/>
                <w:b w:val="1"/>
                <w:bCs w:val="1"/>
                <w:color w:val="231F20"/>
              </w:rPr>
              <w:t>Assets</w:t>
            </w: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Money market funds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7,850</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80" w:type="dxa"/>
            <w:vAlign w:val="bottom"/>
            <w:gridSpan w:val="2"/>
          </w:tcPr>
          <w:p>
            <w:pPr>
              <w:jc w:val="right"/>
              <w:ind w:right="3"/>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7,850</w:t>
            </w:r>
          </w:p>
        </w:tc>
      </w:tr>
      <w:tr>
        <w:trPr>
          <w:trHeight w:val="235"/>
        </w:trPr>
        <w:tc>
          <w:tcPr>
            <w:tcW w:w="3400" w:type="dxa"/>
            <w:vAlign w:val="bottom"/>
          </w:tcPr>
          <w:p>
            <w:pPr>
              <w:spacing w:after="0"/>
              <w:rPr>
                <w:sz w:val="20"/>
                <w:szCs w:val="20"/>
                <w:color w:val="auto"/>
              </w:rPr>
            </w:pPr>
            <w:r>
              <w:rPr>
                <w:rFonts w:ascii="Arial" w:cs="Arial" w:eastAsia="Arial" w:hAnsi="Arial"/>
                <w:sz w:val="19"/>
                <w:szCs w:val="19"/>
                <w:b w:val="1"/>
                <w:bCs w:val="1"/>
                <w:color w:val="231F20"/>
              </w:rPr>
              <w:t>U.S. government securities</w:t>
            </w:r>
          </w:p>
        </w:tc>
        <w:tc>
          <w:tcPr>
            <w:tcW w:w="1340" w:type="dxa"/>
            <w:vAlign w:val="bottom"/>
          </w:tcPr>
          <w:p>
            <w:pPr>
              <w:spacing w:after="0"/>
              <w:rPr>
                <w:sz w:val="20"/>
                <w:szCs w:val="20"/>
                <w:color w:val="auto"/>
              </w:rPr>
            </w:pP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5,004</w:t>
            </w:r>
          </w:p>
        </w:tc>
        <w:tc>
          <w:tcPr>
            <w:tcW w:w="260" w:type="dxa"/>
            <w:vAlign w:val="bottom"/>
          </w:tcPr>
          <w:p>
            <w:pPr>
              <w:spacing w:after="0"/>
              <w:rPr>
                <w:sz w:val="20"/>
                <w:szCs w:val="20"/>
                <w:color w:val="auto"/>
              </w:rPr>
            </w:pPr>
          </w:p>
        </w:tc>
        <w:tc>
          <w:tcPr>
            <w:tcW w:w="1160" w:type="dxa"/>
            <w:vAlign w:val="bottom"/>
          </w:tcPr>
          <w:p>
            <w:pPr>
              <w:ind w:left="600"/>
              <w:spacing w:after="0" w:line="228" w:lineRule="exact"/>
              <w:rPr>
                <w:sz w:val="20"/>
                <w:szCs w:val="20"/>
                <w:color w:val="auto"/>
              </w:rPr>
            </w:pPr>
            <w:r>
              <w:rPr>
                <w:rFonts w:ascii="PMingLiU" w:cs="PMingLiU" w:eastAsia="PMingLiU" w:hAnsi="PMingLiU"/>
                <w:sz w:val="19"/>
                <w:szCs w:val="19"/>
                <w:b w:val="1"/>
                <w:bCs w:val="1"/>
                <w:color w:val="231F20"/>
              </w:rPr>
              <w:t></w:t>
            </w:r>
          </w:p>
        </w:tc>
        <w:tc>
          <w:tcPr>
            <w:tcW w:w="880" w:type="dxa"/>
            <w:vAlign w:val="bottom"/>
          </w:tcPr>
          <w:p>
            <w:pPr>
              <w:jc w:val="right"/>
              <w:ind w:right="6"/>
              <w:spacing w:after="0" w:line="228"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5,004</w:t>
            </w:r>
          </w:p>
        </w:tc>
      </w:tr>
      <w:tr>
        <w:trPr>
          <w:trHeight w:val="252"/>
        </w:trPr>
        <w:tc>
          <w:tcPr>
            <w:tcW w:w="3400" w:type="dxa"/>
            <w:vAlign w:val="bottom"/>
          </w:tcPr>
          <w:p>
            <w:pPr>
              <w:spacing w:after="0"/>
              <w:rPr>
                <w:sz w:val="20"/>
                <w:szCs w:val="20"/>
                <w:color w:val="auto"/>
              </w:rPr>
            </w:pPr>
            <w:r>
              <w:rPr>
                <w:rFonts w:ascii="Arial" w:cs="Arial" w:eastAsia="Arial" w:hAnsi="Arial"/>
                <w:sz w:val="19"/>
                <w:szCs w:val="19"/>
                <w:b w:val="1"/>
                <w:bCs w:val="1"/>
                <w:color w:val="231F20"/>
              </w:rPr>
              <w:t>Total assets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12,854</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80" w:type="dxa"/>
            <w:vAlign w:val="bottom"/>
            <w:gridSpan w:val="2"/>
          </w:tcPr>
          <w:p>
            <w:pPr>
              <w:jc w:val="right"/>
              <w:ind w:right="3"/>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12,854</w:t>
            </w:r>
          </w:p>
        </w:tc>
      </w:tr>
      <w:tr>
        <w:trPr>
          <w:trHeight w:val="516"/>
        </w:trPr>
        <w:tc>
          <w:tcPr>
            <w:tcW w:w="3400" w:type="dxa"/>
            <w:vAlign w:val="bottom"/>
          </w:tcPr>
          <w:p>
            <w:pPr>
              <w:spacing w:after="0"/>
              <w:rPr>
                <w:sz w:val="20"/>
                <w:szCs w:val="20"/>
                <w:color w:val="auto"/>
              </w:rPr>
            </w:pPr>
            <w:r>
              <w:rPr>
                <w:rFonts w:ascii="Arial" w:cs="Arial" w:eastAsia="Arial" w:hAnsi="Arial"/>
                <w:sz w:val="19"/>
                <w:szCs w:val="19"/>
                <w:b w:val="1"/>
                <w:bCs w:val="1"/>
                <w:color w:val="231F20"/>
              </w:rPr>
              <w:t>Liabilities</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Warrant derivative liabilities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80" w:type="dxa"/>
            <w:vAlign w:val="bottom"/>
          </w:tcPr>
          <w:p>
            <w:pPr>
              <w:jc w:val="right"/>
              <w:ind w:right="6"/>
              <w:spacing w:after="0"/>
              <w:rPr>
                <w:sz w:val="20"/>
                <w:szCs w:val="20"/>
                <w:color w:val="auto"/>
              </w:rPr>
            </w:pPr>
            <w:r>
              <w:rPr>
                <w:rFonts w:ascii="Arial" w:cs="Arial" w:eastAsia="Arial" w:hAnsi="Arial"/>
                <w:sz w:val="19"/>
                <w:szCs w:val="19"/>
                <w:b w:val="1"/>
                <w:bCs w:val="1"/>
                <w:color w:val="231F20"/>
              </w:rPr>
              <w:t>40,194</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40,194</w:t>
            </w:r>
          </w:p>
        </w:tc>
      </w:tr>
      <w:tr>
        <w:trPr>
          <w:trHeight w:val="252"/>
        </w:trPr>
        <w:tc>
          <w:tcPr>
            <w:tcW w:w="3400" w:type="dxa"/>
            <w:vAlign w:val="bottom"/>
          </w:tcPr>
          <w:p>
            <w:pPr>
              <w:spacing w:after="0"/>
              <w:rPr>
                <w:sz w:val="20"/>
                <w:szCs w:val="20"/>
                <w:color w:val="auto"/>
              </w:rPr>
            </w:pPr>
            <w:r>
              <w:rPr>
                <w:rFonts w:ascii="Arial" w:cs="Arial" w:eastAsia="Arial" w:hAnsi="Arial"/>
                <w:sz w:val="19"/>
                <w:szCs w:val="19"/>
                <w:b w:val="1"/>
                <w:bCs w:val="1"/>
                <w:color w:val="231F20"/>
              </w:rPr>
              <w:t>Total liabilities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80" w:type="dxa"/>
            <w:vAlign w:val="bottom"/>
          </w:tcPr>
          <w:p>
            <w:pPr>
              <w:jc w:val="right"/>
              <w:ind w:right="6"/>
              <w:spacing w:after="0"/>
              <w:rPr>
                <w:sz w:val="20"/>
                <w:szCs w:val="20"/>
                <w:color w:val="auto"/>
              </w:rPr>
            </w:pPr>
            <w:r>
              <w:rPr>
                <w:rFonts w:ascii="Arial" w:cs="Arial" w:eastAsia="Arial" w:hAnsi="Arial"/>
                <w:sz w:val="19"/>
                <w:szCs w:val="19"/>
                <w:b w:val="1"/>
                <w:bCs w:val="1"/>
                <w:color w:val="231F20"/>
              </w:rPr>
              <w:t>40,194</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40,194</w:t>
            </w:r>
          </w:p>
        </w:tc>
      </w:tr>
      <w:tr>
        <w:trPr>
          <w:trHeight w:val="472"/>
        </w:trPr>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231F20"/>
              </w:rPr>
              <w:t>December 31, 2024</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3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jc w:val="right"/>
              <w:ind w:right="246"/>
              <w:spacing w:after="0"/>
              <w:rPr>
                <w:sz w:val="20"/>
                <w:szCs w:val="20"/>
                <w:color w:val="auto"/>
              </w:rPr>
            </w:pPr>
            <w:r>
              <w:rPr>
                <w:rFonts w:ascii="Arial" w:cs="Arial" w:eastAsia="Arial" w:hAnsi="Arial"/>
                <w:sz w:val="16"/>
                <w:szCs w:val="16"/>
                <w:b w:val="1"/>
                <w:bCs w:val="1"/>
                <w:color w:val="231F20"/>
                <w:w w:val="99"/>
              </w:rPr>
              <w:t>Level 1</w:t>
            </w:r>
          </w:p>
        </w:tc>
        <w:tc>
          <w:tcPr>
            <w:tcW w:w="260" w:type="dxa"/>
            <w:vAlign w:val="bottom"/>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b w:val="1"/>
                <w:bCs w:val="1"/>
                <w:color w:val="231F20"/>
              </w:rPr>
              <w:t>Level 2</w:t>
            </w:r>
          </w:p>
        </w:tc>
        <w:tc>
          <w:tcPr>
            <w:tcW w:w="880" w:type="dxa"/>
            <w:vAlign w:val="bottom"/>
          </w:tcPr>
          <w:p>
            <w:pPr>
              <w:jc w:val="right"/>
              <w:ind w:right="246"/>
              <w:spacing w:after="0"/>
              <w:rPr>
                <w:sz w:val="20"/>
                <w:szCs w:val="20"/>
                <w:color w:val="auto"/>
              </w:rPr>
            </w:pPr>
            <w:r>
              <w:rPr>
                <w:rFonts w:ascii="Arial" w:cs="Arial" w:eastAsia="Arial" w:hAnsi="Arial"/>
                <w:sz w:val="16"/>
                <w:szCs w:val="16"/>
                <w:b w:val="1"/>
                <w:bCs w:val="1"/>
                <w:color w:val="231F20"/>
                <w:w w:val="95"/>
              </w:rPr>
              <w:t>Level 3</w:t>
            </w:r>
          </w:p>
        </w:tc>
        <w:tc>
          <w:tcPr>
            <w:tcW w:w="300" w:type="dxa"/>
            <w:vAlign w:val="bottom"/>
          </w:tcPr>
          <w:p>
            <w:pPr>
              <w:spacing w:after="0"/>
              <w:rPr>
                <w:sz w:val="17"/>
                <w:szCs w:val="17"/>
                <w:color w:val="auto"/>
              </w:rPr>
            </w:pPr>
          </w:p>
        </w:tc>
        <w:tc>
          <w:tcPr>
            <w:tcW w:w="760" w:type="dxa"/>
            <w:vAlign w:val="bottom"/>
          </w:tcPr>
          <w:p>
            <w:pPr>
              <w:jc w:val="right"/>
              <w:ind w:right="206"/>
              <w:spacing w:after="0"/>
              <w:rPr>
                <w:sz w:val="20"/>
                <w:szCs w:val="20"/>
                <w:color w:val="auto"/>
              </w:rPr>
            </w:pPr>
            <w:r>
              <w:rPr>
                <w:rFonts w:ascii="Arial" w:cs="Arial" w:eastAsia="Arial" w:hAnsi="Arial"/>
                <w:sz w:val="16"/>
                <w:szCs w:val="16"/>
                <w:b w:val="1"/>
                <w:bCs w:val="1"/>
                <w:color w:val="231F20"/>
              </w:rPr>
              <w:t>Total</w:t>
            </w:r>
          </w:p>
        </w:tc>
      </w:tr>
      <w:tr>
        <w:trPr>
          <w:trHeight w:val="251"/>
        </w:trPr>
        <w:tc>
          <w:tcPr>
            <w:tcW w:w="3400" w:type="dxa"/>
            <w:vAlign w:val="bottom"/>
          </w:tcPr>
          <w:p>
            <w:pPr>
              <w:spacing w:after="0"/>
              <w:rPr>
                <w:sz w:val="20"/>
                <w:szCs w:val="20"/>
                <w:color w:val="auto"/>
              </w:rPr>
            </w:pPr>
            <w:r>
              <w:rPr>
                <w:rFonts w:ascii="Arial" w:cs="Arial" w:eastAsia="Arial" w:hAnsi="Arial"/>
                <w:sz w:val="19"/>
                <w:szCs w:val="19"/>
                <w:b w:val="1"/>
                <w:bCs w:val="1"/>
                <w:color w:val="231F20"/>
              </w:rPr>
              <w:t>Assets</w:t>
            </w: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Money market funds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6,631</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80" w:type="dxa"/>
            <w:vAlign w:val="bottom"/>
            <w:gridSpan w:val="2"/>
          </w:tcPr>
          <w:p>
            <w:pPr>
              <w:jc w:val="right"/>
              <w:ind w:right="3"/>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6,631</w:t>
            </w: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U.S. treasury bills</w:t>
            </w:r>
          </w:p>
        </w:tc>
        <w:tc>
          <w:tcPr>
            <w:tcW w:w="1340" w:type="dxa"/>
            <w:vAlign w:val="bottom"/>
          </w:tcPr>
          <w:p>
            <w:pPr>
              <w:spacing w:after="0"/>
              <w:rPr>
                <w:sz w:val="20"/>
                <w:szCs w:val="20"/>
                <w:color w:val="auto"/>
              </w:rPr>
            </w:pP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3,451</w:t>
            </w:r>
          </w:p>
        </w:tc>
        <w:tc>
          <w:tcPr>
            <w:tcW w:w="260" w:type="dxa"/>
            <w:vAlign w:val="bottom"/>
          </w:tcPr>
          <w:p>
            <w:pPr>
              <w:spacing w:after="0"/>
              <w:rPr>
                <w:sz w:val="20"/>
                <w:szCs w:val="20"/>
                <w:color w:val="auto"/>
              </w:rPr>
            </w:pPr>
          </w:p>
        </w:tc>
        <w:tc>
          <w:tcPr>
            <w:tcW w:w="1160" w:type="dxa"/>
            <w:vAlign w:val="bottom"/>
          </w:tcPr>
          <w:p>
            <w:pPr>
              <w:ind w:left="600"/>
              <w:spacing w:after="0" w:line="228" w:lineRule="exact"/>
              <w:rPr>
                <w:sz w:val="20"/>
                <w:szCs w:val="20"/>
                <w:color w:val="auto"/>
              </w:rPr>
            </w:pPr>
            <w:r>
              <w:rPr>
                <w:rFonts w:ascii="PMingLiU" w:cs="PMingLiU" w:eastAsia="PMingLiU" w:hAnsi="PMingLiU"/>
                <w:sz w:val="19"/>
                <w:szCs w:val="19"/>
                <w:b w:val="1"/>
                <w:bCs w:val="1"/>
                <w:color w:val="231F20"/>
              </w:rPr>
              <w:t></w:t>
            </w:r>
          </w:p>
        </w:tc>
        <w:tc>
          <w:tcPr>
            <w:tcW w:w="880" w:type="dxa"/>
            <w:vAlign w:val="bottom"/>
          </w:tcPr>
          <w:p>
            <w:pPr>
              <w:jc w:val="right"/>
              <w:ind w:right="6"/>
              <w:spacing w:after="0" w:line="228"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3,451</w:t>
            </w:r>
          </w:p>
        </w:tc>
      </w:tr>
      <w:tr>
        <w:trPr>
          <w:trHeight w:val="235"/>
        </w:trPr>
        <w:tc>
          <w:tcPr>
            <w:tcW w:w="3400" w:type="dxa"/>
            <w:vAlign w:val="bottom"/>
          </w:tcPr>
          <w:p>
            <w:pPr>
              <w:spacing w:after="0"/>
              <w:rPr>
                <w:sz w:val="20"/>
                <w:szCs w:val="20"/>
                <w:color w:val="auto"/>
              </w:rPr>
            </w:pPr>
            <w:r>
              <w:rPr>
                <w:rFonts w:ascii="Arial" w:cs="Arial" w:eastAsia="Arial" w:hAnsi="Arial"/>
                <w:sz w:val="19"/>
                <w:szCs w:val="19"/>
                <w:b w:val="1"/>
                <w:bCs w:val="1"/>
                <w:color w:val="231F20"/>
              </w:rPr>
              <w:t>Certificates of deposit</w:t>
            </w:r>
          </w:p>
        </w:tc>
        <w:tc>
          <w:tcPr>
            <w:tcW w:w="1340" w:type="dxa"/>
            <w:vAlign w:val="bottom"/>
          </w:tcPr>
          <w:p>
            <w:pPr>
              <w:spacing w:after="0"/>
              <w:rPr>
                <w:sz w:val="20"/>
                <w:szCs w:val="20"/>
                <w:color w:val="auto"/>
              </w:rPr>
            </w:pP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247</w:t>
            </w:r>
          </w:p>
        </w:tc>
        <w:tc>
          <w:tcPr>
            <w:tcW w:w="260" w:type="dxa"/>
            <w:vAlign w:val="bottom"/>
          </w:tcPr>
          <w:p>
            <w:pPr>
              <w:spacing w:after="0"/>
              <w:rPr>
                <w:sz w:val="20"/>
                <w:szCs w:val="20"/>
                <w:color w:val="auto"/>
              </w:rPr>
            </w:pPr>
          </w:p>
        </w:tc>
        <w:tc>
          <w:tcPr>
            <w:tcW w:w="1160" w:type="dxa"/>
            <w:vAlign w:val="bottom"/>
          </w:tcPr>
          <w:p>
            <w:pPr>
              <w:ind w:left="600"/>
              <w:spacing w:after="0" w:line="228" w:lineRule="exact"/>
              <w:rPr>
                <w:sz w:val="20"/>
                <w:szCs w:val="20"/>
                <w:color w:val="auto"/>
              </w:rPr>
            </w:pPr>
            <w:r>
              <w:rPr>
                <w:rFonts w:ascii="PMingLiU" w:cs="PMingLiU" w:eastAsia="PMingLiU" w:hAnsi="PMingLiU"/>
                <w:sz w:val="19"/>
                <w:szCs w:val="19"/>
                <w:b w:val="1"/>
                <w:bCs w:val="1"/>
                <w:color w:val="231F20"/>
              </w:rPr>
              <w:t></w:t>
            </w:r>
          </w:p>
        </w:tc>
        <w:tc>
          <w:tcPr>
            <w:tcW w:w="880" w:type="dxa"/>
            <w:vAlign w:val="bottom"/>
          </w:tcPr>
          <w:p>
            <w:pPr>
              <w:jc w:val="right"/>
              <w:ind w:right="6"/>
              <w:spacing w:after="0" w:line="228"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247</w:t>
            </w: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U.S. government securities</w:t>
            </w:r>
          </w:p>
        </w:tc>
        <w:tc>
          <w:tcPr>
            <w:tcW w:w="1340" w:type="dxa"/>
            <w:vAlign w:val="bottom"/>
          </w:tcPr>
          <w:p>
            <w:pPr>
              <w:spacing w:after="0"/>
              <w:rPr>
                <w:sz w:val="20"/>
                <w:szCs w:val="20"/>
                <w:color w:val="auto"/>
              </w:rPr>
            </w:pP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2,494</w:t>
            </w:r>
          </w:p>
        </w:tc>
        <w:tc>
          <w:tcPr>
            <w:tcW w:w="260" w:type="dxa"/>
            <w:vAlign w:val="bottom"/>
          </w:tcPr>
          <w:p>
            <w:pPr>
              <w:spacing w:after="0"/>
              <w:rPr>
                <w:sz w:val="20"/>
                <w:szCs w:val="20"/>
                <w:color w:val="auto"/>
              </w:rPr>
            </w:pPr>
          </w:p>
        </w:tc>
        <w:tc>
          <w:tcPr>
            <w:tcW w:w="1160" w:type="dxa"/>
            <w:vAlign w:val="bottom"/>
          </w:tcPr>
          <w:p>
            <w:pPr>
              <w:ind w:left="600"/>
              <w:spacing w:after="0" w:line="228" w:lineRule="exact"/>
              <w:rPr>
                <w:sz w:val="20"/>
                <w:szCs w:val="20"/>
                <w:color w:val="auto"/>
              </w:rPr>
            </w:pPr>
            <w:r>
              <w:rPr>
                <w:rFonts w:ascii="PMingLiU" w:cs="PMingLiU" w:eastAsia="PMingLiU" w:hAnsi="PMingLiU"/>
                <w:sz w:val="19"/>
                <w:szCs w:val="19"/>
                <w:b w:val="1"/>
                <w:bCs w:val="1"/>
                <w:color w:val="231F20"/>
              </w:rPr>
              <w:t></w:t>
            </w:r>
          </w:p>
        </w:tc>
        <w:tc>
          <w:tcPr>
            <w:tcW w:w="880" w:type="dxa"/>
            <w:vAlign w:val="bottom"/>
          </w:tcPr>
          <w:p>
            <w:pPr>
              <w:jc w:val="right"/>
              <w:ind w:right="6"/>
              <w:spacing w:after="0" w:line="228"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2,494</w:t>
            </w:r>
          </w:p>
        </w:tc>
      </w:tr>
      <w:tr>
        <w:trPr>
          <w:trHeight w:val="250"/>
        </w:trPr>
        <w:tc>
          <w:tcPr>
            <w:tcW w:w="3400" w:type="dxa"/>
            <w:vAlign w:val="bottom"/>
          </w:tcPr>
          <w:p>
            <w:pPr>
              <w:spacing w:after="0"/>
              <w:rPr>
                <w:sz w:val="20"/>
                <w:szCs w:val="20"/>
                <w:color w:val="auto"/>
              </w:rPr>
            </w:pPr>
            <w:r>
              <w:rPr>
                <w:rFonts w:ascii="Arial" w:cs="Arial" w:eastAsia="Arial" w:hAnsi="Arial"/>
                <w:sz w:val="19"/>
                <w:szCs w:val="19"/>
                <w:b w:val="1"/>
                <w:bCs w:val="1"/>
                <w:color w:val="231F20"/>
              </w:rPr>
              <w:t>Total assets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6"/>
              <w:spacing w:after="0"/>
              <w:rPr>
                <w:sz w:val="20"/>
                <w:szCs w:val="20"/>
                <w:color w:val="auto"/>
              </w:rPr>
            </w:pPr>
            <w:r>
              <w:rPr>
                <w:rFonts w:ascii="Arial" w:cs="Arial" w:eastAsia="Arial" w:hAnsi="Arial"/>
                <w:sz w:val="19"/>
                <w:szCs w:val="19"/>
                <w:b w:val="1"/>
                <w:bCs w:val="1"/>
                <w:color w:val="231F20"/>
              </w:rPr>
              <w:t>12,823</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80" w:type="dxa"/>
            <w:vAlign w:val="bottom"/>
            <w:gridSpan w:val="2"/>
          </w:tcPr>
          <w:p>
            <w:pPr>
              <w:jc w:val="right"/>
              <w:ind w:right="3"/>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12,823</w:t>
            </w:r>
          </w:p>
        </w:tc>
      </w:tr>
      <w:tr>
        <w:trPr>
          <w:trHeight w:val="518"/>
        </w:trPr>
        <w:tc>
          <w:tcPr>
            <w:tcW w:w="3400" w:type="dxa"/>
            <w:vAlign w:val="bottom"/>
          </w:tcPr>
          <w:p>
            <w:pPr>
              <w:spacing w:after="0"/>
              <w:rPr>
                <w:sz w:val="20"/>
                <w:szCs w:val="20"/>
                <w:color w:val="auto"/>
              </w:rPr>
            </w:pPr>
            <w:r>
              <w:rPr>
                <w:rFonts w:ascii="Arial" w:cs="Arial" w:eastAsia="Arial" w:hAnsi="Arial"/>
                <w:sz w:val="19"/>
                <w:szCs w:val="19"/>
                <w:b w:val="1"/>
                <w:bCs w:val="1"/>
                <w:color w:val="231F20"/>
              </w:rPr>
              <w:t>Liabilities</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Warrant derivative liabilities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80" w:type="dxa"/>
            <w:vAlign w:val="bottom"/>
          </w:tcPr>
          <w:p>
            <w:pPr>
              <w:jc w:val="right"/>
              <w:ind w:right="6"/>
              <w:spacing w:after="0"/>
              <w:rPr>
                <w:sz w:val="20"/>
                <w:szCs w:val="20"/>
                <w:color w:val="auto"/>
              </w:rPr>
            </w:pPr>
            <w:r>
              <w:rPr>
                <w:rFonts w:ascii="Arial" w:cs="Arial" w:eastAsia="Arial" w:hAnsi="Arial"/>
                <w:sz w:val="19"/>
                <w:szCs w:val="19"/>
                <w:b w:val="1"/>
                <w:bCs w:val="1"/>
                <w:color w:val="231F20"/>
              </w:rPr>
              <w:t>29,856</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29,856</w:t>
            </w:r>
          </w:p>
        </w:tc>
      </w:tr>
      <w:tr>
        <w:trPr>
          <w:trHeight w:val="250"/>
        </w:trPr>
        <w:tc>
          <w:tcPr>
            <w:tcW w:w="3400" w:type="dxa"/>
            <w:vAlign w:val="bottom"/>
          </w:tcPr>
          <w:p>
            <w:pPr>
              <w:spacing w:after="0"/>
              <w:rPr>
                <w:sz w:val="20"/>
                <w:szCs w:val="20"/>
                <w:color w:val="auto"/>
              </w:rPr>
            </w:pPr>
            <w:r>
              <w:rPr>
                <w:rFonts w:ascii="Arial" w:cs="Arial" w:eastAsia="Arial" w:hAnsi="Arial"/>
                <w:sz w:val="19"/>
                <w:szCs w:val="19"/>
                <w:b w:val="1"/>
                <w:bCs w:val="1"/>
                <w:color w:val="231F20"/>
              </w:rPr>
              <w:t>Total liabilities</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60" w:type="dxa"/>
            <w:vAlign w:val="bottom"/>
          </w:tcPr>
          <w:p>
            <w:pPr>
              <w:ind w:left="60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80" w:type="dxa"/>
            <w:vAlign w:val="bottom"/>
          </w:tcPr>
          <w:p>
            <w:pPr>
              <w:jc w:val="right"/>
              <w:ind w:right="6"/>
              <w:spacing w:after="0"/>
              <w:rPr>
                <w:sz w:val="20"/>
                <w:szCs w:val="20"/>
                <w:color w:val="auto"/>
              </w:rPr>
            </w:pPr>
            <w:r>
              <w:rPr>
                <w:rFonts w:ascii="Arial" w:cs="Arial" w:eastAsia="Arial" w:hAnsi="Arial"/>
                <w:sz w:val="19"/>
                <w:szCs w:val="19"/>
                <w:b w:val="1"/>
                <w:bCs w:val="1"/>
                <w:color w:val="231F20"/>
              </w:rPr>
              <w:t>29,856</w:t>
            </w:r>
          </w:p>
        </w:tc>
        <w:tc>
          <w:tcPr>
            <w:tcW w:w="30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231F20"/>
              </w:rPr>
              <w:t>29,856</w:t>
            </w:r>
          </w:p>
        </w:tc>
      </w:tr>
    </w:tbl>
    <w:p>
      <w:pPr>
        <w:spacing w:after="0" w:line="28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There were no transfers between fair value hierarchy levels during the years ended December 31, 2025 and 2024.</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F-20</w:t>
      </w:r>
    </w:p>
    <w:p>
      <w:pPr>
        <w:sectPr>
          <w:pgSz w:w="12240" w:h="15840" w:orient="portrait"/>
          <w:cols w:equalWidth="0" w:num="1">
            <w:col w:w="9360"/>
          </w:cols>
          <w:pgMar w:left="1440" w:top="1440" w:right="1440" w:bottom="390" w:gutter="0" w:footer="0" w:header="0"/>
          <w:type w:val="continuous"/>
        </w:sectPr>
      </w:pPr>
    </w:p>
    <w:bookmarkStart w:id="122" w:name="page123"/>
    <w:bookmarkEnd w:id="122"/>
    <w:p>
      <w:pPr>
        <w:spacing w:after="0" w:line="338" w:lineRule="exact"/>
        <w:rPr>
          <w:sz w:val="20"/>
          <w:szCs w:val="20"/>
          <w:color w:val="auto"/>
        </w:rPr>
      </w:pPr>
    </w:p>
    <w:p>
      <w:pPr>
        <w:ind w:left="140"/>
        <w:spacing w:after="0" w:line="219" w:lineRule="exact"/>
        <w:rPr>
          <w:sz w:val="20"/>
          <w:szCs w:val="20"/>
          <w:color w:val="auto"/>
        </w:rPr>
      </w:pPr>
      <w:r>
        <w:rPr>
          <w:rFonts w:ascii="Arial" w:cs="Arial" w:eastAsia="Arial" w:hAnsi="Arial"/>
          <w:sz w:val="18"/>
          <w:szCs w:val="18"/>
          <w:b w:val="1"/>
          <w:bCs w:val="1"/>
          <w:color w:val="231F20"/>
        </w:rPr>
        <w:t>The fair value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financial assets that are measured at fair value on a recurring basis as of</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December 31, 2025 and 2024 are as follows:</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ind w:left="320"/>
              <w:spacing w:after="0"/>
              <w:rPr>
                <w:sz w:val="20"/>
                <w:szCs w:val="20"/>
                <w:color w:val="auto"/>
              </w:rPr>
            </w:pPr>
            <w:r>
              <w:rPr>
                <w:rFonts w:ascii="Arial" w:cs="Arial" w:eastAsia="Arial" w:hAnsi="Arial"/>
                <w:sz w:val="16"/>
                <w:szCs w:val="16"/>
                <w:b w:val="1"/>
                <w:bCs w:val="1"/>
                <w:color w:val="231F20"/>
              </w:rPr>
              <w:t>December 31, 2025</w:t>
            </w:r>
          </w:p>
        </w:tc>
        <w:tc>
          <w:tcPr>
            <w:tcW w:w="840" w:type="dxa"/>
            <w:vAlign w:val="bottom"/>
          </w:tcPr>
          <w:p>
            <w:pPr>
              <w:spacing w:after="0"/>
              <w:rPr>
                <w:sz w:val="16"/>
                <w:szCs w:val="16"/>
                <w:color w:val="auto"/>
              </w:rPr>
            </w:pPr>
          </w:p>
        </w:tc>
      </w:tr>
      <w:tr>
        <w:trPr>
          <w:trHeight w:val="206"/>
        </w:trPr>
        <w:tc>
          <w:tcPr>
            <w:tcW w:w="3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jc w:val="center"/>
              <w:ind w:right="109"/>
              <w:spacing w:after="0"/>
              <w:rPr>
                <w:sz w:val="20"/>
                <w:szCs w:val="20"/>
                <w:color w:val="auto"/>
              </w:rPr>
            </w:pPr>
            <w:r>
              <w:rPr>
                <w:rFonts w:ascii="Arial" w:cs="Arial" w:eastAsia="Arial" w:hAnsi="Arial"/>
                <w:sz w:val="16"/>
                <w:szCs w:val="16"/>
                <w:b w:val="1"/>
                <w:bCs w:val="1"/>
                <w:color w:val="231F20"/>
                <w:w w:val="91"/>
              </w:rPr>
              <w:t>Amortized</w:t>
            </w:r>
          </w:p>
        </w:tc>
        <w:tc>
          <w:tcPr>
            <w:tcW w:w="200" w:type="dxa"/>
            <w:vAlign w:val="bottom"/>
          </w:tcPr>
          <w:p>
            <w:pPr>
              <w:spacing w:after="0"/>
              <w:rPr>
                <w:sz w:val="17"/>
                <w:szCs w:val="17"/>
                <w:color w:val="auto"/>
              </w:rPr>
            </w:pPr>
          </w:p>
        </w:tc>
        <w:tc>
          <w:tcPr>
            <w:tcW w:w="960" w:type="dxa"/>
            <w:vAlign w:val="bottom"/>
          </w:tcPr>
          <w:p>
            <w:pPr>
              <w:jc w:val="center"/>
              <w:ind w:right="111"/>
              <w:spacing w:after="0"/>
              <w:rPr>
                <w:sz w:val="20"/>
                <w:szCs w:val="20"/>
                <w:color w:val="auto"/>
              </w:rPr>
            </w:pPr>
            <w:r>
              <w:rPr>
                <w:rFonts w:ascii="Arial" w:cs="Arial" w:eastAsia="Arial" w:hAnsi="Arial"/>
                <w:sz w:val="16"/>
                <w:szCs w:val="16"/>
                <w:b w:val="1"/>
                <w:bCs w:val="1"/>
                <w:color w:val="231F20"/>
                <w:w w:val="88"/>
              </w:rPr>
              <w:t>Unrealized</w:t>
            </w:r>
          </w:p>
        </w:tc>
        <w:tc>
          <w:tcPr>
            <w:tcW w:w="200" w:type="dxa"/>
            <w:vAlign w:val="bottom"/>
          </w:tcPr>
          <w:p>
            <w:pPr>
              <w:spacing w:after="0"/>
              <w:rPr>
                <w:sz w:val="17"/>
                <w:szCs w:val="17"/>
                <w:color w:val="auto"/>
              </w:rPr>
            </w:pPr>
          </w:p>
        </w:tc>
        <w:tc>
          <w:tcPr>
            <w:tcW w:w="1160" w:type="dxa"/>
            <w:vAlign w:val="bottom"/>
          </w:tcPr>
          <w:p>
            <w:pPr>
              <w:jc w:val="center"/>
              <w:ind w:right="329"/>
              <w:spacing w:after="0"/>
              <w:rPr>
                <w:sz w:val="20"/>
                <w:szCs w:val="20"/>
                <w:color w:val="auto"/>
              </w:rPr>
            </w:pPr>
            <w:r>
              <w:rPr>
                <w:rFonts w:ascii="Arial" w:cs="Arial" w:eastAsia="Arial" w:hAnsi="Arial"/>
                <w:sz w:val="16"/>
                <w:szCs w:val="16"/>
                <w:b w:val="1"/>
                <w:bCs w:val="1"/>
                <w:color w:val="231F20"/>
                <w:w w:val="91"/>
              </w:rPr>
              <w:t>Unrealized</w:t>
            </w:r>
          </w:p>
        </w:tc>
        <w:tc>
          <w:tcPr>
            <w:tcW w:w="840" w:type="dxa"/>
            <w:vAlign w:val="bottom"/>
          </w:tcPr>
          <w:p>
            <w:pPr>
              <w:spacing w:after="0"/>
              <w:rPr>
                <w:sz w:val="17"/>
                <w:szCs w:val="17"/>
                <w:color w:val="auto"/>
              </w:rPr>
            </w:pPr>
          </w:p>
        </w:tc>
      </w:tr>
      <w:tr>
        <w:trPr>
          <w:trHeight w:val="178"/>
        </w:trPr>
        <w:tc>
          <w:tcPr>
            <w:tcW w:w="3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jc w:val="center"/>
              <w:ind w:right="129"/>
              <w:spacing w:after="0" w:line="178" w:lineRule="exact"/>
              <w:rPr>
                <w:sz w:val="20"/>
                <w:szCs w:val="20"/>
                <w:color w:val="auto"/>
              </w:rPr>
            </w:pPr>
            <w:r>
              <w:rPr>
                <w:rFonts w:ascii="Arial" w:cs="Arial" w:eastAsia="Arial" w:hAnsi="Arial"/>
                <w:sz w:val="16"/>
                <w:szCs w:val="16"/>
                <w:b w:val="1"/>
                <w:bCs w:val="1"/>
                <w:color w:val="231F20"/>
                <w:w w:val="84"/>
              </w:rPr>
              <w:t>Cost</w:t>
            </w:r>
          </w:p>
        </w:tc>
        <w:tc>
          <w:tcPr>
            <w:tcW w:w="200" w:type="dxa"/>
            <w:vAlign w:val="bottom"/>
          </w:tcPr>
          <w:p>
            <w:pPr>
              <w:spacing w:after="0"/>
              <w:rPr>
                <w:sz w:val="15"/>
                <w:szCs w:val="15"/>
                <w:color w:val="auto"/>
              </w:rPr>
            </w:pPr>
          </w:p>
        </w:tc>
        <w:tc>
          <w:tcPr>
            <w:tcW w:w="960" w:type="dxa"/>
            <w:vAlign w:val="bottom"/>
          </w:tcPr>
          <w:p>
            <w:pPr>
              <w:jc w:val="center"/>
              <w:ind w:right="131"/>
              <w:spacing w:after="0" w:line="178" w:lineRule="exact"/>
              <w:rPr>
                <w:sz w:val="20"/>
                <w:szCs w:val="20"/>
                <w:color w:val="auto"/>
              </w:rPr>
            </w:pPr>
            <w:r>
              <w:rPr>
                <w:rFonts w:ascii="Arial" w:cs="Arial" w:eastAsia="Arial" w:hAnsi="Arial"/>
                <w:sz w:val="16"/>
                <w:szCs w:val="16"/>
                <w:b w:val="1"/>
                <w:bCs w:val="1"/>
                <w:color w:val="231F20"/>
                <w:w w:val="85"/>
              </w:rPr>
              <w:t>Gains</w:t>
            </w:r>
          </w:p>
        </w:tc>
        <w:tc>
          <w:tcPr>
            <w:tcW w:w="200" w:type="dxa"/>
            <w:vAlign w:val="bottom"/>
          </w:tcPr>
          <w:p>
            <w:pPr>
              <w:spacing w:after="0"/>
              <w:rPr>
                <w:sz w:val="15"/>
                <w:szCs w:val="15"/>
                <w:color w:val="auto"/>
              </w:rPr>
            </w:pPr>
          </w:p>
        </w:tc>
        <w:tc>
          <w:tcPr>
            <w:tcW w:w="1160" w:type="dxa"/>
            <w:vAlign w:val="bottom"/>
          </w:tcPr>
          <w:p>
            <w:pPr>
              <w:jc w:val="center"/>
              <w:ind w:right="329"/>
              <w:spacing w:after="0" w:line="178" w:lineRule="exact"/>
              <w:rPr>
                <w:sz w:val="20"/>
                <w:szCs w:val="20"/>
                <w:color w:val="auto"/>
              </w:rPr>
            </w:pPr>
            <w:r>
              <w:rPr>
                <w:rFonts w:ascii="Arial" w:cs="Arial" w:eastAsia="Arial" w:hAnsi="Arial"/>
                <w:sz w:val="16"/>
                <w:szCs w:val="16"/>
                <w:b w:val="1"/>
                <w:bCs w:val="1"/>
                <w:color w:val="231F20"/>
                <w:w w:val="76"/>
              </w:rPr>
              <w:t>Losses</w:t>
            </w:r>
          </w:p>
        </w:tc>
        <w:tc>
          <w:tcPr>
            <w:tcW w:w="840" w:type="dxa"/>
            <w:vAlign w:val="bottom"/>
          </w:tcPr>
          <w:p>
            <w:pPr>
              <w:jc w:val="right"/>
              <w:ind w:right="27"/>
              <w:spacing w:after="0" w:line="178" w:lineRule="exact"/>
              <w:rPr>
                <w:sz w:val="20"/>
                <w:szCs w:val="20"/>
                <w:color w:val="auto"/>
              </w:rPr>
            </w:pPr>
            <w:r>
              <w:rPr>
                <w:rFonts w:ascii="Arial" w:cs="Arial" w:eastAsia="Arial" w:hAnsi="Arial"/>
                <w:sz w:val="16"/>
                <w:szCs w:val="16"/>
                <w:b w:val="1"/>
                <w:bCs w:val="1"/>
                <w:color w:val="231F20"/>
                <w:w w:val="91"/>
              </w:rPr>
              <w:t>Fair Value</w:t>
            </w:r>
          </w:p>
        </w:tc>
      </w:tr>
      <w:tr>
        <w:trPr>
          <w:trHeight w:val="250"/>
        </w:trPr>
        <w:tc>
          <w:tcPr>
            <w:tcW w:w="3380" w:type="dxa"/>
            <w:vAlign w:val="bottom"/>
          </w:tcPr>
          <w:p>
            <w:pPr>
              <w:spacing w:after="0"/>
              <w:rPr>
                <w:sz w:val="20"/>
                <w:szCs w:val="20"/>
                <w:color w:val="auto"/>
              </w:rPr>
            </w:pPr>
            <w:r>
              <w:rPr>
                <w:rFonts w:ascii="Arial" w:cs="Arial" w:eastAsia="Arial" w:hAnsi="Arial"/>
                <w:sz w:val="19"/>
                <w:szCs w:val="19"/>
                <w:b w:val="1"/>
                <w:bCs w:val="1"/>
                <w:color w:val="231F20"/>
              </w:rPr>
              <w:t>Cash equivalents</w:t>
            </w: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8"/>
        </w:trPr>
        <w:tc>
          <w:tcPr>
            <w:tcW w:w="3380" w:type="dxa"/>
            <w:vAlign w:val="bottom"/>
          </w:tcPr>
          <w:p>
            <w:pPr>
              <w:ind w:left="100"/>
              <w:spacing w:after="0"/>
              <w:rPr>
                <w:sz w:val="20"/>
                <w:szCs w:val="20"/>
                <w:color w:val="auto"/>
              </w:rPr>
            </w:pPr>
            <w:r>
              <w:rPr>
                <w:rFonts w:ascii="Arial" w:cs="Arial" w:eastAsia="Arial" w:hAnsi="Arial"/>
                <w:sz w:val="19"/>
                <w:szCs w:val="19"/>
                <w:b w:val="1"/>
                <w:bCs w:val="1"/>
                <w:color w:val="231F20"/>
              </w:rPr>
              <w:t>Money market funds</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7,850</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60" w:type="dxa"/>
            <w:vAlign w:val="bottom"/>
          </w:tcPr>
          <w:p>
            <w:pPr>
              <w:ind w:left="66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7,850</w:t>
            </w:r>
          </w:p>
        </w:tc>
      </w:tr>
      <w:tr>
        <w:trPr>
          <w:trHeight w:val="238"/>
        </w:trPr>
        <w:tc>
          <w:tcPr>
            <w:tcW w:w="338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5"/>
        </w:trPr>
        <w:tc>
          <w:tcPr>
            <w:tcW w:w="3380" w:type="dxa"/>
            <w:vAlign w:val="bottom"/>
          </w:tcPr>
          <w:p>
            <w:pPr>
              <w:ind w:left="100"/>
              <w:spacing w:after="0"/>
              <w:rPr>
                <w:sz w:val="20"/>
                <w:szCs w:val="20"/>
                <w:color w:val="auto"/>
              </w:rPr>
            </w:pPr>
            <w:r>
              <w:rPr>
                <w:rFonts w:ascii="Arial" w:cs="Arial" w:eastAsia="Arial" w:hAnsi="Arial"/>
                <w:sz w:val="19"/>
                <w:szCs w:val="19"/>
                <w:b w:val="1"/>
                <w:bCs w:val="1"/>
                <w:color w:val="231F20"/>
              </w:rPr>
              <w:t>U.S. government securities</w:t>
            </w:r>
          </w:p>
        </w:tc>
        <w:tc>
          <w:tcPr>
            <w:tcW w:w="1300" w:type="dxa"/>
            <w:vAlign w:val="bottom"/>
          </w:tcPr>
          <w:p>
            <w:pPr>
              <w:spacing w:after="0"/>
              <w:rPr>
                <w:sz w:val="20"/>
                <w:szCs w:val="20"/>
                <w:color w:val="auto"/>
              </w:rPr>
            </w:pP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5,000</w:t>
            </w: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9"/>
                <w:szCs w:val="19"/>
                <w:b w:val="1"/>
                <w:bCs w:val="1"/>
                <w:color w:val="231F20"/>
              </w:rPr>
              <w:t>4</w:t>
            </w:r>
          </w:p>
        </w:tc>
        <w:tc>
          <w:tcPr>
            <w:tcW w:w="200" w:type="dxa"/>
            <w:vAlign w:val="bottom"/>
          </w:tcPr>
          <w:p>
            <w:pPr>
              <w:spacing w:after="0"/>
              <w:rPr>
                <w:sz w:val="20"/>
                <w:szCs w:val="20"/>
                <w:color w:val="auto"/>
              </w:rPr>
            </w:pPr>
          </w:p>
        </w:tc>
        <w:tc>
          <w:tcPr>
            <w:tcW w:w="1160" w:type="dxa"/>
            <w:vAlign w:val="bottom"/>
          </w:tcPr>
          <w:p>
            <w:pPr>
              <w:ind w:left="660"/>
              <w:spacing w:after="0" w:line="228" w:lineRule="exact"/>
              <w:rPr>
                <w:sz w:val="20"/>
                <w:szCs w:val="20"/>
                <w:color w:val="auto"/>
              </w:rPr>
            </w:pPr>
            <w:r>
              <w:rPr>
                <w:rFonts w:ascii="PMingLiU" w:cs="PMingLiU" w:eastAsia="PMingLiU" w:hAnsi="PMingLiU"/>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5,004</w:t>
            </w:r>
          </w:p>
        </w:tc>
      </w:tr>
      <w:tr>
        <w:trPr>
          <w:trHeight w:val="252"/>
        </w:trPr>
        <w:tc>
          <w:tcPr>
            <w:tcW w:w="338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12,850</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ind w:right="11"/>
              <w:spacing w:after="0"/>
              <w:rPr>
                <w:sz w:val="20"/>
                <w:szCs w:val="20"/>
                <w:color w:val="auto"/>
              </w:rPr>
            </w:pPr>
            <w:r>
              <w:rPr>
                <w:rFonts w:ascii="Arial" w:cs="Arial" w:eastAsia="Arial" w:hAnsi="Arial"/>
                <w:sz w:val="19"/>
                <w:szCs w:val="19"/>
                <w:b w:val="1"/>
                <w:bCs w:val="1"/>
                <w:color w:val="231F20"/>
              </w:rPr>
              <w:t>4</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ind w:left="66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12,854</w:t>
            </w:r>
          </w:p>
        </w:tc>
      </w:tr>
      <w:tr>
        <w:trPr>
          <w:trHeight w:val="472"/>
        </w:trPr>
        <w:tc>
          <w:tcPr>
            <w:tcW w:w="3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3"/>
          </w:tcPr>
          <w:p>
            <w:pPr>
              <w:ind w:left="320"/>
              <w:spacing w:after="0"/>
              <w:rPr>
                <w:sz w:val="20"/>
                <w:szCs w:val="20"/>
                <w:color w:val="auto"/>
              </w:rPr>
            </w:pPr>
            <w:r>
              <w:rPr>
                <w:rFonts w:ascii="Arial" w:cs="Arial" w:eastAsia="Arial" w:hAnsi="Arial"/>
                <w:sz w:val="16"/>
                <w:szCs w:val="16"/>
                <w:b w:val="1"/>
                <w:bCs w:val="1"/>
                <w:color w:val="231F20"/>
              </w:rPr>
              <w:t>December 31, 2024</w:t>
            </w:r>
          </w:p>
        </w:tc>
        <w:tc>
          <w:tcPr>
            <w:tcW w:w="840" w:type="dxa"/>
            <w:vAlign w:val="bottom"/>
          </w:tcPr>
          <w:p>
            <w:pPr>
              <w:spacing w:after="0"/>
              <w:rPr>
                <w:sz w:val="24"/>
                <w:szCs w:val="24"/>
                <w:color w:val="auto"/>
              </w:rPr>
            </w:pPr>
          </w:p>
        </w:tc>
      </w:tr>
      <w:tr>
        <w:trPr>
          <w:trHeight w:val="206"/>
        </w:trPr>
        <w:tc>
          <w:tcPr>
            <w:tcW w:w="3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jc w:val="center"/>
              <w:ind w:right="109"/>
              <w:spacing w:after="0"/>
              <w:rPr>
                <w:sz w:val="20"/>
                <w:szCs w:val="20"/>
                <w:color w:val="auto"/>
              </w:rPr>
            </w:pPr>
            <w:r>
              <w:rPr>
                <w:rFonts w:ascii="Arial" w:cs="Arial" w:eastAsia="Arial" w:hAnsi="Arial"/>
                <w:sz w:val="16"/>
                <w:szCs w:val="16"/>
                <w:b w:val="1"/>
                <w:bCs w:val="1"/>
                <w:color w:val="231F20"/>
                <w:w w:val="91"/>
              </w:rPr>
              <w:t>Amortized</w:t>
            </w:r>
          </w:p>
        </w:tc>
        <w:tc>
          <w:tcPr>
            <w:tcW w:w="200" w:type="dxa"/>
            <w:vAlign w:val="bottom"/>
          </w:tcPr>
          <w:p>
            <w:pPr>
              <w:spacing w:after="0"/>
              <w:rPr>
                <w:sz w:val="17"/>
                <w:szCs w:val="17"/>
                <w:color w:val="auto"/>
              </w:rPr>
            </w:pPr>
          </w:p>
        </w:tc>
        <w:tc>
          <w:tcPr>
            <w:tcW w:w="960" w:type="dxa"/>
            <w:vAlign w:val="bottom"/>
          </w:tcPr>
          <w:p>
            <w:pPr>
              <w:jc w:val="center"/>
              <w:ind w:right="111"/>
              <w:spacing w:after="0"/>
              <w:rPr>
                <w:sz w:val="20"/>
                <w:szCs w:val="20"/>
                <w:color w:val="auto"/>
              </w:rPr>
            </w:pPr>
            <w:r>
              <w:rPr>
                <w:rFonts w:ascii="Arial" w:cs="Arial" w:eastAsia="Arial" w:hAnsi="Arial"/>
                <w:sz w:val="16"/>
                <w:szCs w:val="16"/>
                <w:b w:val="1"/>
                <w:bCs w:val="1"/>
                <w:color w:val="231F20"/>
                <w:w w:val="88"/>
              </w:rPr>
              <w:t>Unrealized</w:t>
            </w:r>
          </w:p>
        </w:tc>
        <w:tc>
          <w:tcPr>
            <w:tcW w:w="200" w:type="dxa"/>
            <w:vAlign w:val="bottom"/>
          </w:tcPr>
          <w:p>
            <w:pPr>
              <w:spacing w:after="0"/>
              <w:rPr>
                <w:sz w:val="17"/>
                <w:szCs w:val="17"/>
                <w:color w:val="auto"/>
              </w:rPr>
            </w:pPr>
          </w:p>
        </w:tc>
        <w:tc>
          <w:tcPr>
            <w:tcW w:w="1160" w:type="dxa"/>
            <w:vAlign w:val="bottom"/>
          </w:tcPr>
          <w:p>
            <w:pPr>
              <w:jc w:val="center"/>
              <w:ind w:right="329"/>
              <w:spacing w:after="0"/>
              <w:rPr>
                <w:sz w:val="20"/>
                <w:szCs w:val="20"/>
                <w:color w:val="auto"/>
              </w:rPr>
            </w:pPr>
            <w:r>
              <w:rPr>
                <w:rFonts w:ascii="Arial" w:cs="Arial" w:eastAsia="Arial" w:hAnsi="Arial"/>
                <w:sz w:val="16"/>
                <w:szCs w:val="16"/>
                <w:b w:val="1"/>
                <w:bCs w:val="1"/>
                <w:color w:val="231F20"/>
                <w:w w:val="91"/>
              </w:rPr>
              <w:t>Unrealized</w:t>
            </w:r>
          </w:p>
        </w:tc>
        <w:tc>
          <w:tcPr>
            <w:tcW w:w="840" w:type="dxa"/>
            <w:vAlign w:val="bottom"/>
          </w:tcPr>
          <w:p>
            <w:pPr>
              <w:spacing w:after="0"/>
              <w:rPr>
                <w:sz w:val="17"/>
                <w:szCs w:val="17"/>
                <w:color w:val="auto"/>
              </w:rPr>
            </w:pPr>
          </w:p>
        </w:tc>
      </w:tr>
      <w:tr>
        <w:trPr>
          <w:trHeight w:val="180"/>
        </w:trPr>
        <w:tc>
          <w:tcPr>
            <w:tcW w:w="3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jc w:val="center"/>
              <w:ind w:right="129"/>
              <w:spacing w:after="0" w:line="180" w:lineRule="exact"/>
              <w:rPr>
                <w:sz w:val="20"/>
                <w:szCs w:val="20"/>
                <w:color w:val="auto"/>
              </w:rPr>
            </w:pPr>
            <w:r>
              <w:rPr>
                <w:rFonts w:ascii="Arial" w:cs="Arial" w:eastAsia="Arial" w:hAnsi="Arial"/>
                <w:sz w:val="16"/>
                <w:szCs w:val="16"/>
                <w:b w:val="1"/>
                <w:bCs w:val="1"/>
                <w:color w:val="231F20"/>
                <w:w w:val="84"/>
              </w:rPr>
              <w:t>Cost</w:t>
            </w:r>
          </w:p>
        </w:tc>
        <w:tc>
          <w:tcPr>
            <w:tcW w:w="200" w:type="dxa"/>
            <w:vAlign w:val="bottom"/>
          </w:tcPr>
          <w:p>
            <w:pPr>
              <w:spacing w:after="0"/>
              <w:rPr>
                <w:sz w:val="15"/>
                <w:szCs w:val="15"/>
                <w:color w:val="auto"/>
              </w:rPr>
            </w:pPr>
          </w:p>
        </w:tc>
        <w:tc>
          <w:tcPr>
            <w:tcW w:w="960" w:type="dxa"/>
            <w:vAlign w:val="bottom"/>
          </w:tcPr>
          <w:p>
            <w:pPr>
              <w:jc w:val="center"/>
              <w:ind w:right="131"/>
              <w:spacing w:after="0" w:line="180" w:lineRule="exact"/>
              <w:rPr>
                <w:sz w:val="20"/>
                <w:szCs w:val="20"/>
                <w:color w:val="auto"/>
              </w:rPr>
            </w:pPr>
            <w:r>
              <w:rPr>
                <w:rFonts w:ascii="Arial" w:cs="Arial" w:eastAsia="Arial" w:hAnsi="Arial"/>
                <w:sz w:val="16"/>
                <w:szCs w:val="16"/>
                <w:b w:val="1"/>
                <w:bCs w:val="1"/>
                <w:color w:val="231F20"/>
                <w:w w:val="85"/>
              </w:rPr>
              <w:t>Gains</w:t>
            </w:r>
          </w:p>
        </w:tc>
        <w:tc>
          <w:tcPr>
            <w:tcW w:w="200" w:type="dxa"/>
            <w:vAlign w:val="bottom"/>
          </w:tcPr>
          <w:p>
            <w:pPr>
              <w:spacing w:after="0"/>
              <w:rPr>
                <w:sz w:val="15"/>
                <w:szCs w:val="15"/>
                <w:color w:val="auto"/>
              </w:rPr>
            </w:pPr>
          </w:p>
        </w:tc>
        <w:tc>
          <w:tcPr>
            <w:tcW w:w="1160" w:type="dxa"/>
            <w:vAlign w:val="bottom"/>
          </w:tcPr>
          <w:p>
            <w:pPr>
              <w:jc w:val="center"/>
              <w:ind w:right="329"/>
              <w:spacing w:after="0" w:line="180" w:lineRule="exact"/>
              <w:rPr>
                <w:sz w:val="20"/>
                <w:szCs w:val="20"/>
                <w:color w:val="auto"/>
              </w:rPr>
            </w:pPr>
            <w:r>
              <w:rPr>
                <w:rFonts w:ascii="Arial" w:cs="Arial" w:eastAsia="Arial" w:hAnsi="Arial"/>
                <w:sz w:val="16"/>
                <w:szCs w:val="16"/>
                <w:b w:val="1"/>
                <w:bCs w:val="1"/>
                <w:color w:val="231F20"/>
                <w:w w:val="76"/>
              </w:rPr>
              <w:t>Losses</w:t>
            </w:r>
          </w:p>
        </w:tc>
        <w:tc>
          <w:tcPr>
            <w:tcW w:w="840" w:type="dxa"/>
            <w:vAlign w:val="bottom"/>
          </w:tcPr>
          <w:p>
            <w:pPr>
              <w:jc w:val="right"/>
              <w:ind w:right="27"/>
              <w:spacing w:after="0" w:line="180" w:lineRule="exact"/>
              <w:rPr>
                <w:sz w:val="20"/>
                <w:szCs w:val="20"/>
                <w:color w:val="auto"/>
              </w:rPr>
            </w:pPr>
            <w:r>
              <w:rPr>
                <w:rFonts w:ascii="Arial" w:cs="Arial" w:eastAsia="Arial" w:hAnsi="Arial"/>
                <w:sz w:val="16"/>
                <w:szCs w:val="16"/>
                <w:b w:val="1"/>
                <w:bCs w:val="1"/>
                <w:color w:val="231F20"/>
                <w:w w:val="91"/>
              </w:rPr>
              <w:t>Fair Value</w:t>
            </w:r>
          </w:p>
        </w:tc>
      </w:tr>
      <w:tr>
        <w:trPr>
          <w:trHeight w:val="250"/>
        </w:trPr>
        <w:tc>
          <w:tcPr>
            <w:tcW w:w="3380" w:type="dxa"/>
            <w:vAlign w:val="bottom"/>
          </w:tcPr>
          <w:p>
            <w:pPr>
              <w:spacing w:after="0"/>
              <w:rPr>
                <w:sz w:val="20"/>
                <w:szCs w:val="20"/>
                <w:color w:val="auto"/>
              </w:rPr>
            </w:pPr>
            <w:r>
              <w:rPr>
                <w:rFonts w:ascii="Arial" w:cs="Arial" w:eastAsia="Arial" w:hAnsi="Arial"/>
                <w:sz w:val="19"/>
                <w:szCs w:val="19"/>
                <w:b w:val="1"/>
                <w:bCs w:val="1"/>
                <w:color w:val="231F20"/>
              </w:rPr>
              <w:t>Cash equivalents</w:t>
            </w: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5"/>
        </w:trPr>
        <w:tc>
          <w:tcPr>
            <w:tcW w:w="3380" w:type="dxa"/>
            <w:vAlign w:val="bottom"/>
          </w:tcPr>
          <w:p>
            <w:pPr>
              <w:ind w:left="100"/>
              <w:spacing w:after="0"/>
              <w:rPr>
                <w:sz w:val="20"/>
                <w:szCs w:val="20"/>
                <w:color w:val="auto"/>
              </w:rPr>
            </w:pPr>
            <w:r>
              <w:rPr>
                <w:rFonts w:ascii="Arial" w:cs="Arial" w:eastAsia="Arial" w:hAnsi="Arial"/>
                <w:sz w:val="19"/>
                <w:szCs w:val="19"/>
                <w:b w:val="1"/>
                <w:bCs w:val="1"/>
                <w:color w:val="231F20"/>
              </w:rPr>
              <w:t>Money market funds</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6,631</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1160" w:type="dxa"/>
            <w:vAlign w:val="bottom"/>
          </w:tcPr>
          <w:p>
            <w:pPr>
              <w:ind w:left="66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6,631</w:t>
            </w:r>
          </w:p>
        </w:tc>
      </w:tr>
      <w:tr>
        <w:trPr>
          <w:trHeight w:val="238"/>
        </w:trPr>
        <w:tc>
          <w:tcPr>
            <w:tcW w:w="338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8"/>
        </w:trPr>
        <w:tc>
          <w:tcPr>
            <w:tcW w:w="3380" w:type="dxa"/>
            <w:vAlign w:val="bottom"/>
          </w:tcPr>
          <w:p>
            <w:pPr>
              <w:ind w:left="100"/>
              <w:spacing w:after="0"/>
              <w:rPr>
                <w:sz w:val="20"/>
                <w:szCs w:val="20"/>
                <w:color w:val="auto"/>
              </w:rPr>
            </w:pPr>
            <w:r>
              <w:rPr>
                <w:rFonts w:ascii="Arial" w:cs="Arial" w:eastAsia="Arial" w:hAnsi="Arial"/>
                <w:sz w:val="19"/>
                <w:szCs w:val="19"/>
                <w:b w:val="1"/>
                <w:bCs w:val="1"/>
                <w:color w:val="231F20"/>
              </w:rPr>
              <w:t>U.S. treasury bills</w:t>
            </w:r>
          </w:p>
        </w:tc>
        <w:tc>
          <w:tcPr>
            <w:tcW w:w="1300" w:type="dxa"/>
            <w:vAlign w:val="bottom"/>
          </w:tcPr>
          <w:p>
            <w:pPr>
              <w:spacing w:after="0"/>
              <w:rPr>
                <w:sz w:val="20"/>
                <w:szCs w:val="20"/>
                <w:color w:val="auto"/>
              </w:rPr>
            </w:pP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3,449</w:t>
            </w: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9"/>
                <w:szCs w:val="19"/>
                <w:b w:val="1"/>
                <w:bCs w:val="1"/>
                <w:color w:val="231F20"/>
              </w:rPr>
              <w:t>2</w:t>
            </w:r>
          </w:p>
        </w:tc>
        <w:tc>
          <w:tcPr>
            <w:tcW w:w="200" w:type="dxa"/>
            <w:vAlign w:val="bottom"/>
          </w:tcPr>
          <w:p>
            <w:pPr>
              <w:spacing w:after="0"/>
              <w:rPr>
                <w:sz w:val="20"/>
                <w:szCs w:val="20"/>
                <w:color w:val="auto"/>
              </w:rPr>
            </w:pPr>
          </w:p>
        </w:tc>
        <w:tc>
          <w:tcPr>
            <w:tcW w:w="1160" w:type="dxa"/>
            <w:vAlign w:val="bottom"/>
          </w:tcPr>
          <w:p>
            <w:pPr>
              <w:ind w:left="660"/>
              <w:spacing w:after="0" w:line="228" w:lineRule="exact"/>
              <w:rPr>
                <w:sz w:val="20"/>
                <w:szCs w:val="20"/>
                <w:color w:val="auto"/>
              </w:rPr>
            </w:pPr>
            <w:r>
              <w:rPr>
                <w:rFonts w:ascii="PMingLiU" w:cs="PMingLiU" w:eastAsia="PMingLiU" w:hAnsi="PMingLiU"/>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3,451</w:t>
            </w:r>
          </w:p>
        </w:tc>
      </w:tr>
      <w:tr>
        <w:trPr>
          <w:trHeight w:val="235"/>
        </w:trPr>
        <w:tc>
          <w:tcPr>
            <w:tcW w:w="3380" w:type="dxa"/>
            <w:vAlign w:val="bottom"/>
          </w:tcPr>
          <w:p>
            <w:pPr>
              <w:ind w:left="100"/>
              <w:spacing w:after="0"/>
              <w:rPr>
                <w:sz w:val="20"/>
                <w:szCs w:val="20"/>
                <w:color w:val="auto"/>
              </w:rPr>
            </w:pPr>
            <w:r>
              <w:rPr>
                <w:rFonts w:ascii="Arial" w:cs="Arial" w:eastAsia="Arial" w:hAnsi="Arial"/>
                <w:sz w:val="19"/>
                <w:szCs w:val="19"/>
                <w:b w:val="1"/>
                <w:bCs w:val="1"/>
                <w:color w:val="231F20"/>
              </w:rPr>
              <w:t>Certificates of deposit</w:t>
            </w:r>
          </w:p>
        </w:tc>
        <w:tc>
          <w:tcPr>
            <w:tcW w:w="1300" w:type="dxa"/>
            <w:vAlign w:val="bottom"/>
          </w:tcPr>
          <w:p>
            <w:pPr>
              <w:spacing w:after="0"/>
              <w:rPr>
                <w:sz w:val="20"/>
                <w:szCs w:val="20"/>
                <w:color w:val="auto"/>
              </w:rPr>
            </w:pP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245</w:t>
            </w: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9"/>
                <w:szCs w:val="19"/>
                <w:b w:val="1"/>
                <w:bCs w:val="1"/>
                <w:color w:val="231F20"/>
              </w:rPr>
              <w:t>2</w:t>
            </w:r>
          </w:p>
        </w:tc>
        <w:tc>
          <w:tcPr>
            <w:tcW w:w="200" w:type="dxa"/>
            <w:vAlign w:val="bottom"/>
          </w:tcPr>
          <w:p>
            <w:pPr>
              <w:spacing w:after="0"/>
              <w:rPr>
                <w:sz w:val="20"/>
                <w:szCs w:val="20"/>
                <w:color w:val="auto"/>
              </w:rPr>
            </w:pPr>
          </w:p>
        </w:tc>
        <w:tc>
          <w:tcPr>
            <w:tcW w:w="1160" w:type="dxa"/>
            <w:vAlign w:val="bottom"/>
          </w:tcPr>
          <w:p>
            <w:pPr>
              <w:ind w:left="660"/>
              <w:spacing w:after="0" w:line="228" w:lineRule="exact"/>
              <w:rPr>
                <w:sz w:val="20"/>
                <w:szCs w:val="20"/>
                <w:color w:val="auto"/>
              </w:rPr>
            </w:pPr>
            <w:r>
              <w:rPr>
                <w:rFonts w:ascii="PMingLiU" w:cs="PMingLiU" w:eastAsia="PMingLiU" w:hAnsi="PMingLiU"/>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247</w:t>
            </w:r>
          </w:p>
        </w:tc>
      </w:tr>
      <w:tr>
        <w:trPr>
          <w:trHeight w:val="238"/>
        </w:trPr>
        <w:tc>
          <w:tcPr>
            <w:tcW w:w="3380" w:type="dxa"/>
            <w:vAlign w:val="bottom"/>
          </w:tcPr>
          <w:p>
            <w:pPr>
              <w:ind w:left="100"/>
              <w:spacing w:after="0"/>
              <w:rPr>
                <w:sz w:val="20"/>
                <w:szCs w:val="20"/>
                <w:color w:val="auto"/>
              </w:rPr>
            </w:pPr>
            <w:r>
              <w:rPr>
                <w:rFonts w:ascii="Arial" w:cs="Arial" w:eastAsia="Arial" w:hAnsi="Arial"/>
                <w:sz w:val="19"/>
                <w:szCs w:val="19"/>
                <w:b w:val="1"/>
                <w:bCs w:val="1"/>
                <w:color w:val="231F20"/>
              </w:rPr>
              <w:t>U.S. government securities</w:t>
            </w:r>
          </w:p>
        </w:tc>
        <w:tc>
          <w:tcPr>
            <w:tcW w:w="1300" w:type="dxa"/>
            <w:vAlign w:val="bottom"/>
          </w:tcPr>
          <w:p>
            <w:pPr>
              <w:spacing w:after="0"/>
              <w:rPr>
                <w:sz w:val="20"/>
                <w:szCs w:val="20"/>
                <w:color w:val="auto"/>
              </w:rPr>
            </w:pP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2,492</w:t>
            </w:r>
          </w:p>
        </w:tc>
        <w:tc>
          <w:tcPr>
            <w:tcW w:w="2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9"/>
                <w:szCs w:val="19"/>
                <w:b w:val="1"/>
                <w:bCs w:val="1"/>
                <w:color w:val="231F20"/>
              </w:rPr>
              <w:t>2</w:t>
            </w:r>
          </w:p>
        </w:tc>
        <w:tc>
          <w:tcPr>
            <w:tcW w:w="200" w:type="dxa"/>
            <w:vAlign w:val="bottom"/>
          </w:tcPr>
          <w:p>
            <w:pPr>
              <w:spacing w:after="0"/>
              <w:rPr>
                <w:sz w:val="20"/>
                <w:szCs w:val="20"/>
                <w:color w:val="auto"/>
              </w:rPr>
            </w:pPr>
          </w:p>
        </w:tc>
        <w:tc>
          <w:tcPr>
            <w:tcW w:w="1160" w:type="dxa"/>
            <w:vAlign w:val="bottom"/>
          </w:tcPr>
          <w:p>
            <w:pPr>
              <w:ind w:left="660"/>
              <w:spacing w:after="0" w:line="228" w:lineRule="exact"/>
              <w:rPr>
                <w:sz w:val="20"/>
                <w:szCs w:val="20"/>
                <w:color w:val="auto"/>
              </w:rPr>
            </w:pPr>
            <w:r>
              <w:rPr>
                <w:rFonts w:ascii="PMingLiU" w:cs="PMingLiU" w:eastAsia="PMingLiU" w:hAnsi="PMingLiU"/>
                <w:sz w:val="19"/>
                <w:szCs w:val="19"/>
                <w:b w:val="1"/>
                <w:bCs w:val="1"/>
                <w:color w:val="231F2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2,494</w:t>
            </w:r>
          </w:p>
        </w:tc>
      </w:tr>
      <w:tr>
        <w:trPr>
          <w:trHeight w:val="252"/>
        </w:trPr>
        <w:tc>
          <w:tcPr>
            <w:tcW w:w="338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ind w:right="9"/>
              <w:spacing w:after="0"/>
              <w:rPr>
                <w:sz w:val="20"/>
                <w:szCs w:val="20"/>
                <w:color w:val="auto"/>
              </w:rPr>
            </w:pPr>
            <w:r>
              <w:rPr>
                <w:rFonts w:ascii="Arial" w:cs="Arial" w:eastAsia="Arial" w:hAnsi="Arial"/>
                <w:sz w:val="19"/>
                <w:szCs w:val="19"/>
                <w:b w:val="1"/>
                <w:bCs w:val="1"/>
                <w:color w:val="231F20"/>
              </w:rPr>
              <w:t>12,817</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ind w:right="11"/>
              <w:spacing w:after="0"/>
              <w:rPr>
                <w:sz w:val="20"/>
                <w:szCs w:val="20"/>
                <w:color w:val="auto"/>
              </w:rPr>
            </w:pPr>
            <w:r>
              <w:rPr>
                <w:rFonts w:ascii="Arial" w:cs="Arial" w:eastAsia="Arial" w:hAnsi="Arial"/>
                <w:sz w:val="19"/>
                <w:szCs w:val="19"/>
                <w:b w:val="1"/>
                <w:bCs w:val="1"/>
                <w:color w:val="231F20"/>
              </w:rPr>
              <w:t>6</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160" w:type="dxa"/>
            <w:vAlign w:val="bottom"/>
          </w:tcPr>
          <w:p>
            <w:pPr>
              <w:ind w:left="66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12,823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-2642235</wp:posOffset>
            </wp:positionV>
            <wp:extent cx="5792470" cy="57924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2470" cy="5792470"/>
                    </a:xfrm>
                    <a:prstGeom prst="rect">
                      <a:avLst/>
                    </a:prstGeom>
                    <a:noFill/>
                  </pic:spPr>
                </pic:pic>
              </a:graphicData>
            </a:graphic>
          </wp:anchor>
        </w:drawing>
      </w:r>
    </w:p>
    <w:p>
      <w:pPr>
        <w:spacing w:after="0" w:line="266"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change in fair value of warrant liabilities measured on a recurring basis using unobservable Level 3 inputs for the year ended December 31, 2025 is set forth below:</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3360" w:type="dxa"/>
            <w:vAlign w:val="bottom"/>
          </w:tcPr>
          <w:p>
            <w:pPr>
              <w:spacing w:after="0"/>
              <w:rPr>
                <w:sz w:val="19"/>
                <w:szCs w:val="19"/>
                <w:color w:val="auto"/>
              </w:rPr>
            </w:pPr>
          </w:p>
        </w:tc>
        <w:tc>
          <w:tcPr>
            <w:tcW w:w="2880" w:type="dxa"/>
            <w:vAlign w:val="bottom"/>
            <w:gridSpan w:val="2"/>
          </w:tcPr>
          <w:p>
            <w:pPr>
              <w:jc w:val="center"/>
              <w:ind w:left="1363"/>
              <w:spacing w:after="0"/>
              <w:rPr>
                <w:sz w:val="20"/>
                <w:szCs w:val="20"/>
                <w:color w:val="auto"/>
              </w:rPr>
            </w:pPr>
            <w:r>
              <w:rPr>
                <w:rFonts w:ascii="Arial" w:cs="Arial" w:eastAsia="Arial" w:hAnsi="Arial"/>
                <w:sz w:val="19"/>
                <w:szCs w:val="19"/>
                <w:b w:val="1"/>
                <w:bCs w:val="1"/>
                <w:color w:val="231F20"/>
                <w:w w:val="97"/>
              </w:rPr>
              <w:t>Fair Value at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7"/>
              </w:rPr>
              <w:t>Fair Value at</w:t>
            </w:r>
          </w:p>
        </w:tc>
      </w:tr>
      <w:tr>
        <w:trPr>
          <w:trHeight w:val="223"/>
        </w:trPr>
        <w:tc>
          <w:tcPr>
            <w:tcW w:w="3360" w:type="dxa"/>
            <w:vAlign w:val="bottom"/>
          </w:tcPr>
          <w:p>
            <w:pPr>
              <w:spacing w:after="0"/>
              <w:rPr>
                <w:sz w:val="19"/>
                <w:szCs w:val="19"/>
                <w:color w:val="auto"/>
              </w:rPr>
            </w:pPr>
          </w:p>
        </w:tc>
        <w:tc>
          <w:tcPr>
            <w:tcW w:w="2880" w:type="dxa"/>
            <w:vAlign w:val="bottom"/>
            <w:gridSpan w:val="2"/>
          </w:tcPr>
          <w:p>
            <w:pPr>
              <w:jc w:val="center"/>
              <w:ind w:left="1363"/>
              <w:spacing w:after="0"/>
              <w:rPr>
                <w:sz w:val="20"/>
                <w:szCs w:val="20"/>
                <w:color w:val="auto"/>
              </w:rPr>
            </w:pPr>
            <w:r>
              <w:rPr>
                <w:rFonts w:ascii="Arial" w:cs="Arial" w:eastAsia="Arial" w:hAnsi="Arial"/>
                <w:sz w:val="19"/>
                <w:szCs w:val="19"/>
                <w:b w:val="1"/>
                <w:bCs w:val="1"/>
                <w:color w:val="231F20"/>
                <w:w w:val="92"/>
              </w:rPr>
              <w:t>December 31,</w:t>
            </w:r>
          </w:p>
        </w:tc>
        <w:tc>
          <w:tcPr>
            <w:tcW w:w="240" w:type="dxa"/>
            <w:vAlign w:val="bottom"/>
          </w:tcPr>
          <w:p>
            <w:pPr>
              <w:spacing w:after="0"/>
              <w:rPr>
                <w:sz w:val="19"/>
                <w:szCs w:val="19"/>
                <w:color w:val="auto"/>
              </w:rPr>
            </w:pPr>
          </w:p>
        </w:tc>
        <w:tc>
          <w:tcPr>
            <w:tcW w:w="1200" w:type="dxa"/>
            <w:vAlign w:val="bottom"/>
          </w:tcPr>
          <w:p>
            <w:pPr>
              <w:jc w:val="right"/>
              <w:ind w:right="183"/>
              <w:spacing w:after="0"/>
              <w:rPr>
                <w:sz w:val="20"/>
                <w:szCs w:val="20"/>
                <w:color w:val="auto"/>
              </w:rPr>
            </w:pPr>
            <w:r>
              <w:rPr>
                <w:rFonts w:ascii="Arial" w:cs="Arial" w:eastAsia="Arial" w:hAnsi="Arial"/>
                <w:sz w:val="19"/>
                <w:szCs w:val="19"/>
                <w:b w:val="1"/>
                <w:bCs w:val="1"/>
                <w:color w:val="231F20"/>
                <w:w w:val="97"/>
              </w:rPr>
              <w:t>Change in</w:t>
            </w:r>
          </w:p>
        </w:tc>
        <w:tc>
          <w:tcPr>
            <w:tcW w:w="13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December 31,</w:t>
            </w:r>
          </w:p>
        </w:tc>
      </w:tr>
      <w:tr>
        <w:trPr>
          <w:trHeight w:val="223"/>
        </w:trPr>
        <w:tc>
          <w:tcPr>
            <w:tcW w:w="3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60" w:type="dxa"/>
            <w:vAlign w:val="bottom"/>
          </w:tcPr>
          <w:p>
            <w:pPr>
              <w:jc w:val="center"/>
              <w:ind w:right="283"/>
              <w:spacing w:after="0"/>
              <w:rPr>
                <w:sz w:val="20"/>
                <w:szCs w:val="20"/>
                <w:color w:val="auto"/>
              </w:rPr>
            </w:pPr>
            <w:r>
              <w:rPr>
                <w:rFonts w:ascii="Arial" w:cs="Arial" w:eastAsia="Arial" w:hAnsi="Arial"/>
                <w:sz w:val="19"/>
                <w:szCs w:val="19"/>
                <w:b w:val="1"/>
                <w:bCs w:val="1"/>
                <w:color w:val="231F20"/>
                <w:w w:val="94"/>
              </w:rPr>
              <w:t>2024</w:t>
            </w:r>
          </w:p>
        </w:tc>
        <w:tc>
          <w:tcPr>
            <w:tcW w:w="240" w:type="dxa"/>
            <w:vAlign w:val="bottom"/>
          </w:tcPr>
          <w:p>
            <w:pPr>
              <w:spacing w:after="0"/>
              <w:rPr>
                <w:sz w:val="19"/>
                <w:szCs w:val="19"/>
                <w:color w:val="auto"/>
              </w:rPr>
            </w:pPr>
          </w:p>
        </w:tc>
        <w:tc>
          <w:tcPr>
            <w:tcW w:w="1200" w:type="dxa"/>
            <w:vAlign w:val="bottom"/>
          </w:tcPr>
          <w:p>
            <w:pPr>
              <w:jc w:val="right"/>
              <w:ind w:right="163"/>
              <w:spacing w:after="0"/>
              <w:rPr>
                <w:sz w:val="20"/>
                <w:szCs w:val="20"/>
                <w:color w:val="auto"/>
              </w:rPr>
            </w:pPr>
            <w:r>
              <w:rPr>
                <w:rFonts w:ascii="Arial" w:cs="Arial" w:eastAsia="Arial" w:hAnsi="Arial"/>
                <w:sz w:val="19"/>
                <w:szCs w:val="19"/>
                <w:b w:val="1"/>
                <w:bCs w:val="1"/>
                <w:color w:val="231F20"/>
              </w:rPr>
              <w:t>Fair Value</w:t>
            </w:r>
          </w:p>
        </w:tc>
        <w:tc>
          <w:tcPr>
            <w:tcW w:w="380" w:type="dxa"/>
            <w:vAlign w:val="bottom"/>
          </w:tcPr>
          <w:p>
            <w:pPr>
              <w:spacing w:after="0"/>
              <w:rPr>
                <w:sz w:val="19"/>
                <w:szCs w:val="19"/>
                <w:color w:val="auto"/>
              </w:rPr>
            </w:pPr>
          </w:p>
        </w:tc>
        <w:tc>
          <w:tcPr>
            <w:tcW w:w="960" w:type="dxa"/>
            <w:vAlign w:val="bottom"/>
          </w:tcPr>
          <w:p>
            <w:pPr>
              <w:jc w:val="center"/>
              <w:ind w:right="163"/>
              <w:spacing w:after="0"/>
              <w:rPr>
                <w:sz w:val="20"/>
                <w:szCs w:val="20"/>
                <w:color w:val="auto"/>
              </w:rPr>
            </w:pPr>
            <w:r>
              <w:rPr>
                <w:rFonts w:ascii="Arial" w:cs="Arial" w:eastAsia="Arial" w:hAnsi="Arial"/>
                <w:sz w:val="19"/>
                <w:szCs w:val="19"/>
                <w:b w:val="1"/>
                <w:bCs w:val="1"/>
                <w:color w:val="231F20"/>
                <w:w w:val="89"/>
              </w:rPr>
              <w:t>2025</w:t>
            </w:r>
          </w:p>
        </w:tc>
      </w:tr>
      <w:tr>
        <w:trPr>
          <w:trHeight w:val="238"/>
        </w:trPr>
        <w:tc>
          <w:tcPr>
            <w:tcW w:w="3360" w:type="dxa"/>
            <w:vAlign w:val="bottom"/>
          </w:tcPr>
          <w:p>
            <w:pPr>
              <w:spacing w:after="0"/>
              <w:rPr>
                <w:sz w:val="20"/>
                <w:szCs w:val="20"/>
                <w:color w:val="auto"/>
              </w:rPr>
            </w:pPr>
            <w:r>
              <w:rPr>
                <w:rFonts w:ascii="Arial" w:cs="Arial" w:eastAsia="Arial" w:hAnsi="Arial"/>
                <w:sz w:val="19"/>
                <w:szCs w:val="19"/>
                <w:b w:val="1"/>
                <w:bCs w:val="1"/>
                <w:color w:val="231F20"/>
              </w:rPr>
              <w:t>Series A Warrant</w:t>
            </w:r>
          </w:p>
        </w:tc>
        <w:tc>
          <w:tcPr>
            <w:tcW w:w="1820" w:type="dxa"/>
            <w:vAlign w:val="bottom"/>
          </w:tcPr>
          <w:p>
            <w:pPr>
              <w:jc w:val="right"/>
              <w:ind w:right="6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3"/>
              <w:spacing w:after="0"/>
              <w:rPr>
                <w:sz w:val="20"/>
                <w:szCs w:val="20"/>
                <w:color w:val="auto"/>
              </w:rPr>
            </w:pPr>
            <w:r>
              <w:rPr>
                <w:rFonts w:ascii="Arial" w:cs="Arial" w:eastAsia="Arial" w:hAnsi="Arial"/>
                <w:sz w:val="19"/>
                <w:szCs w:val="19"/>
                <w:b w:val="1"/>
                <w:bCs w:val="1"/>
                <w:color w:val="231F20"/>
              </w:rPr>
              <w:t>15,351</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ind w:right="3"/>
              <w:spacing w:after="0"/>
              <w:rPr>
                <w:sz w:val="20"/>
                <w:szCs w:val="20"/>
                <w:color w:val="auto"/>
              </w:rPr>
            </w:pPr>
            <w:r>
              <w:rPr>
                <w:rFonts w:ascii="Arial" w:cs="Arial" w:eastAsia="Arial" w:hAnsi="Arial"/>
                <w:sz w:val="19"/>
                <w:szCs w:val="19"/>
                <w:b w:val="1"/>
                <w:bCs w:val="1"/>
                <w:color w:val="231F20"/>
              </w:rPr>
              <w:t>5,284</w:t>
            </w:r>
          </w:p>
        </w:tc>
        <w:tc>
          <w:tcPr>
            <w:tcW w:w="380" w:type="dxa"/>
            <w:vAlign w:val="bottom"/>
          </w:tcPr>
          <w:p>
            <w:pPr>
              <w:jc w:val="right"/>
              <w:ind w:right="63"/>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20,635</w:t>
            </w:r>
          </w:p>
        </w:tc>
      </w:tr>
      <w:tr>
        <w:trPr>
          <w:trHeight w:val="223"/>
        </w:trPr>
        <w:tc>
          <w:tcPr>
            <w:tcW w:w="3360" w:type="dxa"/>
            <w:vAlign w:val="bottom"/>
          </w:tcPr>
          <w:p>
            <w:pPr>
              <w:spacing w:after="0"/>
              <w:rPr>
                <w:sz w:val="20"/>
                <w:szCs w:val="20"/>
                <w:color w:val="auto"/>
              </w:rPr>
            </w:pPr>
            <w:r>
              <w:rPr>
                <w:rFonts w:ascii="Arial" w:cs="Arial" w:eastAsia="Arial" w:hAnsi="Arial"/>
                <w:sz w:val="19"/>
                <w:szCs w:val="19"/>
                <w:b w:val="1"/>
                <w:bCs w:val="1"/>
                <w:color w:val="231F20"/>
              </w:rPr>
              <w:t>Series B Warrant</w:t>
            </w:r>
          </w:p>
        </w:tc>
        <w:tc>
          <w:tcPr>
            <w:tcW w:w="182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9"/>
                <w:szCs w:val="19"/>
                <w:b w:val="1"/>
                <w:bCs w:val="1"/>
                <w:color w:val="231F20"/>
              </w:rPr>
              <w:t>14,505</w:t>
            </w:r>
          </w:p>
        </w:tc>
        <w:tc>
          <w:tcPr>
            <w:tcW w:w="24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9"/>
                <w:szCs w:val="19"/>
                <w:b w:val="1"/>
                <w:bCs w:val="1"/>
                <w:color w:val="231F20"/>
              </w:rPr>
              <w:t>5,054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19,559</w:t>
            </w:r>
          </w:p>
        </w:tc>
      </w:tr>
      <w:tr>
        <w:trPr>
          <w:trHeight w:val="238"/>
        </w:trPr>
        <w:tc>
          <w:tcPr>
            <w:tcW w:w="3360" w:type="dxa"/>
            <w:vAlign w:val="bottom"/>
          </w:tcPr>
          <w:p>
            <w:pPr>
              <w:spacing w:after="0"/>
              <w:rPr>
                <w:sz w:val="20"/>
                <w:szCs w:val="20"/>
                <w:color w:val="auto"/>
              </w:rPr>
            </w:pPr>
            <w:r>
              <w:rPr>
                <w:rFonts w:ascii="Arial" w:cs="Arial" w:eastAsia="Arial" w:hAnsi="Arial"/>
                <w:sz w:val="19"/>
                <w:szCs w:val="19"/>
                <w:b w:val="1"/>
                <w:bCs w:val="1"/>
                <w:color w:val="231F20"/>
              </w:rPr>
              <w:t>Total warrant liabilities</w:t>
            </w:r>
          </w:p>
        </w:tc>
        <w:tc>
          <w:tcPr>
            <w:tcW w:w="1820" w:type="dxa"/>
            <w:vAlign w:val="bottom"/>
          </w:tcPr>
          <w:p>
            <w:pPr>
              <w:jc w:val="right"/>
              <w:ind w:right="63"/>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3"/>
              <w:spacing w:after="0"/>
              <w:rPr>
                <w:sz w:val="20"/>
                <w:szCs w:val="20"/>
                <w:color w:val="auto"/>
              </w:rPr>
            </w:pPr>
            <w:r>
              <w:rPr>
                <w:rFonts w:ascii="Arial" w:cs="Arial" w:eastAsia="Arial" w:hAnsi="Arial"/>
                <w:sz w:val="19"/>
                <w:szCs w:val="19"/>
                <w:b w:val="1"/>
                <w:bCs w:val="1"/>
                <w:color w:val="231F20"/>
              </w:rPr>
              <w:t>29,856</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200" w:type="dxa"/>
            <w:vAlign w:val="bottom"/>
          </w:tcPr>
          <w:p>
            <w:pPr>
              <w:jc w:val="right"/>
              <w:ind w:right="3"/>
              <w:spacing w:after="0"/>
              <w:rPr>
                <w:sz w:val="20"/>
                <w:szCs w:val="20"/>
                <w:color w:val="auto"/>
              </w:rPr>
            </w:pPr>
            <w:r>
              <w:rPr>
                <w:rFonts w:ascii="Arial" w:cs="Arial" w:eastAsia="Arial" w:hAnsi="Arial"/>
                <w:sz w:val="19"/>
                <w:szCs w:val="19"/>
                <w:b w:val="1"/>
                <w:bCs w:val="1"/>
                <w:color w:val="231F20"/>
              </w:rPr>
              <w:t>10,338</w:t>
            </w:r>
          </w:p>
        </w:tc>
        <w:tc>
          <w:tcPr>
            <w:tcW w:w="380" w:type="dxa"/>
            <w:vAlign w:val="bottom"/>
          </w:tcPr>
          <w:p>
            <w:pPr>
              <w:jc w:val="right"/>
              <w:ind w:right="63"/>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40,194</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5. Inventories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Inventory balances were as follows:</w:t>
      </w:r>
    </w:p>
    <w:p>
      <w:pPr>
        <w:spacing w:after="0" w:line="14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20" w:type="dxa"/>
            <w:vAlign w:val="bottom"/>
            <w:gridSpan w:val="3"/>
          </w:tcPr>
          <w:p>
            <w:pPr>
              <w:jc w:val="right"/>
              <w:ind w:right="267"/>
              <w:spacing w:after="0"/>
              <w:rPr>
                <w:sz w:val="20"/>
                <w:szCs w:val="20"/>
                <w:color w:val="auto"/>
              </w:rPr>
            </w:pPr>
            <w:r>
              <w:rPr>
                <w:rFonts w:ascii="Arial" w:cs="Arial" w:eastAsia="Arial" w:hAnsi="Arial"/>
                <w:sz w:val="16"/>
                <w:szCs w:val="16"/>
                <w:b w:val="1"/>
                <w:bCs w:val="1"/>
                <w:color w:val="231F20"/>
                <w:w w:val="96"/>
              </w:rPr>
              <w:t>As of December 31,</w:t>
            </w:r>
          </w:p>
        </w:tc>
      </w:tr>
      <w:tr>
        <w:trPr>
          <w:trHeight w:val="206"/>
        </w:trPr>
        <w:tc>
          <w:tcPr>
            <w:tcW w:w="2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jc w:val="right"/>
              <w:ind w:right="309"/>
              <w:spacing w:after="0"/>
              <w:rPr>
                <w:sz w:val="20"/>
                <w:szCs w:val="20"/>
                <w:color w:val="auto"/>
              </w:rPr>
            </w:pPr>
            <w:r>
              <w:rPr>
                <w:rFonts w:ascii="Arial" w:cs="Arial" w:eastAsia="Arial" w:hAnsi="Arial"/>
                <w:sz w:val="16"/>
                <w:szCs w:val="16"/>
                <w:b w:val="1"/>
                <w:bCs w:val="1"/>
                <w:color w:val="231F20"/>
              </w:rPr>
              <w:t>2025</w:t>
            </w:r>
          </w:p>
        </w:tc>
        <w:tc>
          <w:tcPr>
            <w:tcW w:w="280" w:type="dxa"/>
            <w:vAlign w:val="bottom"/>
          </w:tcPr>
          <w:p>
            <w:pPr>
              <w:spacing w:after="0"/>
              <w:rPr>
                <w:sz w:val="17"/>
                <w:szCs w:val="17"/>
                <w:color w:val="auto"/>
              </w:rPr>
            </w:pPr>
          </w:p>
        </w:tc>
        <w:tc>
          <w:tcPr>
            <w:tcW w:w="720" w:type="dxa"/>
            <w:vAlign w:val="bottom"/>
          </w:tcPr>
          <w:p>
            <w:pPr>
              <w:jc w:val="right"/>
              <w:ind w:right="207"/>
              <w:spacing w:after="0"/>
              <w:rPr>
                <w:sz w:val="20"/>
                <w:szCs w:val="20"/>
                <w:color w:val="auto"/>
              </w:rPr>
            </w:pPr>
            <w:r>
              <w:rPr>
                <w:rFonts w:ascii="Arial" w:cs="Arial" w:eastAsia="Arial" w:hAnsi="Arial"/>
                <w:sz w:val="16"/>
                <w:szCs w:val="16"/>
                <w:b w:val="1"/>
                <w:bCs w:val="1"/>
                <w:color w:val="231F20"/>
              </w:rPr>
              <w:t>2024</w:t>
            </w:r>
          </w:p>
        </w:tc>
      </w:tr>
      <w:tr>
        <w:trPr>
          <w:trHeight w:val="253"/>
        </w:trPr>
        <w:tc>
          <w:tcPr>
            <w:tcW w:w="2780" w:type="dxa"/>
            <w:vAlign w:val="bottom"/>
          </w:tcPr>
          <w:p>
            <w:pPr>
              <w:spacing w:after="0"/>
              <w:rPr>
                <w:sz w:val="20"/>
                <w:szCs w:val="20"/>
                <w:color w:val="auto"/>
              </w:rPr>
            </w:pPr>
            <w:r>
              <w:rPr>
                <w:rFonts w:ascii="Arial" w:cs="Arial" w:eastAsia="Arial" w:hAnsi="Arial"/>
                <w:sz w:val="19"/>
                <w:szCs w:val="19"/>
                <w:b w:val="1"/>
                <w:bCs w:val="1"/>
                <w:color w:val="231F20"/>
              </w:rPr>
              <w:t>Finished Goods</w:t>
            </w:r>
          </w:p>
        </w:tc>
        <w:tc>
          <w:tcPr>
            <w:tcW w:w="16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ind w:right="9"/>
              <w:spacing w:after="0"/>
              <w:rPr>
                <w:sz w:val="20"/>
                <w:szCs w:val="20"/>
                <w:color w:val="auto"/>
              </w:rPr>
            </w:pPr>
            <w:r>
              <w:rPr>
                <w:rFonts w:ascii="Arial" w:cs="Arial" w:eastAsia="Arial" w:hAnsi="Arial"/>
                <w:sz w:val="19"/>
                <w:szCs w:val="19"/>
                <w:b w:val="1"/>
                <w:bCs w:val="1"/>
                <w:color w:val="231F20"/>
              </w:rPr>
              <w:t>4,622</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2,936</w:t>
            </w:r>
          </w:p>
        </w:tc>
      </w:tr>
      <w:tr>
        <w:trPr>
          <w:trHeight w:val="235"/>
        </w:trPr>
        <w:tc>
          <w:tcPr>
            <w:tcW w:w="2780" w:type="dxa"/>
            <w:vAlign w:val="bottom"/>
          </w:tcPr>
          <w:p>
            <w:pPr>
              <w:spacing w:after="0"/>
              <w:rPr>
                <w:sz w:val="20"/>
                <w:szCs w:val="20"/>
                <w:color w:val="auto"/>
              </w:rPr>
            </w:pPr>
            <w:r>
              <w:rPr>
                <w:rFonts w:ascii="Arial" w:cs="Arial" w:eastAsia="Arial" w:hAnsi="Arial"/>
                <w:sz w:val="19"/>
                <w:szCs w:val="19"/>
                <w:b w:val="1"/>
                <w:bCs w:val="1"/>
                <w:color w:val="231F20"/>
              </w:rPr>
              <w:t>Work-in-process</w:t>
            </w:r>
          </w:p>
        </w:tc>
        <w:tc>
          <w:tcPr>
            <w:tcW w:w="1680" w:type="dxa"/>
            <w:vAlign w:val="bottom"/>
          </w:tcPr>
          <w:p>
            <w:pPr>
              <w:spacing w:after="0"/>
              <w:rPr>
                <w:sz w:val="20"/>
                <w:szCs w:val="20"/>
                <w:color w:val="auto"/>
              </w:rPr>
            </w:pPr>
          </w:p>
        </w:tc>
        <w:tc>
          <w:tcPr>
            <w:tcW w:w="820" w:type="dxa"/>
            <w:vAlign w:val="bottom"/>
          </w:tcPr>
          <w:p>
            <w:pPr>
              <w:jc w:val="right"/>
              <w:ind w:right="9"/>
              <w:spacing w:after="0"/>
              <w:rPr>
                <w:sz w:val="20"/>
                <w:szCs w:val="20"/>
                <w:color w:val="auto"/>
              </w:rPr>
            </w:pPr>
            <w:r>
              <w:rPr>
                <w:rFonts w:ascii="Arial" w:cs="Arial" w:eastAsia="Arial" w:hAnsi="Arial"/>
                <w:sz w:val="19"/>
                <w:szCs w:val="19"/>
                <w:b w:val="1"/>
                <w:bCs w:val="1"/>
                <w:color w:val="231F20"/>
              </w:rPr>
              <w:t>4,153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1,292</w:t>
            </w:r>
          </w:p>
        </w:tc>
      </w:tr>
      <w:tr>
        <w:trPr>
          <w:trHeight w:val="238"/>
        </w:trPr>
        <w:tc>
          <w:tcPr>
            <w:tcW w:w="2780" w:type="dxa"/>
            <w:vAlign w:val="bottom"/>
          </w:tcPr>
          <w:p>
            <w:pPr>
              <w:spacing w:after="0"/>
              <w:rPr>
                <w:sz w:val="20"/>
                <w:szCs w:val="20"/>
                <w:color w:val="auto"/>
              </w:rPr>
            </w:pPr>
            <w:r>
              <w:rPr>
                <w:rFonts w:ascii="Arial" w:cs="Arial" w:eastAsia="Arial" w:hAnsi="Arial"/>
                <w:sz w:val="19"/>
                <w:szCs w:val="19"/>
                <w:b w:val="1"/>
                <w:bCs w:val="1"/>
                <w:color w:val="231F20"/>
              </w:rPr>
              <w:t>Raw Materials</w:t>
            </w:r>
          </w:p>
        </w:tc>
        <w:tc>
          <w:tcPr>
            <w:tcW w:w="1680" w:type="dxa"/>
            <w:vAlign w:val="bottom"/>
          </w:tcPr>
          <w:p>
            <w:pPr>
              <w:spacing w:after="0"/>
              <w:rPr>
                <w:sz w:val="20"/>
                <w:szCs w:val="20"/>
                <w:color w:val="auto"/>
              </w:rPr>
            </w:pPr>
          </w:p>
        </w:tc>
        <w:tc>
          <w:tcPr>
            <w:tcW w:w="820" w:type="dxa"/>
            <w:vAlign w:val="bottom"/>
          </w:tcPr>
          <w:p>
            <w:pPr>
              <w:jc w:val="right"/>
              <w:ind w:right="9"/>
              <w:spacing w:after="0"/>
              <w:rPr>
                <w:sz w:val="20"/>
                <w:szCs w:val="20"/>
                <w:color w:val="auto"/>
              </w:rPr>
            </w:pPr>
            <w:r>
              <w:rPr>
                <w:rFonts w:ascii="Arial" w:cs="Arial" w:eastAsia="Arial" w:hAnsi="Arial"/>
                <w:sz w:val="19"/>
                <w:szCs w:val="19"/>
                <w:b w:val="1"/>
                <w:bCs w:val="1"/>
                <w:color w:val="231F20"/>
              </w:rPr>
              <w:t>12,745</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7,200</w:t>
            </w:r>
          </w:p>
        </w:tc>
      </w:tr>
      <w:tr>
        <w:trPr>
          <w:trHeight w:val="252"/>
        </w:trPr>
        <w:tc>
          <w:tcPr>
            <w:tcW w:w="278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6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ind w:right="9"/>
              <w:spacing w:after="0"/>
              <w:rPr>
                <w:sz w:val="20"/>
                <w:szCs w:val="20"/>
                <w:color w:val="auto"/>
              </w:rPr>
            </w:pPr>
            <w:r>
              <w:rPr>
                <w:rFonts w:ascii="Arial" w:cs="Arial" w:eastAsia="Arial" w:hAnsi="Arial"/>
                <w:sz w:val="19"/>
                <w:szCs w:val="19"/>
                <w:b w:val="1"/>
                <w:bCs w:val="1"/>
                <w:color w:val="231F20"/>
              </w:rPr>
              <w:t>21,520</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11,428</w:t>
            </w:r>
          </w:p>
        </w:tc>
      </w:tr>
    </w:tbl>
    <w:p>
      <w:pPr>
        <w:spacing w:after="0" w:line="16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Write downs of inventories to net realizable value amounted to $0 and $94 for the years ended December 31, 2025 and 2024, respectively.</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6. Leases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Lessee Arrangements</w:t>
      </w:r>
    </w:p>
    <w:p>
      <w:pPr>
        <w:spacing w:after="0" w:line="128" w:lineRule="exact"/>
        <w:rPr>
          <w:sz w:val="20"/>
          <w:szCs w:val="20"/>
          <w:color w:val="auto"/>
        </w:rPr>
      </w:pPr>
    </w:p>
    <w:p>
      <w:pPr>
        <w:jc w:val="both"/>
        <w:ind w:left="140" w:right="140"/>
        <w:spacing w:after="0" w:line="302" w:lineRule="auto"/>
        <w:rPr>
          <w:sz w:val="20"/>
          <w:szCs w:val="20"/>
          <w:color w:val="auto"/>
        </w:rPr>
      </w:pPr>
      <w:r>
        <w:rPr>
          <w:rFonts w:ascii="Arial" w:cs="Arial" w:eastAsia="Arial" w:hAnsi="Arial"/>
          <w:sz w:val="16"/>
          <w:szCs w:val="16"/>
          <w:b w:val="1"/>
          <w:bCs w:val="1"/>
          <w:color w:val="231F20"/>
        </w:rPr>
        <w:t>The Company has an operating lease for its corporate office. In September 2025, the Company amended the lease to clarify the timing of access and rent payments for additional space in the building. The lease amendment constituted a modification as it changed the amount and timing of the consideration, which required evaluation of the remeasurement of the lease liability and corresponding right-of-use-asset. The reassessment resulted in continuing to</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F-21</w:t>
      </w:r>
    </w:p>
    <w:p>
      <w:pPr>
        <w:sectPr>
          <w:pgSz w:w="12240" w:h="15840" w:orient="portrait"/>
          <w:cols w:equalWidth="0" w:num="1">
            <w:col w:w="9360"/>
          </w:cols>
          <w:pgMar w:left="1440" w:top="1440" w:right="1440" w:bottom="390" w:gutter="0" w:footer="0" w:header="0"/>
          <w:type w:val="continuous"/>
        </w:sectPr>
      </w:pPr>
    </w:p>
    <w:bookmarkStart w:id="123" w:name="page124"/>
    <w:bookmarkEnd w:id="123"/>
    <w:p>
      <w:pPr>
        <w:spacing w:after="0" w:line="343"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classify the lease as an operating lease and remeasurement of the lease liability on the basis of the payment terms and the incremental borrowing rate at the effective date of modification of 10%. The Company previously concluded the lease of additional space was treated as a separate lease and recorded when access to the new space was granted, which was September 2025.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operating lease has a remaining lease term of 3.4 years as of December 31, 2025. The Company also has an operating lease for office equipment.</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components of lease expense are as follows:</w:t>
      </w:r>
    </w:p>
    <w:p>
      <w:pPr>
        <w:spacing w:after="0" w:line="226"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3340" w:type="dxa"/>
            <w:vAlign w:val="bottom"/>
            <w:gridSpan w:val="4"/>
          </w:tcPr>
          <w:p>
            <w:pPr>
              <w:jc w:val="right"/>
              <w:ind w:right="48"/>
              <w:spacing w:after="0"/>
              <w:rPr>
                <w:sz w:val="20"/>
                <w:szCs w:val="20"/>
                <w:color w:val="auto"/>
              </w:rPr>
            </w:pPr>
            <w:r>
              <w:rPr>
                <w:rFonts w:ascii="Arial" w:cs="Arial" w:eastAsia="Arial" w:hAnsi="Arial"/>
                <w:sz w:val="16"/>
                <w:szCs w:val="16"/>
                <w:b w:val="1"/>
                <w:bCs w:val="1"/>
                <w:color w:val="231F20"/>
              </w:rPr>
              <w:t>Year Ended December 31,</w:t>
            </w:r>
          </w:p>
        </w:tc>
      </w:tr>
      <w:tr>
        <w:trPr>
          <w:trHeight w:val="206"/>
        </w:trPr>
        <w:tc>
          <w:tcPr>
            <w:tcW w:w="29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231F20"/>
              </w:rPr>
              <w:t>2025</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Arial" w:cs="Arial" w:eastAsia="Arial" w:hAnsi="Arial"/>
                <w:sz w:val="16"/>
                <w:szCs w:val="16"/>
                <w:b w:val="1"/>
                <w:bCs w:val="1"/>
                <w:color w:val="231F20"/>
              </w:rPr>
              <w:t>2024</w:t>
            </w:r>
          </w:p>
        </w:tc>
      </w:tr>
      <w:tr>
        <w:trPr>
          <w:trHeight w:val="250"/>
        </w:trPr>
        <w:tc>
          <w:tcPr>
            <w:tcW w:w="2940" w:type="dxa"/>
            <w:vAlign w:val="bottom"/>
          </w:tcPr>
          <w:p>
            <w:pPr>
              <w:spacing w:after="0"/>
              <w:rPr>
                <w:sz w:val="20"/>
                <w:szCs w:val="20"/>
                <w:color w:val="auto"/>
              </w:rPr>
            </w:pPr>
            <w:r>
              <w:rPr>
                <w:rFonts w:ascii="Arial" w:cs="Arial" w:eastAsia="Arial" w:hAnsi="Arial"/>
                <w:sz w:val="19"/>
                <w:szCs w:val="19"/>
                <w:b w:val="1"/>
                <w:bCs w:val="1"/>
                <w:color w:val="231F20"/>
              </w:rPr>
              <w:t>Operating lease cost</w:t>
            </w:r>
          </w:p>
        </w:tc>
        <w:tc>
          <w:tcPr>
            <w:tcW w:w="1940" w:type="dxa"/>
            <w:vAlign w:val="bottom"/>
          </w:tcPr>
          <w:p>
            <w:pPr>
              <w:jc w:val="right"/>
              <w:ind w:right="432"/>
              <w:spacing w:after="0"/>
              <w:rPr>
                <w:sz w:val="20"/>
                <w:szCs w:val="20"/>
                <w:color w:val="auto"/>
              </w:rPr>
            </w:pPr>
            <w:r>
              <w:rPr>
                <w:rFonts w:ascii="Arial" w:cs="Arial" w:eastAsia="Arial" w:hAnsi="Arial"/>
                <w:sz w:val="19"/>
                <w:szCs w:val="19"/>
                <w:b w:val="1"/>
                <w:bCs w:val="1"/>
                <w:color w:val="231F20"/>
              </w:rPr>
              <w:t>$</w:t>
            </w:r>
          </w:p>
        </w:tc>
        <w:tc>
          <w:tcPr>
            <w:tcW w:w="400" w:type="dxa"/>
            <w:vAlign w:val="bottom"/>
          </w:tcPr>
          <w:p>
            <w:pPr>
              <w:jc w:val="right"/>
              <w:ind w:right="3"/>
              <w:spacing w:after="0"/>
              <w:rPr>
                <w:sz w:val="20"/>
                <w:szCs w:val="20"/>
                <w:color w:val="auto"/>
              </w:rPr>
            </w:pPr>
            <w:r>
              <w:rPr>
                <w:rFonts w:ascii="Arial" w:cs="Arial" w:eastAsia="Arial" w:hAnsi="Arial"/>
                <w:sz w:val="19"/>
                <w:szCs w:val="19"/>
                <w:b w:val="1"/>
                <w:bCs w:val="1"/>
                <w:color w:val="231F20"/>
                <w:w w:val="88"/>
              </w:rPr>
              <w:t>633</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577</w:t>
            </w:r>
          </w:p>
        </w:tc>
      </w:tr>
      <w:tr>
        <w:trPr>
          <w:trHeight w:val="252"/>
        </w:trPr>
        <w:tc>
          <w:tcPr>
            <w:tcW w:w="2940" w:type="dxa"/>
            <w:vAlign w:val="bottom"/>
          </w:tcPr>
          <w:p>
            <w:pPr>
              <w:spacing w:after="0"/>
              <w:rPr>
                <w:sz w:val="20"/>
                <w:szCs w:val="20"/>
                <w:color w:val="auto"/>
              </w:rPr>
            </w:pPr>
            <w:r>
              <w:rPr>
                <w:rFonts w:ascii="Arial" w:cs="Arial" w:eastAsia="Arial" w:hAnsi="Arial"/>
                <w:sz w:val="19"/>
                <w:szCs w:val="19"/>
                <w:b w:val="1"/>
                <w:bCs w:val="1"/>
                <w:color w:val="231F20"/>
              </w:rPr>
              <w:t>Short-term lease cost</w:t>
            </w:r>
          </w:p>
        </w:tc>
        <w:tc>
          <w:tcPr>
            <w:tcW w:w="1940" w:type="dxa"/>
            <w:vAlign w:val="bottom"/>
          </w:tcPr>
          <w:p>
            <w:pPr>
              <w:spacing w:after="0"/>
              <w:rPr>
                <w:sz w:val="21"/>
                <w:szCs w:val="21"/>
                <w:color w:val="auto"/>
              </w:rPr>
            </w:pPr>
          </w:p>
        </w:tc>
        <w:tc>
          <w:tcPr>
            <w:tcW w:w="400" w:type="dxa"/>
            <w:vAlign w:val="bottom"/>
          </w:tcPr>
          <w:p>
            <w:pPr>
              <w:jc w:val="right"/>
              <w:ind w:right="3"/>
              <w:spacing w:after="0"/>
              <w:rPr>
                <w:sz w:val="20"/>
                <w:szCs w:val="20"/>
                <w:color w:val="auto"/>
              </w:rPr>
            </w:pPr>
            <w:r>
              <w:rPr>
                <w:rFonts w:ascii="Arial" w:cs="Arial" w:eastAsia="Arial" w:hAnsi="Arial"/>
                <w:sz w:val="19"/>
                <w:szCs w:val="19"/>
                <w:b w:val="1"/>
                <w:bCs w:val="1"/>
                <w:color w:val="231F20"/>
              </w:rPr>
              <w:t>78</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69</w:t>
            </w:r>
          </w:p>
        </w:tc>
      </w:tr>
      <w:tr>
        <w:trPr>
          <w:trHeight w:val="250"/>
        </w:trPr>
        <w:tc>
          <w:tcPr>
            <w:tcW w:w="2940" w:type="dxa"/>
            <w:vAlign w:val="bottom"/>
          </w:tcPr>
          <w:p>
            <w:pPr>
              <w:spacing w:after="0"/>
              <w:rPr>
                <w:sz w:val="20"/>
                <w:szCs w:val="20"/>
                <w:color w:val="auto"/>
              </w:rPr>
            </w:pPr>
            <w:r>
              <w:rPr>
                <w:rFonts w:ascii="Arial" w:cs="Arial" w:eastAsia="Arial" w:hAnsi="Arial"/>
                <w:sz w:val="19"/>
                <w:szCs w:val="19"/>
                <w:b w:val="1"/>
                <w:bCs w:val="1"/>
                <w:color w:val="231F20"/>
              </w:rPr>
              <w:t>Total lease cost</w:t>
            </w:r>
          </w:p>
        </w:tc>
        <w:tc>
          <w:tcPr>
            <w:tcW w:w="1940" w:type="dxa"/>
            <w:vAlign w:val="bottom"/>
          </w:tcPr>
          <w:p>
            <w:pPr>
              <w:jc w:val="right"/>
              <w:ind w:right="432"/>
              <w:spacing w:after="0"/>
              <w:rPr>
                <w:sz w:val="20"/>
                <w:szCs w:val="20"/>
                <w:color w:val="auto"/>
              </w:rPr>
            </w:pPr>
            <w:r>
              <w:rPr>
                <w:rFonts w:ascii="Arial" w:cs="Arial" w:eastAsia="Arial" w:hAnsi="Arial"/>
                <w:sz w:val="19"/>
                <w:szCs w:val="19"/>
                <w:b w:val="1"/>
                <w:bCs w:val="1"/>
                <w:color w:val="231F20"/>
              </w:rPr>
              <w:t>$</w:t>
            </w:r>
          </w:p>
        </w:tc>
        <w:tc>
          <w:tcPr>
            <w:tcW w:w="400" w:type="dxa"/>
            <w:vAlign w:val="bottom"/>
          </w:tcPr>
          <w:p>
            <w:pPr>
              <w:jc w:val="right"/>
              <w:ind w:right="3"/>
              <w:spacing w:after="0"/>
              <w:rPr>
                <w:sz w:val="20"/>
                <w:szCs w:val="20"/>
                <w:color w:val="auto"/>
              </w:rPr>
            </w:pPr>
            <w:r>
              <w:rPr>
                <w:rFonts w:ascii="Arial" w:cs="Arial" w:eastAsia="Arial" w:hAnsi="Arial"/>
                <w:sz w:val="19"/>
                <w:szCs w:val="19"/>
                <w:b w:val="1"/>
                <w:bCs w:val="1"/>
                <w:color w:val="231F20"/>
                <w:w w:val="88"/>
              </w:rPr>
              <w:t>711</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-621030</wp:posOffset>
            </wp:positionV>
            <wp:extent cx="4639945" cy="6430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39945" cy="6430645"/>
                    </a:xfrm>
                    <a:prstGeom prst="rect">
                      <a:avLst/>
                    </a:prstGeom>
                    <a:noFill/>
                  </pic:spPr>
                </pic:pic>
              </a:graphicData>
            </a:graphic>
          </wp:anchor>
        </w:drawing>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Supplemental cash flow information related to leases, including the lease modification, is as follows:</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right"/>
              <w:ind w:right="49"/>
              <w:spacing w:after="0"/>
              <w:rPr>
                <w:sz w:val="20"/>
                <w:szCs w:val="20"/>
                <w:color w:val="auto"/>
              </w:rPr>
            </w:pPr>
            <w:r>
              <w:rPr>
                <w:rFonts w:ascii="Arial" w:cs="Arial" w:eastAsia="Arial" w:hAnsi="Arial"/>
                <w:sz w:val="16"/>
                <w:szCs w:val="16"/>
                <w:b w:val="1"/>
                <w:bCs w:val="1"/>
                <w:color w:val="231F20"/>
                <w:w w:val="88"/>
              </w:rPr>
              <w:t>Year Ended December 31,</w:t>
            </w:r>
          </w:p>
        </w:tc>
      </w:tr>
      <w:tr>
        <w:trPr>
          <w:trHeight w:val="206"/>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231F20"/>
              </w:rPr>
              <w:t>2025</w:t>
            </w:r>
          </w:p>
        </w:tc>
        <w:tc>
          <w:tcPr>
            <w:tcW w:w="280" w:type="dxa"/>
            <w:vAlign w:val="bottom"/>
          </w:tcPr>
          <w:p>
            <w:pPr>
              <w:spacing w:after="0"/>
              <w:rPr>
                <w:sz w:val="17"/>
                <w:szCs w:val="17"/>
                <w:color w:val="auto"/>
              </w:rPr>
            </w:pPr>
          </w:p>
        </w:tc>
        <w:tc>
          <w:tcPr>
            <w:tcW w:w="720" w:type="dxa"/>
            <w:vAlign w:val="bottom"/>
          </w:tcPr>
          <w:p>
            <w:pPr>
              <w:jc w:val="right"/>
              <w:ind w:right="209"/>
              <w:spacing w:after="0"/>
              <w:rPr>
                <w:sz w:val="20"/>
                <w:szCs w:val="20"/>
                <w:color w:val="auto"/>
              </w:rPr>
            </w:pPr>
            <w:r>
              <w:rPr>
                <w:rFonts w:ascii="Arial" w:cs="Arial" w:eastAsia="Arial" w:hAnsi="Arial"/>
                <w:sz w:val="16"/>
                <w:szCs w:val="16"/>
                <w:b w:val="1"/>
                <w:bCs w:val="1"/>
                <w:color w:val="231F20"/>
              </w:rPr>
              <w:t>2024</w:t>
            </w:r>
          </w:p>
        </w:tc>
      </w:tr>
      <w:tr>
        <w:trPr>
          <w:trHeight w:val="253"/>
        </w:trPr>
        <w:tc>
          <w:tcPr>
            <w:tcW w:w="4140" w:type="dxa"/>
            <w:vAlign w:val="bottom"/>
          </w:tcPr>
          <w:p>
            <w:pPr>
              <w:spacing w:after="0"/>
              <w:rPr>
                <w:sz w:val="20"/>
                <w:szCs w:val="20"/>
                <w:color w:val="auto"/>
              </w:rPr>
            </w:pPr>
            <w:r>
              <w:rPr>
                <w:rFonts w:ascii="Arial" w:cs="Arial" w:eastAsia="Arial" w:hAnsi="Arial"/>
                <w:sz w:val="19"/>
                <w:szCs w:val="19"/>
                <w:b w:val="1"/>
                <w:bCs w:val="1"/>
                <w:color w:val="231F20"/>
                <w:w w:val="86"/>
              </w:rPr>
              <w:t>Cash paid for amounts included in the measurement</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3"/>
        </w:trPr>
        <w:tc>
          <w:tcPr>
            <w:tcW w:w="4140" w:type="dxa"/>
            <w:vAlign w:val="bottom"/>
          </w:tcPr>
          <w:p>
            <w:pPr>
              <w:ind w:left="140"/>
              <w:spacing w:after="0"/>
              <w:rPr>
                <w:sz w:val="20"/>
                <w:szCs w:val="20"/>
                <w:color w:val="auto"/>
              </w:rPr>
            </w:pPr>
            <w:r>
              <w:rPr>
                <w:rFonts w:ascii="Arial" w:cs="Arial" w:eastAsia="Arial" w:hAnsi="Arial"/>
                <w:sz w:val="19"/>
                <w:szCs w:val="19"/>
                <w:b w:val="1"/>
                <w:bCs w:val="1"/>
                <w:color w:val="231F20"/>
              </w:rPr>
              <w:t>of lease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5"/>
        </w:trPr>
        <w:tc>
          <w:tcPr>
            <w:tcW w:w="4140" w:type="dxa"/>
            <w:vAlign w:val="bottom"/>
          </w:tcPr>
          <w:p>
            <w:pPr>
              <w:spacing w:after="0"/>
              <w:rPr>
                <w:sz w:val="20"/>
                <w:szCs w:val="20"/>
                <w:color w:val="auto"/>
              </w:rPr>
            </w:pPr>
            <w:r>
              <w:rPr>
                <w:rFonts w:ascii="Arial" w:cs="Arial" w:eastAsia="Arial" w:hAnsi="Arial"/>
                <w:sz w:val="19"/>
                <w:szCs w:val="19"/>
                <w:b w:val="1"/>
                <w:bCs w:val="1"/>
                <w:color w:val="231F20"/>
              </w:rPr>
              <w:t>Operating cash flows from operating leases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12"/>
              <w:spacing w:after="0"/>
              <w:rPr>
                <w:sz w:val="20"/>
                <w:szCs w:val="20"/>
                <w:color w:val="auto"/>
              </w:rPr>
            </w:pPr>
            <w:r>
              <w:rPr>
                <w:rFonts w:ascii="Arial" w:cs="Arial" w:eastAsia="Arial" w:hAnsi="Arial"/>
                <w:sz w:val="19"/>
                <w:szCs w:val="19"/>
                <w:b w:val="1"/>
                <w:bCs w:val="1"/>
                <w:color w:val="231F20"/>
              </w:rPr>
              <w:t>591</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575</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w w:val="89"/>
              </w:rPr>
              <w:t>Right-of-use-assets obtained in exchange for lease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4140" w:type="dxa"/>
            <w:vAlign w:val="bottom"/>
          </w:tcPr>
          <w:p>
            <w:pPr>
              <w:ind w:left="140"/>
              <w:spacing w:after="0"/>
              <w:rPr>
                <w:sz w:val="20"/>
                <w:szCs w:val="20"/>
                <w:color w:val="auto"/>
              </w:rPr>
            </w:pPr>
            <w:r>
              <w:rPr>
                <w:rFonts w:ascii="Arial" w:cs="Arial" w:eastAsia="Arial" w:hAnsi="Arial"/>
                <w:sz w:val="19"/>
                <w:szCs w:val="19"/>
                <w:b w:val="1"/>
                <w:bCs w:val="1"/>
                <w:color w:val="231F20"/>
              </w:rPr>
              <w:t>obligations: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5"/>
        </w:trPr>
        <w:tc>
          <w:tcPr>
            <w:tcW w:w="4140" w:type="dxa"/>
            <w:vAlign w:val="bottom"/>
          </w:tcPr>
          <w:p>
            <w:pPr>
              <w:spacing w:after="0"/>
              <w:rPr>
                <w:sz w:val="20"/>
                <w:szCs w:val="20"/>
                <w:color w:val="auto"/>
              </w:rPr>
            </w:pPr>
            <w:r>
              <w:rPr>
                <w:rFonts w:ascii="Arial" w:cs="Arial" w:eastAsia="Arial" w:hAnsi="Arial"/>
                <w:sz w:val="19"/>
                <w:szCs w:val="19"/>
                <w:b w:val="1"/>
                <w:bCs w:val="1"/>
                <w:color w:val="231F20"/>
              </w:rPr>
              <w:t>Operating leases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12"/>
              <w:spacing w:after="0"/>
              <w:rPr>
                <w:sz w:val="20"/>
                <w:szCs w:val="20"/>
                <w:color w:val="auto"/>
              </w:rPr>
            </w:pPr>
            <w:r>
              <w:rPr>
                <w:rFonts w:ascii="Arial" w:cs="Arial" w:eastAsia="Arial" w:hAnsi="Arial"/>
                <w:sz w:val="19"/>
                <w:szCs w:val="19"/>
                <w:b w:val="1"/>
                <w:bCs w:val="1"/>
                <w:color w:val="231F20"/>
              </w:rPr>
              <w:t>631</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863</w:t>
            </w:r>
          </w:p>
        </w:tc>
      </w:tr>
    </w:tbl>
    <w:p>
      <w:pPr>
        <w:spacing w:after="0" w:line="279" w:lineRule="exact"/>
        <w:rPr>
          <w:sz w:val="20"/>
          <w:szCs w:val="20"/>
          <w:color w:val="auto"/>
        </w:rPr>
      </w:pPr>
    </w:p>
    <w:p>
      <w:pPr>
        <w:ind w:left="140" w:right="140"/>
        <w:spacing w:after="0" w:line="218" w:lineRule="exact"/>
        <w:rPr>
          <w:sz w:val="20"/>
          <w:szCs w:val="20"/>
          <w:color w:val="auto"/>
        </w:rPr>
      </w:pPr>
      <w:r>
        <w:rPr>
          <w:rFonts w:ascii="Arial" w:cs="Arial" w:eastAsia="Arial" w:hAnsi="Arial"/>
          <w:sz w:val="18"/>
          <w:szCs w:val="18"/>
          <w:b w:val="1"/>
          <w:bCs w:val="1"/>
          <w:color w:val="231F20"/>
        </w:rPr>
        <w:t>The following table presents the lease balances within the balance sheet, weighted-average remaining lease term, and weighted-average discount rates related to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operating leases:</w:t>
      </w:r>
    </w:p>
    <w:p>
      <w:pPr>
        <w:spacing w:after="0" w:line="224"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jc w:val="right"/>
              <w:ind w:right="486"/>
              <w:spacing w:after="0"/>
              <w:rPr>
                <w:sz w:val="20"/>
                <w:szCs w:val="20"/>
                <w:color w:val="auto"/>
              </w:rPr>
            </w:pPr>
            <w:r>
              <w:rPr>
                <w:rFonts w:ascii="Arial" w:cs="Arial" w:eastAsia="Arial" w:hAnsi="Arial"/>
                <w:sz w:val="16"/>
                <w:szCs w:val="16"/>
                <w:b w:val="1"/>
                <w:bCs w:val="1"/>
                <w:color w:val="231F20"/>
              </w:rPr>
              <w:t>As of December 31,</w:t>
            </w:r>
          </w:p>
        </w:tc>
      </w:tr>
      <w:tr>
        <w:trPr>
          <w:trHeight w:val="206"/>
        </w:trPr>
        <w:tc>
          <w:tcPr>
            <w:tcW w:w="3200" w:type="dxa"/>
            <w:vAlign w:val="bottom"/>
          </w:tcPr>
          <w:p>
            <w:pPr>
              <w:spacing w:after="0"/>
              <w:rPr>
                <w:sz w:val="20"/>
                <w:szCs w:val="20"/>
                <w:color w:val="auto"/>
              </w:rPr>
            </w:pPr>
            <w:r>
              <w:rPr>
                <w:rFonts w:ascii="Arial" w:cs="Arial" w:eastAsia="Arial" w:hAnsi="Arial"/>
                <w:sz w:val="16"/>
                <w:szCs w:val="16"/>
                <w:b w:val="1"/>
                <w:bCs w:val="1"/>
                <w:color w:val="231F20"/>
              </w:rPr>
              <w:t>Operating Leases</w:t>
            </w:r>
          </w:p>
        </w:tc>
        <w:tc>
          <w:tcPr>
            <w:tcW w:w="1540" w:type="dxa"/>
            <w:vAlign w:val="bottom"/>
          </w:tcPr>
          <w:p>
            <w:pPr>
              <w:ind w:left="420"/>
              <w:spacing w:after="0"/>
              <w:rPr>
                <w:sz w:val="20"/>
                <w:szCs w:val="20"/>
                <w:color w:val="auto"/>
              </w:rPr>
            </w:pPr>
            <w:r>
              <w:rPr>
                <w:rFonts w:ascii="Arial" w:cs="Arial" w:eastAsia="Arial" w:hAnsi="Arial"/>
                <w:sz w:val="16"/>
                <w:szCs w:val="16"/>
                <w:b w:val="1"/>
                <w:bCs w:val="1"/>
                <w:color w:val="231F20"/>
              </w:rPr>
              <w:t>Classification</w:t>
            </w:r>
          </w:p>
        </w:tc>
        <w:tc>
          <w:tcPr>
            <w:tcW w:w="38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Arial" w:cs="Arial" w:eastAsia="Arial" w:hAnsi="Arial"/>
                <w:sz w:val="16"/>
                <w:szCs w:val="16"/>
                <w:b w:val="1"/>
                <w:bCs w:val="1"/>
                <w:color w:val="231F20"/>
              </w:rPr>
              <w:t>2025</w:t>
            </w:r>
          </w:p>
        </w:tc>
        <w:tc>
          <w:tcPr>
            <w:tcW w:w="220" w:type="dxa"/>
            <w:vAlign w:val="bottom"/>
          </w:tcPr>
          <w:p>
            <w:pPr>
              <w:spacing w:after="0"/>
              <w:rPr>
                <w:sz w:val="17"/>
                <w:szCs w:val="17"/>
                <w:color w:val="auto"/>
              </w:rPr>
            </w:pPr>
          </w:p>
        </w:tc>
        <w:tc>
          <w:tcPr>
            <w:tcW w:w="920" w:type="dxa"/>
            <w:vAlign w:val="bottom"/>
          </w:tcPr>
          <w:p>
            <w:pPr>
              <w:jc w:val="right"/>
              <w:ind w:right="366"/>
              <w:spacing w:after="0"/>
              <w:rPr>
                <w:sz w:val="20"/>
                <w:szCs w:val="20"/>
                <w:color w:val="auto"/>
              </w:rPr>
            </w:pPr>
            <w:r>
              <w:rPr>
                <w:rFonts w:ascii="Arial" w:cs="Arial" w:eastAsia="Arial" w:hAnsi="Arial"/>
                <w:sz w:val="16"/>
                <w:szCs w:val="16"/>
                <w:b w:val="1"/>
                <w:bCs w:val="1"/>
                <w:color w:val="231F20"/>
              </w:rPr>
              <w:t>2024</w:t>
            </w:r>
          </w:p>
        </w:tc>
      </w:tr>
      <w:tr>
        <w:trPr>
          <w:trHeight w:val="253"/>
        </w:trPr>
        <w:tc>
          <w:tcPr>
            <w:tcW w:w="3200" w:type="dxa"/>
            <w:vAlign w:val="bottom"/>
          </w:tcPr>
          <w:p>
            <w:pPr>
              <w:spacing w:after="0"/>
              <w:rPr>
                <w:sz w:val="20"/>
                <w:szCs w:val="20"/>
                <w:color w:val="auto"/>
              </w:rPr>
            </w:pPr>
            <w:r>
              <w:rPr>
                <w:rFonts w:ascii="Arial" w:cs="Arial" w:eastAsia="Arial" w:hAnsi="Arial"/>
                <w:sz w:val="19"/>
                <w:szCs w:val="19"/>
                <w:b w:val="1"/>
                <w:bCs w:val="1"/>
                <w:color w:val="231F20"/>
              </w:rPr>
              <w:t>Operating lease ROU assets</w:t>
            </w:r>
          </w:p>
        </w:tc>
        <w:tc>
          <w:tcPr>
            <w:tcW w:w="1540" w:type="dxa"/>
            <w:vAlign w:val="bottom"/>
          </w:tcPr>
          <w:p>
            <w:pPr>
              <w:ind w:left="80"/>
              <w:spacing w:after="0"/>
              <w:rPr>
                <w:sz w:val="20"/>
                <w:szCs w:val="20"/>
                <w:color w:val="auto"/>
              </w:rPr>
            </w:pPr>
            <w:r>
              <w:rPr>
                <w:rFonts w:ascii="Arial" w:cs="Arial" w:eastAsia="Arial" w:hAnsi="Arial"/>
                <w:sz w:val="19"/>
                <w:szCs w:val="19"/>
                <w:b w:val="1"/>
                <w:bCs w:val="1"/>
                <w:color w:val="231F20"/>
              </w:rPr>
              <w:t>Other assets</w:t>
            </w:r>
          </w:p>
        </w:tc>
        <w:tc>
          <w:tcPr>
            <w:tcW w:w="3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48"/>
              <w:spacing w:after="0"/>
              <w:rPr>
                <w:sz w:val="20"/>
                <w:szCs w:val="20"/>
                <w:color w:val="auto"/>
              </w:rPr>
            </w:pPr>
            <w:r>
              <w:rPr>
                <w:rFonts w:ascii="Arial" w:cs="Arial" w:eastAsia="Arial" w:hAnsi="Arial"/>
                <w:sz w:val="19"/>
                <w:szCs w:val="19"/>
                <w:b w:val="1"/>
                <w:bCs w:val="1"/>
                <w:color w:val="231F20"/>
              </w:rPr>
              <w:t>2,556</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86"/>
              <w:spacing w:after="0"/>
              <w:rPr>
                <w:sz w:val="20"/>
                <w:szCs w:val="20"/>
                <w:color w:val="auto"/>
              </w:rPr>
            </w:pPr>
            <w:r>
              <w:rPr>
                <w:rFonts w:ascii="Arial" w:cs="Arial" w:eastAsia="Arial" w:hAnsi="Arial"/>
                <w:sz w:val="19"/>
                <w:szCs w:val="19"/>
                <w:b w:val="1"/>
                <w:bCs w:val="1"/>
                <w:color w:val="231F20"/>
              </w:rPr>
              <w:t>2,466</w:t>
            </w:r>
          </w:p>
        </w:tc>
      </w:tr>
      <w:tr>
        <w:trPr>
          <w:trHeight w:val="516"/>
        </w:trPr>
        <w:tc>
          <w:tcPr>
            <w:tcW w:w="3200" w:type="dxa"/>
            <w:vAlign w:val="bottom"/>
          </w:tcPr>
          <w:p>
            <w:pPr>
              <w:spacing w:after="0"/>
              <w:rPr>
                <w:sz w:val="20"/>
                <w:szCs w:val="20"/>
                <w:color w:val="auto"/>
              </w:rPr>
            </w:pPr>
            <w:r>
              <w:rPr>
                <w:rFonts w:ascii="Arial" w:cs="Arial" w:eastAsia="Arial" w:hAnsi="Arial"/>
                <w:sz w:val="19"/>
                <w:szCs w:val="19"/>
                <w:b w:val="1"/>
                <w:bCs w:val="1"/>
                <w:color w:val="231F20"/>
              </w:rPr>
              <w:t>Operating lease liabilities, current</w:t>
            </w:r>
          </w:p>
        </w:tc>
        <w:tc>
          <w:tcPr>
            <w:tcW w:w="1540" w:type="dxa"/>
            <w:vAlign w:val="bottom"/>
          </w:tcPr>
          <w:p>
            <w:pPr>
              <w:ind w:left="80"/>
              <w:spacing w:after="0"/>
              <w:rPr>
                <w:sz w:val="20"/>
                <w:szCs w:val="20"/>
                <w:color w:val="auto"/>
              </w:rPr>
            </w:pPr>
            <w:r>
              <w:rPr>
                <w:rFonts w:ascii="Arial" w:cs="Arial" w:eastAsia="Arial" w:hAnsi="Arial"/>
                <w:sz w:val="19"/>
                <w:szCs w:val="19"/>
                <w:b w:val="1"/>
                <w:bCs w:val="1"/>
                <w:color w:val="231F20"/>
              </w:rPr>
              <w:t>Operating lease</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3"/>
        </w:trPr>
        <w:tc>
          <w:tcPr>
            <w:tcW w:w="3200" w:type="dxa"/>
            <w:vAlign w:val="bottom"/>
          </w:tcPr>
          <w:p>
            <w:pPr>
              <w:spacing w:after="0"/>
              <w:rPr>
                <w:sz w:val="19"/>
                <w:szCs w:val="19"/>
                <w:color w:val="auto"/>
              </w:rPr>
            </w:pPr>
          </w:p>
        </w:tc>
        <w:tc>
          <w:tcPr>
            <w:tcW w:w="1540" w:type="dxa"/>
            <w:vAlign w:val="bottom"/>
          </w:tcPr>
          <w:p>
            <w:pPr>
              <w:ind w:left="80"/>
              <w:spacing w:after="0"/>
              <w:rPr>
                <w:sz w:val="20"/>
                <w:szCs w:val="20"/>
                <w:color w:val="auto"/>
              </w:rPr>
            </w:pPr>
            <w:r>
              <w:rPr>
                <w:rFonts w:ascii="Arial" w:cs="Arial" w:eastAsia="Arial" w:hAnsi="Arial"/>
                <w:sz w:val="19"/>
                <w:szCs w:val="19"/>
                <w:b w:val="1"/>
                <w:bCs w:val="1"/>
                <w:color w:val="231F20"/>
              </w:rPr>
              <w:t>liabilities</w:t>
            </w:r>
          </w:p>
        </w:tc>
        <w:tc>
          <w:tcPr>
            <w:tcW w:w="3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48"/>
              <w:spacing w:after="0"/>
              <w:rPr>
                <w:sz w:val="20"/>
                <w:szCs w:val="20"/>
                <w:color w:val="auto"/>
              </w:rPr>
            </w:pPr>
            <w:r>
              <w:rPr>
                <w:rFonts w:ascii="Arial" w:cs="Arial" w:eastAsia="Arial" w:hAnsi="Arial"/>
                <w:sz w:val="19"/>
                <w:szCs w:val="19"/>
                <w:b w:val="1"/>
                <w:bCs w:val="1"/>
                <w:color w:val="231F20"/>
              </w:rPr>
              <w:t>747</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86"/>
              <w:spacing w:after="0"/>
              <w:rPr>
                <w:sz w:val="20"/>
                <w:szCs w:val="20"/>
                <w:color w:val="auto"/>
              </w:rPr>
            </w:pPr>
            <w:r>
              <w:rPr>
                <w:rFonts w:ascii="Arial" w:cs="Arial" w:eastAsia="Arial" w:hAnsi="Arial"/>
                <w:sz w:val="19"/>
                <w:szCs w:val="19"/>
                <w:b w:val="1"/>
                <w:bCs w:val="1"/>
                <w:color w:val="231F20"/>
              </w:rPr>
              <w:t>524</w:t>
            </w:r>
          </w:p>
        </w:tc>
      </w:tr>
      <w:tr>
        <w:trPr>
          <w:trHeight w:val="238"/>
        </w:trPr>
        <w:tc>
          <w:tcPr>
            <w:tcW w:w="3200" w:type="dxa"/>
            <w:vAlign w:val="bottom"/>
          </w:tcPr>
          <w:p>
            <w:pPr>
              <w:spacing w:after="0"/>
              <w:rPr>
                <w:sz w:val="20"/>
                <w:szCs w:val="20"/>
                <w:color w:val="auto"/>
              </w:rPr>
            </w:pPr>
            <w:r>
              <w:rPr>
                <w:rFonts w:ascii="Arial" w:cs="Arial" w:eastAsia="Arial" w:hAnsi="Arial"/>
                <w:sz w:val="19"/>
                <w:szCs w:val="19"/>
                <w:b w:val="1"/>
                <w:bCs w:val="1"/>
                <w:color w:val="231F20"/>
                <w:w w:val="97"/>
              </w:rPr>
              <w:t>Operating lease liabilities, long-term</w:t>
            </w:r>
          </w:p>
        </w:tc>
        <w:tc>
          <w:tcPr>
            <w:tcW w:w="1540" w:type="dxa"/>
            <w:vAlign w:val="bottom"/>
          </w:tcPr>
          <w:p>
            <w:pPr>
              <w:ind w:left="80"/>
              <w:spacing w:after="0"/>
              <w:rPr>
                <w:sz w:val="20"/>
                <w:szCs w:val="20"/>
                <w:color w:val="auto"/>
              </w:rPr>
            </w:pPr>
            <w:r>
              <w:rPr>
                <w:rFonts w:ascii="Arial" w:cs="Arial" w:eastAsia="Arial" w:hAnsi="Arial"/>
                <w:sz w:val="19"/>
                <w:szCs w:val="19"/>
                <w:b w:val="1"/>
                <w:bCs w:val="1"/>
                <w:color w:val="231F20"/>
              </w:rPr>
              <w:t>Long-term</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1540" w:type="dxa"/>
            <w:vAlign w:val="bottom"/>
          </w:tcPr>
          <w:p>
            <w:pPr>
              <w:ind w:left="80"/>
              <w:spacing w:after="0"/>
              <w:rPr>
                <w:sz w:val="20"/>
                <w:szCs w:val="20"/>
                <w:color w:val="auto"/>
              </w:rPr>
            </w:pPr>
            <w:r>
              <w:rPr>
                <w:rFonts w:ascii="Arial" w:cs="Arial" w:eastAsia="Arial" w:hAnsi="Arial"/>
                <w:sz w:val="19"/>
                <w:szCs w:val="19"/>
                <w:b w:val="1"/>
                <w:bCs w:val="1"/>
                <w:color w:val="231F20"/>
              </w:rPr>
              <w:t>operating lease</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1540" w:type="dxa"/>
            <w:vAlign w:val="bottom"/>
          </w:tcPr>
          <w:p>
            <w:pPr>
              <w:ind w:left="80"/>
              <w:spacing w:after="0"/>
              <w:rPr>
                <w:sz w:val="20"/>
                <w:szCs w:val="20"/>
                <w:color w:val="auto"/>
              </w:rPr>
            </w:pPr>
            <w:r>
              <w:rPr>
                <w:rFonts w:ascii="Arial" w:cs="Arial" w:eastAsia="Arial" w:hAnsi="Arial"/>
                <w:sz w:val="19"/>
                <w:szCs w:val="19"/>
                <w:b w:val="1"/>
                <w:bCs w:val="1"/>
                <w:color w:val="231F20"/>
              </w:rPr>
              <w:t>liabilities</w:t>
            </w:r>
          </w:p>
        </w:tc>
        <w:tc>
          <w:tcPr>
            <w:tcW w:w="380" w:type="dxa"/>
            <w:vAlign w:val="bottom"/>
          </w:tcPr>
          <w:p>
            <w:pPr>
              <w:spacing w:after="0"/>
              <w:rPr>
                <w:sz w:val="19"/>
                <w:szCs w:val="19"/>
                <w:color w:val="auto"/>
              </w:rPr>
            </w:pPr>
          </w:p>
        </w:tc>
        <w:tc>
          <w:tcPr>
            <w:tcW w:w="980" w:type="dxa"/>
            <w:vAlign w:val="bottom"/>
          </w:tcPr>
          <w:p>
            <w:pPr>
              <w:jc w:val="right"/>
              <w:ind w:right="148"/>
              <w:spacing w:after="0"/>
              <w:rPr>
                <w:sz w:val="20"/>
                <w:szCs w:val="20"/>
                <w:color w:val="auto"/>
              </w:rPr>
            </w:pPr>
            <w:r>
              <w:rPr>
                <w:rFonts w:ascii="Arial" w:cs="Arial" w:eastAsia="Arial" w:hAnsi="Arial"/>
                <w:sz w:val="19"/>
                <w:szCs w:val="19"/>
                <w:b w:val="1"/>
                <w:bCs w:val="1"/>
                <w:color w:val="231F20"/>
              </w:rPr>
              <w:t>1,988</w:t>
            </w:r>
          </w:p>
        </w:tc>
        <w:tc>
          <w:tcPr>
            <w:tcW w:w="220" w:type="dxa"/>
            <w:vAlign w:val="bottom"/>
          </w:tcPr>
          <w:p>
            <w:pPr>
              <w:spacing w:after="0"/>
              <w:rPr>
                <w:sz w:val="19"/>
                <w:szCs w:val="19"/>
                <w:color w:val="auto"/>
              </w:rPr>
            </w:pPr>
          </w:p>
        </w:tc>
        <w:tc>
          <w:tcPr>
            <w:tcW w:w="920" w:type="dxa"/>
            <w:vAlign w:val="bottom"/>
          </w:tcPr>
          <w:p>
            <w:pPr>
              <w:jc w:val="right"/>
              <w:ind w:right="86"/>
              <w:spacing w:after="0"/>
              <w:rPr>
                <w:sz w:val="20"/>
                <w:szCs w:val="20"/>
                <w:color w:val="auto"/>
              </w:rPr>
            </w:pPr>
            <w:r>
              <w:rPr>
                <w:rFonts w:ascii="Arial" w:cs="Arial" w:eastAsia="Arial" w:hAnsi="Arial"/>
                <w:sz w:val="19"/>
                <w:szCs w:val="19"/>
                <w:b w:val="1"/>
                <w:bCs w:val="1"/>
                <w:color w:val="231F20"/>
              </w:rPr>
              <w:t>2,090</w:t>
            </w:r>
          </w:p>
        </w:tc>
      </w:tr>
      <w:tr>
        <w:trPr>
          <w:trHeight w:val="250"/>
        </w:trPr>
        <w:tc>
          <w:tcPr>
            <w:tcW w:w="3200" w:type="dxa"/>
            <w:vAlign w:val="bottom"/>
          </w:tcPr>
          <w:p>
            <w:pPr>
              <w:spacing w:after="0"/>
              <w:rPr>
                <w:sz w:val="20"/>
                <w:szCs w:val="20"/>
                <w:color w:val="auto"/>
              </w:rPr>
            </w:pPr>
            <w:r>
              <w:rPr>
                <w:rFonts w:ascii="Arial" w:cs="Arial" w:eastAsia="Arial" w:hAnsi="Arial"/>
                <w:sz w:val="19"/>
                <w:szCs w:val="19"/>
                <w:b w:val="1"/>
                <w:bCs w:val="1"/>
                <w:color w:val="231F20"/>
              </w:rPr>
              <w:t>Total operating lease liabilities</w:t>
            </w:r>
          </w:p>
        </w:tc>
        <w:tc>
          <w:tcPr>
            <w:tcW w:w="15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80" w:type="dxa"/>
            <w:vAlign w:val="bottom"/>
          </w:tcPr>
          <w:p>
            <w:pPr>
              <w:jc w:val="right"/>
              <w:ind w:right="148"/>
              <w:spacing w:after="0"/>
              <w:rPr>
                <w:sz w:val="20"/>
                <w:szCs w:val="20"/>
                <w:color w:val="auto"/>
              </w:rPr>
            </w:pPr>
            <w:r>
              <w:rPr>
                <w:rFonts w:ascii="Arial" w:cs="Arial" w:eastAsia="Arial" w:hAnsi="Arial"/>
                <w:sz w:val="19"/>
                <w:szCs w:val="19"/>
                <w:b w:val="1"/>
                <w:bCs w:val="1"/>
                <w:color w:val="231F20"/>
              </w:rPr>
              <w:t>2,735</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86"/>
              <w:spacing w:after="0"/>
              <w:rPr>
                <w:sz w:val="20"/>
                <w:szCs w:val="20"/>
                <w:color w:val="auto"/>
              </w:rPr>
            </w:pPr>
            <w:r>
              <w:rPr>
                <w:rFonts w:ascii="Arial" w:cs="Arial" w:eastAsia="Arial" w:hAnsi="Arial"/>
                <w:sz w:val="19"/>
                <w:szCs w:val="19"/>
                <w:b w:val="1"/>
                <w:bCs w:val="1"/>
                <w:color w:val="231F20"/>
              </w:rPr>
              <w:t>2,614</w:t>
            </w:r>
          </w:p>
        </w:tc>
      </w:tr>
      <w:tr>
        <w:trPr>
          <w:trHeight w:val="518"/>
        </w:trPr>
        <w:tc>
          <w:tcPr>
            <w:tcW w:w="3200" w:type="dxa"/>
            <w:vAlign w:val="bottom"/>
          </w:tcPr>
          <w:p>
            <w:pPr>
              <w:spacing w:after="0"/>
              <w:rPr>
                <w:sz w:val="20"/>
                <w:szCs w:val="20"/>
                <w:color w:val="auto"/>
              </w:rPr>
            </w:pPr>
            <w:r>
              <w:rPr>
                <w:rFonts w:ascii="Arial" w:cs="Arial" w:eastAsia="Arial" w:hAnsi="Arial"/>
                <w:sz w:val="19"/>
                <w:szCs w:val="19"/>
                <w:b w:val="1"/>
                <w:bCs w:val="1"/>
                <w:color w:val="231F20"/>
                <w:w w:val="88"/>
              </w:rPr>
              <w:t>Weighted-average remaining lease term</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Arial" w:cs="Arial" w:eastAsia="Arial" w:hAnsi="Arial"/>
                <w:sz w:val="19"/>
                <w:szCs w:val="19"/>
                <w:b w:val="1"/>
                <w:bCs w:val="1"/>
                <w:color w:val="231F20"/>
                <w:w w:val="88"/>
              </w:rPr>
              <w:t>3.4 years</w:t>
            </w:r>
          </w:p>
        </w:tc>
        <w:tc>
          <w:tcPr>
            <w:tcW w:w="220" w:type="dxa"/>
            <w:vAlign w:val="bottom"/>
          </w:tcPr>
          <w:p>
            <w:pPr>
              <w:spacing w:after="0"/>
              <w:rPr>
                <w:sz w:val="24"/>
                <w:szCs w:val="24"/>
                <w:color w:val="auto"/>
              </w:rPr>
            </w:pPr>
          </w:p>
        </w:tc>
        <w:tc>
          <w:tcPr>
            <w:tcW w:w="920" w:type="dxa"/>
            <w:vAlign w:val="bottom"/>
          </w:tcPr>
          <w:p>
            <w:pPr>
              <w:jc w:val="right"/>
              <w:ind w:right="86"/>
              <w:spacing w:after="0"/>
              <w:rPr>
                <w:sz w:val="20"/>
                <w:szCs w:val="20"/>
                <w:color w:val="auto"/>
              </w:rPr>
            </w:pPr>
            <w:r>
              <w:rPr>
                <w:rFonts w:ascii="Arial" w:cs="Arial" w:eastAsia="Arial" w:hAnsi="Arial"/>
                <w:sz w:val="19"/>
                <w:szCs w:val="19"/>
                <w:b w:val="1"/>
                <w:bCs w:val="1"/>
                <w:color w:val="231F20"/>
                <w:w w:val="88"/>
              </w:rPr>
              <w:t>4.4 years</w:t>
            </w:r>
          </w:p>
        </w:tc>
      </w:tr>
      <w:tr>
        <w:trPr>
          <w:trHeight w:val="235"/>
        </w:trPr>
        <w:tc>
          <w:tcPr>
            <w:tcW w:w="3200" w:type="dxa"/>
            <w:vAlign w:val="bottom"/>
          </w:tcPr>
          <w:p>
            <w:pPr>
              <w:spacing w:after="0"/>
              <w:rPr>
                <w:sz w:val="20"/>
                <w:szCs w:val="20"/>
                <w:color w:val="auto"/>
              </w:rPr>
            </w:pPr>
            <w:r>
              <w:rPr>
                <w:rFonts w:ascii="Arial" w:cs="Arial" w:eastAsia="Arial" w:hAnsi="Arial"/>
                <w:sz w:val="19"/>
                <w:szCs w:val="19"/>
                <w:b w:val="1"/>
                <w:bCs w:val="1"/>
                <w:color w:val="231F20"/>
              </w:rPr>
              <w:t>Weighted-average discount rate</w:t>
            </w: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231F20"/>
              </w:rPr>
              <w:t>10.00%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231F20"/>
              </w:rPr>
              <w:t>10.00%</w:t>
            </w:r>
          </w:p>
        </w:tc>
      </w:tr>
    </w:tbl>
    <w:p>
      <w:pPr>
        <w:spacing w:after="0" w:line="27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Maturities of operating lease liabilities as of December 31, 2025 are as follows:</w:t>
      </w:r>
    </w:p>
    <w:p>
      <w:pPr>
        <w:spacing w:after="0" w:line="141" w:lineRule="exact"/>
        <w:rPr>
          <w:sz w:val="20"/>
          <w:szCs w:val="20"/>
          <w:color w:val="auto"/>
        </w:rPr>
      </w:pPr>
    </w:p>
    <w:tbl>
      <w:tblPr>
        <w:tblLayout w:type="fixed"/>
        <w:tblInd w:w="1960" w:type="dxa"/>
        <w:tblCellMar>
          <w:top w:w="0" w:type="dxa"/>
          <w:left w:w="0" w:type="dxa"/>
          <w:bottom w:w="0" w:type="dxa"/>
          <w:right w:w="0" w:type="dxa"/>
        </w:tblCellMar>
      </w:tblPr>
      <w:tr>
        <w:trPr>
          <w:trHeight w:val="184"/>
        </w:trPr>
        <w:tc>
          <w:tcPr>
            <w:tcW w:w="3400" w:type="dxa"/>
            <w:vAlign w:val="bottom"/>
          </w:tcPr>
          <w:p>
            <w:pPr>
              <w:spacing w:after="0"/>
              <w:rPr>
                <w:sz w:val="20"/>
                <w:szCs w:val="20"/>
                <w:color w:val="auto"/>
              </w:rPr>
            </w:pPr>
            <w:r>
              <w:rPr>
                <w:rFonts w:ascii="Arial" w:cs="Arial" w:eastAsia="Arial" w:hAnsi="Arial"/>
                <w:sz w:val="16"/>
                <w:szCs w:val="16"/>
                <w:b w:val="1"/>
                <w:bCs w:val="1"/>
                <w:color w:val="231F20"/>
              </w:rPr>
              <w:t>Fiscal Year</w:t>
            </w:r>
          </w:p>
        </w:tc>
        <w:tc>
          <w:tcPr>
            <w:tcW w:w="1140" w:type="dxa"/>
            <w:vAlign w:val="bottom"/>
          </w:tcPr>
          <w:p>
            <w:pPr>
              <w:spacing w:after="0"/>
              <w:rPr>
                <w:sz w:val="16"/>
                <w:szCs w:val="16"/>
                <w:color w:val="auto"/>
              </w:rPr>
            </w:pPr>
          </w:p>
        </w:tc>
        <w:tc>
          <w:tcPr>
            <w:tcW w:w="880" w:type="dxa"/>
            <w:vAlign w:val="bottom"/>
          </w:tcPr>
          <w:p>
            <w:pPr>
              <w:jc w:val="right"/>
              <w:ind w:right="185"/>
              <w:spacing w:after="0"/>
              <w:rPr>
                <w:sz w:val="20"/>
                <w:szCs w:val="20"/>
                <w:color w:val="auto"/>
              </w:rPr>
            </w:pPr>
            <w:r>
              <w:rPr>
                <w:rFonts w:ascii="Arial" w:cs="Arial" w:eastAsia="Arial" w:hAnsi="Arial"/>
                <w:sz w:val="16"/>
                <w:szCs w:val="16"/>
                <w:b w:val="1"/>
                <w:bCs w:val="1"/>
                <w:color w:val="231F20"/>
                <w:w w:val="95"/>
              </w:rPr>
              <w:t>Amount</w:t>
            </w:r>
          </w:p>
        </w:tc>
      </w:tr>
      <w:tr>
        <w:trPr>
          <w:trHeight w:val="251"/>
        </w:trPr>
        <w:tc>
          <w:tcPr>
            <w:tcW w:w="340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766</w:t>
            </w: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1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819</w:t>
            </w:r>
          </w:p>
        </w:tc>
      </w:tr>
      <w:tr>
        <w:trPr>
          <w:trHeight w:val="238"/>
        </w:trPr>
        <w:tc>
          <w:tcPr>
            <w:tcW w:w="340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1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835</w:t>
            </w:r>
          </w:p>
        </w:tc>
      </w:tr>
      <w:tr>
        <w:trPr>
          <w:trHeight w:val="235"/>
        </w:trPr>
        <w:tc>
          <w:tcPr>
            <w:tcW w:w="340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1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353</w:t>
            </w:r>
          </w:p>
        </w:tc>
      </w:tr>
      <w:tr>
        <w:trPr>
          <w:trHeight w:val="252"/>
        </w:trPr>
        <w:tc>
          <w:tcPr>
            <w:tcW w:w="3400" w:type="dxa"/>
            <w:vAlign w:val="bottom"/>
          </w:tcPr>
          <w:p>
            <w:pPr>
              <w:spacing w:after="0"/>
              <w:rPr>
                <w:sz w:val="20"/>
                <w:szCs w:val="20"/>
                <w:color w:val="auto"/>
              </w:rPr>
            </w:pPr>
            <w:r>
              <w:rPr>
                <w:rFonts w:ascii="Arial" w:cs="Arial" w:eastAsia="Arial" w:hAnsi="Arial"/>
                <w:sz w:val="19"/>
                <w:szCs w:val="19"/>
                <w:b w:val="1"/>
                <w:bCs w:val="1"/>
                <w:color w:val="231F20"/>
              </w:rPr>
              <w:t>Total operating lease payments</w:t>
            </w:r>
          </w:p>
        </w:tc>
        <w:tc>
          <w:tcPr>
            <w:tcW w:w="1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2,773</w:t>
            </w:r>
          </w:p>
        </w:tc>
      </w:tr>
      <w:tr>
        <w:trPr>
          <w:trHeight w:val="235"/>
        </w:trPr>
        <w:tc>
          <w:tcPr>
            <w:tcW w:w="3400" w:type="dxa"/>
            <w:vAlign w:val="bottom"/>
          </w:tcPr>
          <w:p>
            <w:pPr>
              <w:spacing w:after="0"/>
              <w:rPr>
                <w:sz w:val="20"/>
                <w:szCs w:val="20"/>
                <w:color w:val="auto"/>
              </w:rPr>
            </w:pPr>
            <w:r>
              <w:rPr>
                <w:rFonts w:ascii="Arial" w:cs="Arial" w:eastAsia="Arial" w:hAnsi="Arial"/>
                <w:sz w:val="19"/>
                <w:szCs w:val="19"/>
                <w:b w:val="1"/>
                <w:bCs w:val="1"/>
                <w:color w:val="231F20"/>
              </w:rPr>
              <w:t>Less: imputed interest</w:t>
            </w:r>
          </w:p>
        </w:tc>
        <w:tc>
          <w:tcPr>
            <w:tcW w:w="1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(38)</w:t>
            </w:r>
          </w:p>
        </w:tc>
      </w:tr>
      <w:tr>
        <w:trPr>
          <w:trHeight w:val="252"/>
        </w:trPr>
        <w:tc>
          <w:tcPr>
            <w:tcW w:w="3400" w:type="dxa"/>
            <w:vAlign w:val="bottom"/>
          </w:tcPr>
          <w:p>
            <w:pPr>
              <w:spacing w:after="0"/>
              <w:rPr>
                <w:sz w:val="20"/>
                <w:szCs w:val="20"/>
                <w:color w:val="auto"/>
              </w:rPr>
            </w:pPr>
            <w:r>
              <w:rPr>
                <w:rFonts w:ascii="Arial" w:cs="Arial" w:eastAsia="Arial" w:hAnsi="Arial"/>
                <w:sz w:val="19"/>
                <w:szCs w:val="19"/>
                <w:b w:val="1"/>
                <w:bCs w:val="1"/>
                <w:color w:val="231F20"/>
              </w:rPr>
              <w:t>Total operating lease liabilities</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2,735</w:t>
            </w: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F-22</w:t>
      </w:r>
    </w:p>
    <w:p>
      <w:pPr>
        <w:sectPr>
          <w:pgSz w:w="12240" w:h="15840" w:orient="portrait"/>
          <w:cols w:equalWidth="0" w:num="1">
            <w:col w:w="9360"/>
          </w:cols>
          <w:pgMar w:left="1440" w:top="1440" w:right="1440" w:bottom="390" w:gutter="0" w:footer="0" w:header="0"/>
          <w:type w:val="continuous"/>
        </w:sectPr>
      </w:pPr>
    </w:p>
    <w:bookmarkStart w:id="124" w:name="page125"/>
    <w:bookmarkEnd w:id="124"/>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Lessor Arrangements</w:t>
      </w:r>
    </w:p>
    <w:p>
      <w:pPr>
        <w:spacing w:after="0" w:line="125"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The Company has operating leases for LLS and ALLY Systems, which occur primarily in the United States.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leases have remaining lease terms of less than one year to five years. Lease revenue for the years ended December 31, 2025 and 2024 was as follows:</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gridSpan w:val="3"/>
          </w:tcPr>
          <w:p>
            <w:pPr>
              <w:jc w:val="right"/>
              <w:ind w:right="109"/>
              <w:spacing w:after="0"/>
              <w:rPr>
                <w:sz w:val="20"/>
                <w:szCs w:val="20"/>
                <w:color w:val="auto"/>
              </w:rPr>
            </w:pPr>
            <w:r>
              <w:rPr>
                <w:rFonts w:ascii="Arial" w:cs="Arial" w:eastAsia="Arial" w:hAnsi="Arial"/>
                <w:sz w:val="16"/>
                <w:szCs w:val="16"/>
                <w:b w:val="1"/>
                <w:bCs w:val="1"/>
                <w:color w:val="231F20"/>
                <w:w w:val="87"/>
              </w:rPr>
              <w:t>Year ended December 31,</w:t>
            </w:r>
          </w:p>
        </w:tc>
      </w:tr>
      <w:tr>
        <w:trPr>
          <w:trHeight w:val="192"/>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231F20"/>
              </w:rPr>
              <w:t>2025</w:t>
            </w:r>
          </w:p>
        </w:tc>
        <w:tc>
          <w:tcPr>
            <w:tcW w:w="240" w:type="dxa"/>
            <w:vAlign w:val="bottom"/>
          </w:tcPr>
          <w:p>
            <w:pPr>
              <w:spacing w:after="0"/>
              <w:rPr>
                <w:sz w:val="16"/>
                <w:szCs w:val="16"/>
                <w:color w:val="auto"/>
              </w:rPr>
            </w:pPr>
          </w:p>
        </w:tc>
        <w:tc>
          <w:tcPr>
            <w:tcW w:w="780" w:type="dxa"/>
            <w:vAlign w:val="bottom"/>
          </w:tcPr>
          <w:p>
            <w:pPr>
              <w:jc w:val="right"/>
              <w:ind w:right="269"/>
              <w:spacing w:after="0"/>
              <w:rPr>
                <w:sz w:val="20"/>
                <w:szCs w:val="20"/>
                <w:color w:val="auto"/>
              </w:rPr>
            </w:pPr>
            <w:r>
              <w:rPr>
                <w:rFonts w:ascii="Arial" w:cs="Arial" w:eastAsia="Arial" w:hAnsi="Arial"/>
                <w:sz w:val="16"/>
                <w:szCs w:val="16"/>
                <w:b w:val="1"/>
                <w:bCs w:val="1"/>
                <w:color w:val="231F20"/>
              </w:rPr>
              <w:t>2024</w:t>
            </w:r>
          </w:p>
        </w:tc>
      </w:tr>
      <w:tr>
        <w:trPr>
          <w:trHeight w:val="238"/>
        </w:trPr>
        <w:tc>
          <w:tcPr>
            <w:tcW w:w="4700" w:type="dxa"/>
            <w:vAlign w:val="bottom"/>
          </w:tcPr>
          <w:p>
            <w:pPr>
              <w:ind w:left="1360"/>
              <w:spacing w:after="0"/>
              <w:rPr>
                <w:sz w:val="20"/>
                <w:szCs w:val="20"/>
                <w:color w:val="auto"/>
              </w:rPr>
            </w:pPr>
            <w:r>
              <w:rPr>
                <w:rFonts w:ascii="Arial" w:cs="Arial" w:eastAsia="Arial" w:hAnsi="Arial"/>
                <w:sz w:val="19"/>
                <w:szCs w:val="19"/>
                <w:b w:val="1"/>
                <w:bCs w:val="1"/>
                <w:color w:val="231F20"/>
              </w:rPr>
              <w:t>Lease revenue</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12"/>
              <w:spacing w:after="0"/>
              <w:rPr>
                <w:sz w:val="20"/>
                <w:szCs w:val="20"/>
                <w:color w:val="auto"/>
              </w:rPr>
            </w:pPr>
            <w:r>
              <w:rPr>
                <w:rFonts w:ascii="Arial" w:cs="Arial" w:eastAsia="Arial" w:hAnsi="Arial"/>
                <w:sz w:val="19"/>
                <w:szCs w:val="19"/>
                <w:b w:val="1"/>
                <w:bCs w:val="1"/>
                <w:color w:val="231F20"/>
              </w:rPr>
              <w:t>6,779</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7,532</w:t>
            </w:r>
          </w:p>
        </w:tc>
      </w:tr>
      <w:tr>
        <w:trPr>
          <w:trHeight w:val="490"/>
        </w:trPr>
        <w:tc>
          <w:tcPr>
            <w:tcW w:w="4700" w:type="dxa"/>
            <w:vAlign w:val="bottom"/>
          </w:tcPr>
          <w:p>
            <w:pPr>
              <w:spacing w:after="0"/>
              <w:rPr>
                <w:sz w:val="20"/>
                <w:szCs w:val="20"/>
                <w:color w:val="auto"/>
              </w:rPr>
            </w:pPr>
            <w:r>
              <w:rPr>
                <w:rFonts w:ascii="Arial" w:cs="Arial" w:eastAsia="Arial" w:hAnsi="Arial"/>
                <w:sz w:val="19"/>
                <w:szCs w:val="19"/>
                <w:b w:val="1"/>
                <w:bCs w:val="1"/>
                <w:color w:val="231F20"/>
              </w:rPr>
              <w:t>Equipment under lease is as follows: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6"/>
                <w:szCs w:val="16"/>
                <w:b w:val="1"/>
                <w:bCs w:val="1"/>
                <w:color w:val="231F20"/>
                <w:w w:val="99"/>
              </w:rPr>
              <w:t>As of December 31,</w:t>
            </w:r>
          </w:p>
        </w:tc>
      </w:tr>
      <w:tr>
        <w:trPr>
          <w:trHeight w:val="192"/>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231F20"/>
              </w:rPr>
              <w:t>2025</w:t>
            </w:r>
          </w:p>
        </w:tc>
        <w:tc>
          <w:tcPr>
            <w:tcW w:w="240" w:type="dxa"/>
            <w:vAlign w:val="bottom"/>
          </w:tcPr>
          <w:p>
            <w:pPr>
              <w:spacing w:after="0"/>
              <w:rPr>
                <w:sz w:val="16"/>
                <w:szCs w:val="16"/>
                <w:color w:val="auto"/>
              </w:rPr>
            </w:pPr>
          </w:p>
        </w:tc>
        <w:tc>
          <w:tcPr>
            <w:tcW w:w="780" w:type="dxa"/>
            <w:vAlign w:val="bottom"/>
          </w:tcPr>
          <w:p>
            <w:pPr>
              <w:jc w:val="right"/>
              <w:ind w:right="269"/>
              <w:spacing w:after="0"/>
              <w:rPr>
                <w:sz w:val="20"/>
                <w:szCs w:val="20"/>
                <w:color w:val="auto"/>
              </w:rPr>
            </w:pPr>
            <w:r>
              <w:rPr>
                <w:rFonts w:ascii="Arial" w:cs="Arial" w:eastAsia="Arial" w:hAnsi="Arial"/>
                <w:sz w:val="16"/>
                <w:szCs w:val="16"/>
                <w:b w:val="1"/>
                <w:bCs w:val="1"/>
                <w:color w:val="231F20"/>
              </w:rPr>
              <w:t>2024</w:t>
            </w:r>
          </w:p>
        </w:tc>
      </w:tr>
      <w:tr>
        <w:trPr>
          <w:trHeight w:val="238"/>
        </w:trPr>
        <w:tc>
          <w:tcPr>
            <w:tcW w:w="4700" w:type="dxa"/>
            <w:vAlign w:val="bottom"/>
          </w:tcPr>
          <w:p>
            <w:pPr>
              <w:ind w:left="1360"/>
              <w:spacing w:after="0"/>
              <w:rPr>
                <w:sz w:val="20"/>
                <w:szCs w:val="20"/>
                <w:color w:val="auto"/>
              </w:rPr>
            </w:pPr>
            <w:r>
              <w:rPr>
                <w:rFonts w:ascii="Arial" w:cs="Arial" w:eastAsia="Arial" w:hAnsi="Arial"/>
                <w:sz w:val="19"/>
                <w:szCs w:val="19"/>
                <w:b w:val="1"/>
                <w:bCs w:val="1"/>
                <w:color w:val="231F20"/>
              </w:rPr>
              <w:t>Equipment under lease</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32"/>
              <w:spacing w:after="0"/>
              <w:rPr>
                <w:sz w:val="20"/>
                <w:szCs w:val="20"/>
                <w:color w:val="auto"/>
              </w:rPr>
            </w:pPr>
            <w:r>
              <w:rPr>
                <w:rFonts w:ascii="Arial" w:cs="Arial" w:eastAsia="Arial" w:hAnsi="Arial"/>
                <w:sz w:val="19"/>
                <w:szCs w:val="19"/>
                <w:b w:val="1"/>
                <w:bCs w:val="1"/>
                <w:color w:val="231F20"/>
              </w:rPr>
              <w:t>28,535</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25,410</w:t>
            </w:r>
          </w:p>
        </w:tc>
      </w:tr>
      <w:tr>
        <w:trPr>
          <w:trHeight w:val="223"/>
        </w:trPr>
        <w:tc>
          <w:tcPr>
            <w:tcW w:w="4700" w:type="dxa"/>
            <w:vAlign w:val="bottom"/>
          </w:tcPr>
          <w:p>
            <w:pPr>
              <w:ind w:left="1360"/>
              <w:spacing w:after="0"/>
              <w:rPr>
                <w:sz w:val="20"/>
                <w:szCs w:val="20"/>
                <w:color w:val="auto"/>
              </w:rPr>
            </w:pPr>
            <w:r>
              <w:rPr>
                <w:rFonts w:ascii="Arial" w:cs="Arial" w:eastAsia="Arial" w:hAnsi="Arial"/>
                <w:sz w:val="19"/>
                <w:szCs w:val="19"/>
                <w:b w:val="1"/>
                <w:bCs w:val="1"/>
                <w:color w:val="231F20"/>
              </w:rPr>
              <w:t>Less accumulated depreciation</w:t>
            </w:r>
          </w:p>
        </w:tc>
        <w:tc>
          <w:tcPr>
            <w:tcW w:w="10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(13,050)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(11,643)</w:t>
            </w:r>
          </w:p>
        </w:tc>
      </w:tr>
      <w:tr>
        <w:trPr>
          <w:trHeight w:val="238"/>
        </w:trPr>
        <w:tc>
          <w:tcPr>
            <w:tcW w:w="4700" w:type="dxa"/>
            <w:vAlign w:val="bottom"/>
          </w:tcPr>
          <w:p>
            <w:pPr>
              <w:ind w:left="1360"/>
              <w:spacing w:after="0"/>
              <w:rPr>
                <w:sz w:val="20"/>
                <w:szCs w:val="20"/>
                <w:color w:val="auto"/>
              </w:rPr>
            </w:pPr>
            <w:r>
              <w:rPr>
                <w:rFonts w:ascii="Arial" w:cs="Arial" w:eastAsia="Arial" w:hAnsi="Arial"/>
                <w:sz w:val="19"/>
                <w:szCs w:val="19"/>
                <w:b w:val="1"/>
                <w:bCs w:val="1"/>
                <w:color w:val="231F20"/>
              </w:rPr>
              <w:t>Equipment under lease, net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ind w:right="32"/>
              <w:spacing w:after="0"/>
              <w:rPr>
                <w:sz w:val="20"/>
                <w:szCs w:val="20"/>
                <w:color w:val="auto"/>
              </w:rPr>
            </w:pPr>
            <w:r>
              <w:rPr>
                <w:rFonts w:ascii="Arial" w:cs="Arial" w:eastAsia="Arial" w:hAnsi="Arial"/>
                <w:sz w:val="19"/>
                <w:szCs w:val="19"/>
                <w:b w:val="1"/>
                <w:bCs w:val="1"/>
                <w:color w:val="231F20"/>
              </w:rPr>
              <w:t>15,485</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13,767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-1362075</wp:posOffset>
            </wp:positionV>
            <wp:extent cx="4064000" cy="5648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64000" cy="5648960"/>
                    </a:xfrm>
                    <a:prstGeom prst="rect">
                      <a:avLst/>
                    </a:prstGeom>
                    <a:noFill/>
                  </pic:spPr>
                </pic:pic>
              </a:graphicData>
            </a:graphic>
          </wp:anchor>
        </w:drawing>
      </w:r>
    </w:p>
    <w:p>
      <w:pPr>
        <w:spacing w:after="0" w:line="300"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Depreciation expense on equipment under lease amounted to $3,433 and $2,776 for the years ended December 31, 2025 and 2024, respectively.</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Maturities of operating lease payments as of December 31, 2025 are as follows:</w:t>
      </w:r>
    </w:p>
    <w:p>
      <w:pPr>
        <w:spacing w:after="0" w:line="144" w:lineRule="exact"/>
        <w:rPr>
          <w:sz w:val="20"/>
          <w:szCs w:val="20"/>
          <w:color w:val="auto"/>
        </w:rPr>
      </w:pPr>
    </w:p>
    <w:tbl>
      <w:tblPr>
        <w:tblLayout w:type="fixed"/>
        <w:tblInd w:w="1960" w:type="dxa"/>
        <w:tblCellMar>
          <w:top w:w="0" w:type="dxa"/>
          <w:left w:w="0" w:type="dxa"/>
          <w:bottom w:w="0" w:type="dxa"/>
          <w:right w:w="0" w:type="dxa"/>
        </w:tblCellMar>
      </w:tblPr>
      <w:tr>
        <w:trPr>
          <w:trHeight w:val="184"/>
        </w:trPr>
        <w:tc>
          <w:tcPr>
            <w:tcW w:w="3380" w:type="dxa"/>
            <w:vAlign w:val="bottom"/>
          </w:tcPr>
          <w:p>
            <w:pPr>
              <w:spacing w:after="0"/>
              <w:rPr>
                <w:sz w:val="20"/>
                <w:szCs w:val="20"/>
                <w:color w:val="auto"/>
              </w:rPr>
            </w:pPr>
            <w:r>
              <w:rPr>
                <w:rFonts w:ascii="Arial" w:cs="Arial" w:eastAsia="Arial" w:hAnsi="Arial"/>
                <w:sz w:val="16"/>
                <w:szCs w:val="16"/>
                <w:b w:val="1"/>
                <w:bCs w:val="1"/>
                <w:color w:val="231F20"/>
              </w:rPr>
              <w:t>Fiscal Year</w:t>
            </w:r>
          </w:p>
        </w:tc>
        <w:tc>
          <w:tcPr>
            <w:tcW w:w="1180" w:type="dxa"/>
            <w:vAlign w:val="bottom"/>
          </w:tcPr>
          <w:p>
            <w:pPr>
              <w:spacing w:after="0"/>
              <w:rPr>
                <w:sz w:val="16"/>
                <w:szCs w:val="16"/>
                <w:color w:val="auto"/>
              </w:rPr>
            </w:pPr>
          </w:p>
        </w:tc>
        <w:tc>
          <w:tcPr>
            <w:tcW w:w="800" w:type="dxa"/>
            <w:vAlign w:val="bottom"/>
          </w:tcPr>
          <w:p>
            <w:pPr>
              <w:jc w:val="right"/>
              <w:ind w:right="106"/>
              <w:spacing w:after="0"/>
              <w:rPr>
                <w:sz w:val="20"/>
                <w:szCs w:val="20"/>
                <w:color w:val="auto"/>
              </w:rPr>
            </w:pPr>
            <w:r>
              <w:rPr>
                <w:rFonts w:ascii="Arial" w:cs="Arial" w:eastAsia="Arial" w:hAnsi="Arial"/>
                <w:sz w:val="16"/>
                <w:szCs w:val="16"/>
                <w:b w:val="1"/>
                <w:bCs w:val="1"/>
                <w:color w:val="231F20"/>
                <w:w w:val="95"/>
              </w:rPr>
              <w:t>Amount</w:t>
            </w:r>
          </w:p>
        </w:tc>
      </w:tr>
      <w:tr>
        <w:trPr>
          <w:trHeight w:val="251"/>
        </w:trPr>
        <w:tc>
          <w:tcPr>
            <w:tcW w:w="338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11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3,188</w:t>
            </w:r>
          </w:p>
        </w:tc>
      </w:tr>
      <w:tr>
        <w:trPr>
          <w:trHeight w:val="235"/>
        </w:trPr>
        <w:tc>
          <w:tcPr>
            <w:tcW w:w="338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1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2,731</w:t>
            </w:r>
          </w:p>
        </w:tc>
      </w:tr>
      <w:tr>
        <w:trPr>
          <w:trHeight w:val="238"/>
        </w:trPr>
        <w:tc>
          <w:tcPr>
            <w:tcW w:w="338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1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1,774</w:t>
            </w:r>
          </w:p>
        </w:tc>
      </w:tr>
      <w:tr>
        <w:trPr>
          <w:trHeight w:val="238"/>
        </w:trPr>
        <w:tc>
          <w:tcPr>
            <w:tcW w:w="338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1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1,078</w:t>
            </w:r>
          </w:p>
        </w:tc>
      </w:tr>
      <w:tr>
        <w:trPr>
          <w:trHeight w:val="235"/>
        </w:trPr>
        <w:tc>
          <w:tcPr>
            <w:tcW w:w="3380" w:type="dxa"/>
            <w:vAlign w:val="bottom"/>
          </w:tcPr>
          <w:p>
            <w:pPr>
              <w:spacing w:after="0"/>
              <w:rPr>
                <w:sz w:val="20"/>
                <w:szCs w:val="20"/>
                <w:color w:val="auto"/>
              </w:rPr>
            </w:pPr>
            <w:r>
              <w:rPr>
                <w:rFonts w:ascii="Arial" w:cs="Arial" w:eastAsia="Arial" w:hAnsi="Arial"/>
                <w:sz w:val="19"/>
                <w:szCs w:val="19"/>
                <w:b w:val="1"/>
                <w:bCs w:val="1"/>
                <w:color w:val="231F20"/>
              </w:rPr>
              <w:t>2030</w:t>
            </w:r>
          </w:p>
        </w:tc>
        <w:tc>
          <w:tcPr>
            <w:tcW w:w="1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165</w:t>
            </w:r>
          </w:p>
        </w:tc>
      </w:tr>
      <w:tr>
        <w:trPr>
          <w:trHeight w:val="252"/>
        </w:trPr>
        <w:tc>
          <w:tcPr>
            <w:tcW w:w="3380" w:type="dxa"/>
            <w:vAlign w:val="bottom"/>
          </w:tcPr>
          <w:p>
            <w:pPr>
              <w:spacing w:after="0"/>
              <w:rPr>
                <w:sz w:val="20"/>
                <w:szCs w:val="20"/>
                <w:color w:val="auto"/>
              </w:rPr>
            </w:pPr>
            <w:r>
              <w:rPr>
                <w:rFonts w:ascii="Arial" w:cs="Arial" w:eastAsia="Arial" w:hAnsi="Arial"/>
                <w:sz w:val="19"/>
                <w:szCs w:val="19"/>
                <w:b w:val="1"/>
                <w:bCs w:val="1"/>
                <w:color w:val="231F20"/>
              </w:rPr>
              <w:t>Total undiscounted cash flows</w:t>
            </w:r>
          </w:p>
        </w:tc>
        <w:tc>
          <w:tcPr>
            <w:tcW w:w="11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8,936</w:t>
            </w:r>
          </w:p>
        </w:tc>
      </w:tr>
    </w:tbl>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7. Property and Equipment</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following table provides details of property and equipment, net:</w:t>
      </w:r>
    </w:p>
    <w:p>
      <w:pPr>
        <w:spacing w:after="0" w:line="14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gridSpan w:val="3"/>
          </w:tcPr>
          <w:p>
            <w:pPr>
              <w:jc w:val="right"/>
              <w:ind w:right="345"/>
              <w:spacing w:after="0"/>
              <w:rPr>
                <w:sz w:val="20"/>
                <w:szCs w:val="20"/>
                <w:color w:val="auto"/>
              </w:rPr>
            </w:pPr>
            <w:r>
              <w:rPr>
                <w:rFonts w:ascii="Arial" w:cs="Arial" w:eastAsia="Arial" w:hAnsi="Arial"/>
                <w:sz w:val="16"/>
                <w:szCs w:val="16"/>
                <w:b w:val="1"/>
                <w:bCs w:val="1"/>
                <w:color w:val="231F20"/>
                <w:w w:val="96"/>
              </w:rPr>
              <w:t>As of December 31,</w:t>
            </w:r>
          </w:p>
        </w:tc>
      </w:tr>
      <w:tr>
        <w:trPr>
          <w:trHeight w:val="206"/>
        </w:trPr>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jc w:val="right"/>
              <w:ind w:right="346"/>
              <w:spacing w:after="0"/>
              <w:rPr>
                <w:sz w:val="20"/>
                <w:szCs w:val="20"/>
                <w:color w:val="auto"/>
              </w:rPr>
            </w:pPr>
            <w:r>
              <w:rPr>
                <w:rFonts w:ascii="Arial" w:cs="Arial" w:eastAsia="Arial" w:hAnsi="Arial"/>
                <w:sz w:val="16"/>
                <w:szCs w:val="16"/>
                <w:b w:val="1"/>
                <w:bCs w:val="1"/>
                <w:color w:val="231F20"/>
              </w:rPr>
              <w:t>2025</w:t>
            </w:r>
          </w:p>
        </w:tc>
        <w:tc>
          <w:tcPr>
            <w:tcW w:w="240" w:type="dxa"/>
            <w:vAlign w:val="bottom"/>
          </w:tcPr>
          <w:p>
            <w:pPr>
              <w:spacing w:after="0"/>
              <w:rPr>
                <w:sz w:val="17"/>
                <w:szCs w:val="17"/>
                <w:color w:val="auto"/>
              </w:rPr>
            </w:pPr>
          </w:p>
        </w:tc>
        <w:tc>
          <w:tcPr>
            <w:tcW w:w="800" w:type="dxa"/>
            <w:vAlign w:val="bottom"/>
          </w:tcPr>
          <w:p>
            <w:pPr>
              <w:jc w:val="right"/>
              <w:ind w:right="285"/>
              <w:spacing w:after="0"/>
              <w:rPr>
                <w:sz w:val="20"/>
                <w:szCs w:val="20"/>
                <w:color w:val="auto"/>
              </w:rPr>
            </w:pPr>
            <w:r>
              <w:rPr>
                <w:rFonts w:ascii="Arial" w:cs="Arial" w:eastAsia="Arial" w:hAnsi="Arial"/>
                <w:sz w:val="16"/>
                <w:szCs w:val="16"/>
                <w:b w:val="1"/>
                <w:bCs w:val="1"/>
                <w:color w:val="231F20"/>
              </w:rPr>
              <w:t>2024</w:t>
            </w:r>
          </w:p>
        </w:tc>
      </w:tr>
      <w:tr>
        <w:trPr>
          <w:trHeight w:val="251"/>
        </w:trPr>
        <w:tc>
          <w:tcPr>
            <w:tcW w:w="3320" w:type="dxa"/>
            <w:vAlign w:val="bottom"/>
          </w:tcPr>
          <w:p>
            <w:pPr>
              <w:spacing w:after="0"/>
              <w:rPr>
                <w:sz w:val="20"/>
                <w:szCs w:val="20"/>
                <w:color w:val="auto"/>
              </w:rPr>
            </w:pPr>
            <w:r>
              <w:rPr>
                <w:rFonts w:ascii="Arial" w:cs="Arial" w:eastAsia="Arial" w:hAnsi="Arial"/>
                <w:sz w:val="19"/>
                <w:szCs w:val="19"/>
                <w:b w:val="1"/>
                <w:bCs w:val="1"/>
                <w:color w:val="231F20"/>
              </w:rPr>
              <w:t>Leasehold improvements</w:t>
            </w:r>
          </w:p>
        </w:tc>
        <w:tc>
          <w:tcPr>
            <w:tcW w:w="112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112</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112</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Manufacturing equipment</w:t>
            </w:r>
          </w:p>
        </w:tc>
        <w:tc>
          <w:tcPr>
            <w:tcW w:w="1120" w:type="dxa"/>
            <w:vAlign w:val="bottom"/>
          </w:tcPr>
          <w:p>
            <w:pPr>
              <w:spacing w:after="0"/>
              <w:rPr>
                <w:sz w:val="20"/>
                <w:szCs w:val="20"/>
                <w:color w:val="auto"/>
              </w:rPr>
            </w:pP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1,318</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1,016</w:t>
            </w:r>
          </w:p>
        </w:tc>
      </w:tr>
      <w:tr>
        <w:trPr>
          <w:trHeight w:val="235"/>
        </w:trPr>
        <w:tc>
          <w:tcPr>
            <w:tcW w:w="3320" w:type="dxa"/>
            <w:vAlign w:val="bottom"/>
          </w:tcPr>
          <w:p>
            <w:pPr>
              <w:spacing w:after="0"/>
              <w:rPr>
                <w:sz w:val="20"/>
                <w:szCs w:val="20"/>
                <w:color w:val="auto"/>
              </w:rPr>
            </w:pPr>
            <w:r>
              <w:rPr>
                <w:rFonts w:ascii="Arial" w:cs="Arial" w:eastAsia="Arial" w:hAnsi="Arial"/>
                <w:sz w:val="19"/>
                <w:szCs w:val="19"/>
                <w:b w:val="1"/>
                <w:bCs w:val="1"/>
                <w:color w:val="231F20"/>
              </w:rPr>
              <w:t>System and laser</w:t>
            </w:r>
          </w:p>
        </w:tc>
        <w:tc>
          <w:tcPr>
            <w:tcW w:w="1120" w:type="dxa"/>
            <w:vAlign w:val="bottom"/>
          </w:tcPr>
          <w:p>
            <w:pPr>
              <w:spacing w:after="0"/>
              <w:rPr>
                <w:sz w:val="20"/>
                <w:szCs w:val="20"/>
                <w:color w:val="auto"/>
              </w:rPr>
            </w:pP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804</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1,097</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Software</w:t>
            </w:r>
          </w:p>
        </w:tc>
        <w:tc>
          <w:tcPr>
            <w:tcW w:w="1120" w:type="dxa"/>
            <w:vAlign w:val="bottom"/>
          </w:tcPr>
          <w:p>
            <w:pPr>
              <w:spacing w:after="0"/>
              <w:rPr>
                <w:sz w:val="20"/>
                <w:szCs w:val="20"/>
                <w:color w:val="auto"/>
              </w:rPr>
            </w:pP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322</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331</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Other</w:t>
            </w:r>
          </w:p>
        </w:tc>
        <w:tc>
          <w:tcPr>
            <w:tcW w:w="1120" w:type="dxa"/>
            <w:vAlign w:val="bottom"/>
          </w:tcPr>
          <w:p>
            <w:pPr>
              <w:spacing w:after="0"/>
              <w:rPr>
                <w:sz w:val="20"/>
                <w:szCs w:val="20"/>
                <w:color w:val="auto"/>
              </w:rPr>
            </w:pP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182</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200</w:t>
            </w:r>
          </w:p>
        </w:tc>
      </w:tr>
      <w:tr>
        <w:trPr>
          <w:trHeight w:val="250"/>
        </w:trPr>
        <w:tc>
          <w:tcPr>
            <w:tcW w:w="332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12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2,738</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2,756</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Less accumulated depreciation</w:t>
            </w:r>
          </w:p>
        </w:tc>
        <w:tc>
          <w:tcPr>
            <w:tcW w:w="1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(2,233)</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(2,385)</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Construction in progress</w:t>
            </w:r>
          </w:p>
        </w:tc>
        <w:tc>
          <w:tcPr>
            <w:tcW w:w="1120" w:type="dxa"/>
            <w:vAlign w:val="bottom"/>
          </w:tcPr>
          <w:p>
            <w:pPr>
              <w:spacing w:after="0"/>
              <w:rPr>
                <w:sz w:val="20"/>
                <w:szCs w:val="20"/>
                <w:color w:val="auto"/>
              </w:rPr>
            </w:pPr>
          </w:p>
        </w:tc>
        <w:tc>
          <w:tcPr>
            <w:tcW w:w="860" w:type="dxa"/>
            <w:vAlign w:val="bottom"/>
          </w:tcPr>
          <w:p>
            <w:pPr>
              <w:jc w:val="right"/>
              <w:ind w:right="46"/>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293</w:t>
            </w:r>
          </w:p>
        </w:tc>
      </w:tr>
      <w:tr>
        <w:trPr>
          <w:trHeight w:val="250"/>
        </w:trPr>
        <w:tc>
          <w:tcPr>
            <w:tcW w:w="3320" w:type="dxa"/>
            <w:vAlign w:val="bottom"/>
          </w:tcPr>
          <w:p>
            <w:pPr>
              <w:spacing w:after="0"/>
              <w:rPr>
                <w:sz w:val="20"/>
                <w:szCs w:val="20"/>
                <w:color w:val="auto"/>
              </w:rPr>
            </w:pPr>
            <w:r>
              <w:rPr>
                <w:rFonts w:ascii="Arial" w:cs="Arial" w:eastAsia="Arial" w:hAnsi="Arial"/>
                <w:sz w:val="19"/>
                <w:szCs w:val="19"/>
                <w:b w:val="1"/>
                <w:bCs w:val="1"/>
                <w:color w:val="231F20"/>
              </w:rPr>
              <w:t>Property and equipment, net</w:t>
            </w:r>
          </w:p>
        </w:tc>
        <w:tc>
          <w:tcPr>
            <w:tcW w:w="112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60" w:type="dxa"/>
            <w:vAlign w:val="bottom"/>
          </w:tcPr>
          <w:p>
            <w:pPr>
              <w:jc w:val="right"/>
              <w:ind w:right="46"/>
              <w:spacing w:after="0"/>
              <w:rPr>
                <w:sz w:val="20"/>
                <w:szCs w:val="20"/>
                <w:color w:val="auto"/>
              </w:rPr>
            </w:pPr>
            <w:r>
              <w:rPr>
                <w:rFonts w:ascii="Arial" w:cs="Arial" w:eastAsia="Arial" w:hAnsi="Arial"/>
                <w:sz w:val="19"/>
                <w:szCs w:val="19"/>
                <w:b w:val="1"/>
                <w:bCs w:val="1"/>
                <w:color w:val="231F20"/>
              </w:rPr>
              <w:t>505</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664</w:t>
            </w:r>
          </w:p>
        </w:tc>
      </w:tr>
    </w:tbl>
    <w:p>
      <w:pPr>
        <w:spacing w:after="0" w:line="322"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Depreciation expense on property and equipment amounted to $148 and $185 for the years ended December 31, 2025 and 2024, respectively.</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F-23</w:t>
      </w:r>
    </w:p>
    <w:p>
      <w:pPr>
        <w:sectPr>
          <w:pgSz w:w="12240" w:h="15840" w:orient="portrait"/>
          <w:cols w:equalWidth="0" w:num="1">
            <w:col w:w="9360"/>
          </w:cols>
          <w:pgMar w:left="1440" w:top="1440" w:right="1440" w:bottom="390" w:gutter="0" w:footer="0" w:header="0"/>
          <w:type w:val="continuous"/>
        </w:sectPr>
      </w:pPr>
    </w:p>
    <w:bookmarkStart w:id="125" w:name="page126"/>
    <w:bookmarkEnd w:id="125"/>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8. Intangible Assets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The components of intangible assets were as follows:</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4"/>
          </w:tcPr>
          <w:p>
            <w:pPr>
              <w:jc w:val="center"/>
              <w:ind w:right="107"/>
              <w:spacing w:after="0"/>
              <w:rPr>
                <w:sz w:val="20"/>
                <w:szCs w:val="20"/>
                <w:color w:val="auto"/>
              </w:rPr>
            </w:pPr>
            <w:r>
              <w:rPr>
                <w:rFonts w:ascii="Arial" w:cs="Arial" w:eastAsia="Arial" w:hAnsi="Arial"/>
                <w:sz w:val="16"/>
                <w:szCs w:val="16"/>
                <w:b w:val="1"/>
                <w:bCs w:val="1"/>
                <w:color w:val="231F20"/>
                <w:w w:val="85"/>
              </w:rPr>
              <w:t>As of December 31, 2025</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231F20"/>
                <w:w w:val="88"/>
              </w:rPr>
              <w:t>As of December 31, 2024</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9"/>
        </w:trPr>
        <w:tc>
          <w:tcPr>
            <w:tcW w:w="2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231F20"/>
                <w:w w:val="88"/>
              </w:rPr>
              <w:t>Accumul</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231F20"/>
                <w:w w:val="88"/>
              </w:rPr>
              <w:t>Accumul</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78"/>
        </w:trPr>
        <w:tc>
          <w:tcPr>
            <w:tcW w:w="2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jc w:val="center"/>
              <w:ind w:right="109"/>
              <w:spacing w:after="0" w:line="178" w:lineRule="exact"/>
              <w:rPr>
                <w:sz w:val="20"/>
                <w:szCs w:val="20"/>
                <w:color w:val="auto"/>
              </w:rPr>
            </w:pPr>
            <w:r>
              <w:rPr>
                <w:rFonts w:ascii="Arial" w:cs="Arial" w:eastAsia="Arial" w:hAnsi="Arial"/>
                <w:sz w:val="16"/>
                <w:szCs w:val="16"/>
                <w:b w:val="1"/>
                <w:bCs w:val="1"/>
                <w:color w:val="231F20"/>
                <w:w w:val="86"/>
              </w:rPr>
              <w:t>Gross</w:t>
            </w:r>
          </w:p>
        </w:tc>
        <w:tc>
          <w:tcPr>
            <w:tcW w:w="8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1"/>
              </w:rPr>
              <w:t>ated</w:t>
            </w:r>
          </w:p>
        </w:tc>
        <w:tc>
          <w:tcPr>
            <w:tcW w:w="220" w:type="dxa"/>
            <w:vAlign w:val="bottom"/>
          </w:tcPr>
          <w:p>
            <w:pPr>
              <w:spacing w:after="0"/>
              <w:rPr>
                <w:sz w:val="15"/>
                <w:szCs w:val="15"/>
                <w:color w:val="auto"/>
              </w:rPr>
            </w:pPr>
          </w:p>
        </w:tc>
        <w:tc>
          <w:tcPr>
            <w:tcW w:w="600" w:type="dxa"/>
            <w:vAlign w:val="bottom"/>
          </w:tcPr>
          <w:p>
            <w:pPr>
              <w:jc w:val="center"/>
              <w:ind w:right="167"/>
              <w:spacing w:after="0" w:line="178" w:lineRule="exact"/>
              <w:rPr>
                <w:sz w:val="20"/>
                <w:szCs w:val="20"/>
                <w:color w:val="auto"/>
              </w:rPr>
            </w:pPr>
            <w:r>
              <w:rPr>
                <w:rFonts w:ascii="Arial" w:cs="Arial" w:eastAsia="Arial" w:hAnsi="Arial"/>
                <w:sz w:val="16"/>
                <w:szCs w:val="16"/>
                <w:b w:val="1"/>
                <w:bCs w:val="1"/>
                <w:color w:val="231F20"/>
                <w:w w:val="85"/>
              </w:rPr>
              <w:t>Net</w:t>
            </w:r>
          </w:p>
        </w:tc>
        <w:tc>
          <w:tcPr>
            <w:tcW w:w="220" w:type="dxa"/>
            <w:vAlign w:val="bottom"/>
          </w:tcPr>
          <w:p>
            <w:pPr>
              <w:spacing w:after="0"/>
              <w:rPr>
                <w:sz w:val="15"/>
                <w:szCs w:val="15"/>
                <w:color w:val="auto"/>
              </w:rPr>
            </w:pPr>
          </w:p>
        </w:tc>
        <w:tc>
          <w:tcPr>
            <w:tcW w:w="600" w:type="dxa"/>
            <w:vAlign w:val="bottom"/>
          </w:tcPr>
          <w:p>
            <w:pPr>
              <w:jc w:val="center"/>
              <w:ind w:right="87"/>
              <w:spacing w:after="0" w:line="178" w:lineRule="exact"/>
              <w:rPr>
                <w:sz w:val="20"/>
                <w:szCs w:val="20"/>
                <w:color w:val="auto"/>
              </w:rPr>
            </w:pPr>
            <w:r>
              <w:rPr>
                <w:rFonts w:ascii="Arial" w:cs="Arial" w:eastAsia="Arial" w:hAnsi="Arial"/>
                <w:sz w:val="16"/>
                <w:szCs w:val="16"/>
                <w:b w:val="1"/>
                <w:bCs w:val="1"/>
                <w:color w:val="231F20"/>
                <w:w w:val="82"/>
              </w:rPr>
              <w:t>Gross</w:t>
            </w:r>
          </w:p>
        </w:tc>
        <w:tc>
          <w:tcPr>
            <w:tcW w:w="9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4"/>
              </w:rPr>
              <w:t>ated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center"/>
              <w:ind w:right="67"/>
              <w:spacing w:after="0" w:line="178" w:lineRule="exact"/>
              <w:rPr>
                <w:sz w:val="20"/>
                <w:szCs w:val="20"/>
                <w:color w:val="auto"/>
              </w:rPr>
            </w:pPr>
            <w:r>
              <w:rPr>
                <w:rFonts w:ascii="Arial" w:cs="Arial" w:eastAsia="Arial" w:hAnsi="Arial"/>
                <w:sz w:val="16"/>
                <w:szCs w:val="16"/>
                <w:b w:val="1"/>
                <w:bCs w:val="1"/>
                <w:color w:val="231F20"/>
                <w:w w:val="85"/>
              </w:rPr>
              <w:t>Net</w:t>
            </w:r>
          </w:p>
        </w:tc>
      </w:tr>
      <w:tr>
        <w:trPr>
          <w:trHeight w:val="178"/>
        </w:trPr>
        <w:tc>
          <w:tcPr>
            <w:tcW w:w="2780" w:type="dxa"/>
            <w:vAlign w:val="bottom"/>
          </w:tcPr>
          <w:p>
            <w:pPr>
              <w:spacing w:after="0"/>
              <w:rPr>
                <w:sz w:val="15"/>
                <w:szCs w:val="15"/>
                <w:color w:val="auto"/>
              </w:rPr>
            </w:pPr>
          </w:p>
        </w:tc>
        <w:tc>
          <w:tcPr>
            <w:tcW w:w="1240" w:type="dxa"/>
            <w:vAlign w:val="bottom"/>
            <w:gridSpan w:val="2"/>
          </w:tcPr>
          <w:p>
            <w:pPr>
              <w:jc w:val="center"/>
              <w:ind w:left="312"/>
              <w:spacing w:after="0" w:line="178" w:lineRule="exact"/>
              <w:rPr>
                <w:sz w:val="20"/>
                <w:szCs w:val="20"/>
                <w:color w:val="auto"/>
              </w:rPr>
            </w:pPr>
            <w:r>
              <w:rPr>
                <w:rFonts w:ascii="Arial" w:cs="Arial" w:eastAsia="Arial" w:hAnsi="Arial"/>
                <w:sz w:val="16"/>
                <w:szCs w:val="16"/>
                <w:b w:val="1"/>
                <w:bCs w:val="1"/>
                <w:color w:val="231F20"/>
                <w:w w:val="91"/>
              </w:rPr>
              <w:t>Carrying</w:t>
            </w:r>
          </w:p>
        </w:tc>
        <w:tc>
          <w:tcPr>
            <w:tcW w:w="8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0"/>
              </w:rPr>
              <w:t>Amortiza</w:t>
            </w:r>
          </w:p>
        </w:tc>
        <w:tc>
          <w:tcPr>
            <w:tcW w:w="8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231F20"/>
                <w:w w:val="94"/>
              </w:rPr>
              <w:t>Carrying</w:t>
            </w:r>
          </w:p>
        </w:tc>
        <w:tc>
          <w:tcPr>
            <w:tcW w:w="8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231F20"/>
                <w:w w:val="94"/>
              </w:rPr>
              <w:t>Carrying</w:t>
            </w:r>
          </w:p>
        </w:tc>
        <w:tc>
          <w:tcPr>
            <w:tcW w:w="92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3"/>
              </w:rPr>
              <w:t>Amortiza</w:t>
            </w:r>
          </w:p>
        </w:tc>
        <w:tc>
          <w:tcPr>
            <w:tcW w:w="820" w:type="dxa"/>
            <w:vAlign w:val="bottom"/>
            <w:gridSpan w:val="2"/>
          </w:tcPr>
          <w:p>
            <w:pPr>
              <w:jc w:val="right"/>
              <w:ind w:right="67"/>
              <w:spacing w:after="0" w:line="178" w:lineRule="exact"/>
              <w:rPr>
                <w:sz w:val="20"/>
                <w:szCs w:val="20"/>
                <w:color w:val="auto"/>
              </w:rPr>
            </w:pPr>
            <w:r>
              <w:rPr>
                <w:rFonts w:ascii="Arial" w:cs="Arial" w:eastAsia="Arial" w:hAnsi="Arial"/>
                <w:sz w:val="16"/>
                <w:szCs w:val="16"/>
                <w:b w:val="1"/>
                <w:bCs w:val="1"/>
                <w:color w:val="231F20"/>
              </w:rPr>
              <w:t>Impairm</w:t>
            </w:r>
          </w:p>
        </w:tc>
        <w:tc>
          <w:tcPr>
            <w:tcW w:w="7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231F20"/>
                <w:w w:val="94"/>
              </w:rPr>
              <w:t>Carrying</w:t>
            </w:r>
          </w:p>
        </w:tc>
      </w:tr>
      <w:tr>
        <w:trPr>
          <w:trHeight w:val="180"/>
        </w:trPr>
        <w:tc>
          <w:tcPr>
            <w:tcW w:w="2780" w:type="dxa"/>
            <w:vAlign w:val="bottom"/>
          </w:tcPr>
          <w:p>
            <w:pPr>
              <w:spacing w:after="0"/>
              <w:rPr>
                <w:sz w:val="15"/>
                <w:szCs w:val="15"/>
                <w:color w:val="auto"/>
              </w:rPr>
            </w:pPr>
          </w:p>
        </w:tc>
        <w:tc>
          <w:tcPr>
            <w:tcW w:w="1240" w:type="dxa"/>
            <w:vAlign w:val="bottom"/>
            <w:gridSpan w:val="2"/>
          </w:tcPr>
          <w:p>
            <w:pPr>
              <w:jc w:val="center"/>
              <w:ind w:left="312"/>
              <w:spacing w:after="0" w:line="180" w:lineRule="exact"/>
              <w:rPr>
                <w:sz w:val="20"/>
                <w:szCs w:val="20"/>
                <w:color w:val="auto"/>
              </w:rPr>
            </w:pPr>
            <w:r>
              <w:rPr>
                <w:rFonts w:ascii="Arial" w:cs="Arial" w:eastAsia="Arial" w:hAnsi="Arial"/>
                <w:sz w:val="16"/>
                <w:szCs w:val="16"/>
                <w:b w:val="1"/>
                <w:bCs w:val="1"/>
                <w:color w:val="231F20"/>
                <w:w w:val="92"/>
              </w:rPr>
              <w:t>Amount</w:t>
            </w: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8"/>
              </w:rPr>
              <w:t>tion</w:t>
            </w:r>
          </w:p>
        </w:tc>
        <w:tc>
          <w:tcPr>
            <w:tcW w:w="82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31F20"/>
                <w:w w:val="89"/>
              </w:rPr>
              <w:t>Amount</w:t>
            </w:r>
          </w:p>
        </w:tc>
        <w:tc>
          <w:tcPr>
            <w:tcW w:w="82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31F20"/>
                <w:w w:val="89"/>
              </w:rPr>
              <w:t>Amount</w:t>
            </w: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8"/>
              </w:rPr>
              <w:t>tion</w:t>
            </w:r>
          </w:p>
        </w:tc>
        <w:tc>
          <w:tcPr>
            <w:tcW w:w="160" w:type="dxa"/>
            <w:vAlign w:val="bottom"/>
          </w:tcPr>
          <w:p>
            <w:pPr>
              <w:spacing w:after="0"/>
              <w:rPr>
                <w:sz w:val="15"/>
                <w:szCs w:val="15"/>
                <w:color w:val="auto"/>
              </w:rPr>
            </w:pPr>
          </w:p>
        </w:tc>
        <w:tc>
          <w:tcPr>
            <w:tcW w:w="660" w:type="dxa"/>
            <w:vAlign w:val="bottom"/>
          </w:tcPr>
          <w:p>
            <w:pPr>
              <w:jc w:val="right"/>
              <w:ind w:right="247"/>
              <w:spacing w:after="0" w:line="180" w:lineRule="exact"/>
              <w:rPr>
                <w:sz w:val="20"/>
                <w:szCs w:val="20"/>
                <w:color w:val="auto"/>
              </w:rPr>
            </w:pPr>
            <w:r>
              <w:rPr>
                <w:rFonts w:ascii="Arial" w:cs="Arial" w:eastAsia="Arial" w:hAnsi="Arial"/>
                <w:sz w:val="16"/>
                <w:szCs w:val="16"/>
                <w:b w:val="1"/>
                <w:bCs w:val="1"/>
                <w:color w:val="231F20"/>
              </w:rPr>
              <w:t>ent</w:t>
            </w:r>
          </w:p>
        </w:tc>
        <w:tc>
          <w:tcPr>
            <w:tcW w:w="72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31F20"/>
                <w:w w:val="89"/>
              </w:rPr>
              <w:t>Amount</w:t>
            </w:r>
          </w:p>
        </w:tc>
      </w:tr>
      <w:tr>
        <w:trPr>
          <w:trHeight w:val="251"/>
        </w:trPr>
        <w:tc>
          <w:tcPr>
            <w:tcW w:w="2780" w:type="dxa"/>
            <w:vAlign w:val="bottom"/>
          </w:tcPr>
          <w:p>
            <w:pPr>
              <w:spacing w:after="0"/>
              <w:rPr>
                <w:sz w:val="20"/>
                <w:szCs w:val="20"/>
                <w:color w:val="auto"/>
              </w:rPr>
            </w:pPr>
            <w:r>
              <w:rPr>
                <w:rFonts w:ascii="Arial" w:cs="Arial" w:eastAsia="Arial" w:hAnsi="Arial"/>
                <w:sz w:val="19"/>
                <w:szCs w:val="19"/>
                <w:b w:val="1"/>
                <w:bCs w:val="1"/>
                <w:color w:val="231F20"/>
              </w:rPr>
              <w:t>Finite-lived intangible assets:</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2"/>
        </w:trPr>
        <w:tc>
          <w:tcPr>
            <w:tcW w:w="2780" w:type="dxa"/>
            <w:vAlign w:val="bottom"/>
          </w:tcPr>
          <w:p>
            <w:pPr>
              <w:spacing w:after="0" w:line="252" w:lineRule="exact"/>
              <w:rPr>
                <w:sz w:val="20"/>
                <w:szCs w:val="20"/>
                <w:color w:val="auto"/>
              </w:rPr>
            </w:pPr>
            <w:r>
              <w:rPr>
                <w:rFonts w:ascii="Arial" w:cs="Arial" w:eastAsia="Arial" w:hAnsi="Arial"/>
                <w:sz w:val="19"/>
                <w:szCs w:val="19"/>
                <w:b w:val="1"/>
                <w:bCs w:val="1"/>
                <w:color w:val="231F20"/>
              </w:rPr>
              <w:t xml:space="preserve">Customer relationships </w:t>
            </w:r>
            <w:r>
              <w:rPr>
                <w:rFonts w:ascii="Arial" w:cs="Arial" w:eastAsia="Arial" w:hAnsi="Arial"/>
                <w:sz w:val="25"/>
                <w:szCs w:val="25"/>
                <w:b w:val="1"/>
                <w:bCs w:val="1"/>
                <w:color w:val="231F20"/>
                <w:vertAlign w:val="superscript"/>
              </w:rPr>
              <w:t>1,2</w:t>
            </w:r>
          </w:p>
        </w:tc>
        <w:tc>
          <w:tcPr>
            <w:tcW w:w="6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640" w:type="dxa"/>
            <w:vAlign w:val="bottom"/>
          </w:tcPr>
          <w:p>
            <w:pPr>
              <w:jc w:val="right"/>
              <w:spacing w:after="0"/>
              <w:rPr>
                <w:sz w:val="20"/>
                <w:szCs w:val="20"/>
                <w:color w:val="auto"/>
              </w:rPr>
            </w:pPr>
            <w:r>
              <w:rPr>
                <w:rFonts w:ascii="Arial" w:cs="Arial" w:eastAsia="Arial" w:hAnsi="Arial"/>
                <w:sz w:val="19"/>
                <w:szCs w:val="19"/>
                <w:b w:val="1"/>
                <w:bCs w:val="1"/>
                <w:color w:val="231F20"/>
              </w:rPr>
              <w:t>4,292</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 (2,985)</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600" w:type="dxa"/>
            <w:vAlign w:val="bottom"/>
          </w:tcPr>
          <w:p>
            <w:pPr>
              <w:jc w:val="right"/>
              <w:ind w:right="7"/>
              <w:spacing w:after="0"/>
              <w:rPr>
                <w:sz w:val="20"/>
                <w:szCs w:val="20"/>
                <w:color w:val="auto"/>
              </w:rPr>
            </w:pPr>
            <w:r>
              <w:rPr>
                <w:rFonts w:ascii="Arial" w:cs="Arial" w:eastAsia="Arial" w:hAnsi="Arial"/>
                <w:sz w:val="19"/>
                <w:szCs w:val="19"/>
                <w:b w:val="1"/>
                <w:bCs w:val="1"/>
                <w:color w:val="231F20"/>
              </w:rPr>
              <w:t>1,307</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600" w:type="dxa"/>
            <w:vAlign w:val="bottom"/>
          </w:tcPr>
          <w:p>
            <w:pPr>
              <w:jc w:val="right"/>
              <w:spacing w:after="0"/>
              <w:rPr>
                <w:sz w:val="20"/>
                <w:szCs w:val="20"/>
                <w:color w:val="auto"/>
              </w:rPr>
            </w:pPr>
            <w:r>
              <w:rPr>
                <w:rFonts w:ascii="Arial" w:cs="Arial" w:eastAsia="Arial" w:hAnsi="Arial"/>
                <w:sz w:val="19"/>
                <w:szCs w:val="19"/>
                <w:b w:val="1"/>
                <w:bCs w:val="1"/>
                <w:color w:val="231F20"/>
              </w:rPr>
              <w:t>4,292</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231F20"/>
              </w:rPr>
              <w:t>$ (2,678)</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gridSpan w:val="2"/>
          </w:tcPr>
          <w:p>
            <w:pPr>
              <w:jc w:val="right"/>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231F20"/>
              </w:rPr>
              <w:t>1,614</w:t>
            </w:r>
          </w:p>
        </w:tc>
      </w:tr>
      <w:tr>
        <w:trPr>
          <w:trHeight w:val="235"/>
        </w:trPr>
        <w:tc>
          <w:tcPr>
            <w:tcW w:w="2780" w:type="dxa"/>
            <w:vAlign w:val="bottom"/>
          </w:tcPr>
          <w:p>
            <w:pPr>
              <w:spacing w:after="0" w:line="235" w:lineRule="exact"/>
              <w:rPr>
                <w:sz w:val="20"/>
                <w:szCs w:val="20"/>
                <w:color w:val="auto"/>
              </w:rPr>
            </w:pPr>
            <w:r>
              <w:rPr>
                <w:rFonts w:ascii="Arial" w:cs="Arial" w:eastAsia="Arial" w:hAnsi="Arial"/>
                <w:sz w:val="19"/>
                <w:szCs w:val="19"/>
                <w:b w:val="1"/>
                <w:bCs w:val="1"/>
                <w:color w:val="231F20"/>
              </w:rPr>
              <w:t xml:space="preserve">Acquired technology </w:t>
            </w:r>
            <w:r>
              <w:rPr>
                <w:rFonts w:ascii="Arial" w:cs="Arial" w:eastAsia="Arial" w:hAnsi="Arial"/>
                <w:sz w:val="25"/>
                <w:szCs w:val="25"/>
                <w:b w:val="1"/>
                <w:bCs w:val="1"/>
                <w:color w:val="231F20"/>
                <w:vertAlign w:val="superscript"/>
              </w:rPr>
              <w:t>1,3,4,5</w:t>
            </w:r>
          </w:p>
        </w:tc>
        <w:tc>
          <w:tcPr>
            <w:tcW w:w="6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9"/>
                <w:szCs w:val="19"/>
                <w:b w:val="1"/>
                <w:bCs w:val="1"/>
                <w:color w:val="231F20"/>
              </w:rPr>
              <w:t>9,200</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(5,316)</w:t>
            </w:r>
          </w:p>
        </w:tc>
        <w:tc>
          <w:tcPr>
            <w:tcW w:w="220" w:type="dxa"/>
            <w:vAlign w:val="bottom"/>
          </w:tcPr>
          <w:p>
            <w:pPr>
              <w:spacing w:after="0"/>
              <w:rPr>
                <w:sz w:val="20"/>
                <w:szCs w:val="20"/>
                <w:color w:val="auto"/>
              </w:rPr>
            </w:pPr>
          </w:p>
        </w:tc>
        <w:tc>
          <w:tcPr>
            <w:tcW w:w="600" w:type="dxa"/>
            <w:vAlign w:val="bottom"/>
          </w:tcPr>
          <w:p>
            <w:pPr>
              <w:jc w:val="right"/>
              <w:ind w:right="7"/>
              <w:spacing w:after="0"/>
              <w:rPr>
                <w:sz w:val="20"/>
                <w:szCs w:val="20"/>
                <w:color w:val="auto"/>
              </w:rPr>
            </w:pPr>
            <w:r>
              <w:rPr>
                <w:rFonts w:ascii="Arial" w:cs="Arial" w:eastAsia="Arial" w:hAnsi="Arial"/>
                <w:sz w:val="19"/>
                <w:szCs w:val="19"/>
                <w:b w:val="1"/>
                <w:bCs w:val="1"/>
                <w:color w:val="231F20"/>
              </w:rPr>
              <w:t>3,884</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231F20"/>
                <w:w w:val="89"/>
              </w:rPr>
              <w:t>13,900</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231F20"/>
              </w:rPr>
              <w:t>(5,459)</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231F20"/>
                <w:w w:val="96"/>
              </w:rPr>
              <w:t>(3,943)</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b w:val="1"/>
                <w:bCs w:val="1"/>
                <w:color w:val="231F20"/>
              </w:rPr>
              <w:t>4,498</w:t>
            </w:r>
          </w:p>
        </w:tc>
      </w:tr>
      <w:tr>
        <w:trPr>
          <w:trHeight w:val="259"/>
        </w:trPr>
        <w:tc>
          <w:tcPr>
            <w:tcW w:w="2780" w:type="dxa"/>
            <w:vAlign w:val="bottom"/>
          </w:tcPr>
          <w:p>
            <w:pPr>
              <w:spacing w:after="0" w:line="259" w:lineRule="exact"/>
              <w:rPr>
                <w:sz w:val="20"/>
                <w:szCs w:val="20"/>
                <w:color w:val="auto"/>
              </w:rPr>
            </w:pPr>
            <w:r>
              <w:rPr>
                <w:rFonts w:ascii="Arial" w:cs="Arial" w:eastAsia="Arial" w:hAnsi="Arial"/>
                <w:sz w:val="19"/>
                <w:szCs w:val="19"/>
                <w:b w:val="1"/>
                <w:bCs w:val="1"/>
                <w:color w:val="231F20"/>
              </w:rPr>
              <w:t xml:space="preserve">Acquired trademarks </w:t>
            </w:r>
            <w:r>
              <w:rPr>
                <w:rFonts w:ascii="Arial" w:cs="Arial" w:eastAsia="Arial" w:hAnsi="Arial"/>
                <w:sz w:val="25"/>
                <w:szCs w:val="25"/>
                <w:b w:val="1"/>
                <w:bCs w:val="1"/>
                <w:color w:val="231F20"/>
                <w:vertAlign w:val="superscript"/>
              </w:rPr>
              <w:t>1</w:t>
            </w:r>
          </w:p>
        </w:tc>
        <w:tc>
          <w:tcPr>
            <w:tcW w:w="6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9"/>
                <w:szCs w:val="19"/>
                <w:b w:val="1"/>
                <w:bCs w:val="1"/>
                <w:color w:val="231F20"/>
              </w:rPr>
              <w:t>570</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(570)</w:t>
            </w:r>
          </w:p>
        </w:tc>
        <w:tc>
          <w:tcPr>
            <w:tcW w:w="220" w:type="dxa"/>
            <w:vAlign w:val="bottom"/>
          </w:tcPr>
          <w:p>
            <w:pPr>
              <w:spacing w:after="0"/>
              <w:rPr>
                <w:sz w:val="22"/>
                <w:szCs w:val="22"/>
                <w:color w:val="auto"/>
              </w:rPr>
            </w:pPr>
          </w:p>
        </w:tc>
        <w:tc>
          <w:tcPr>
            <w:tcW w:w="600" w:type="dxa"/>
            <w:vAlign w:val="bottom"/>
          </w:tcPr>
          <w:p>
            <w:pPr>
              <w:jc w:val="right"/>
              <w:ind w:right="7"/>
              <w:spacing w:after="0" w:line="223"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231F20"/>
              </w:rPr>
              <w:t>570</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231F20"/>
              </w:rPr>
              <w:t>(570)</w:t>
            </w:r>
          </w:p>
        </w:tc>
        <w:tc>
          <w:tcPr>
            <w:tcW w:w="160" w:type="dxa"/>
            <w:vAlign w:val="bottom"/>
          </w:tcPr>
          <w:p>
            <w:pPr>
              <w:spacing w:after="0"/>
              <w:rPr>
                <w:sz w:val="22"/>
                <w:szCs w:val="22"/>
                <w:color w:val="auto"/>
              </w:rPr>
            </w:pPr>
          </w:p>
        </w:tc>
        <w:tc>
          <w:tcPr>
            <w:tcW w:w="660" w:type="dxa"/>
            <w:vAlign w:val="bottom"/>
          </w:tcPr>
          <w:p>
            <w:pPr>
              <w:jc w:val="right"/>
              <w:ind w:right="27"/>
              <w:spacing w:after="0" w:line="223" w:lineRule="exact"/>
              <w:rPr>
                <w:sz w:val="20"/>
                <w:szCs w:val="20"/>
                <w:color w:val="auto"/>
              </w:rPr>
            </w:pPr>
            <w:r>
              <w:rPr>
                <w:rFonts w:ascii="PMingLiU" w:cs="PMingLiU" w:eastAsia="PMingLiU" w:hAnsi="PMingLiU"/>
                <w:sz w:val="19"/>
                <w:szCs w:val="19"/>
                <w:b w:val="1"/>
                <w:bCs w:val="1"/>
                <w:color w:val="231F20"/>
              </w:rPr>
              <w:t></w:t>
            </w:r>
          </w:p>
        </w:tc>
        <w:tc>
          <w:tcPr>
            <w:tcW w:w="220" w:type="dxa"/>
            <w:vAlign w:val="bottom"/>
          </w:tcPr>
          <w:p>
            <w:pPr>
              <w:spacing w:after="0"/>
              <w:rPr>
                <w:sz w:val="22"/>
                <w:szCs w:val="22"/>
                <w:color w:val="auto"/>
              </w:rPr>
            </w:pPr>
          </w:p>
        </w:tc>
        <w:tc>
          <w:tcPr>
            <w:tcW w:w="50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r>
      <w:tr>
        <w:trPr>
          <w:trHeight w:val="213"/>
        </w:trPr>
        <w:tc>
          <w:tcPr>
            <w:tcW w:w="2780" w:type="dxa"/>
            <w:vAlign w:val="bottom"/>
          </w:tcPr>
          <w:p>
            <w:pPr>
              <w:spacing w:after="0"/>
              <w:rPr>
                <w:sz w:val="18"/>
                <w:szCs w:val="18"/>
                <w:color w:val="auto"/>
              </w:rPr>
            </w:pPr>
          </w:p>
        </w:tc>
        <w:tc>
          <w:tcPr>
            <w:tcW w:w="6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64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92"/>
              </w:rPr>
              <w:t>14,062</w:t>
            </w:r>
          </w:p>
        </w:tc>
        <w:tc>
          <w:tcPr>
            <w:tcW w:w="88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 (8,871)</w:t>
            </w:r>
          </w:p>
        </w:tc>
        <w:tc>
          <w:tcPr>
            <w:tcW w:w="2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600" w:type="dxa"/>
            <w:vAlign w:val="bottom"/>
          </w:tcPr>
          <w:p>
            <w:pPr>
              <w:jc w:val="right"/>
              <w:ind w:right="7"/>
              <w:spacing w:after="0" w:line="214" w:lineRule="exact"/>
              <w:rPr>
                <w:sz w:val="20"/>
                <w:szCs w:val="20"/>
                <w:color w:val="auto"/>
              </w:rPr>
            </w:pPr>
            <w:r>
              <w:rPr>
                <w:rFonts w:ascii="Arial" w:cs="Arial" w:eastAsia="Arial" w:hAnsi="Arial"/>
                <w:sz w:val="19"/>
                <w:szCs w:val="19"/>
                <w:b w:val="1"/>
                <w:bCs w:val="1"/>
                <w:color w:val="231F20"/>
              </w:rPr>
              <w:t>5,191</w:t>
            </w:r>
          </w:p>
        </w:tc>
        <w:tc>
          <w:tcPr>
            <w:tcW w:w="2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6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89"/>
              </w:rPr>
              <w:t>18,762</w:t>
            </w:r>
          </w:p>
        </w:tc>
        <w:tc>
          <w:tcPr>
            <w:tcW w:w="9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 (8,707)</w:t>
            </w:r>
          </w:p>
        </w:tc>
        <w:tc>
          <w:tcPr>
            <w:tcW w:w="16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66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96"/>
              </w:rPr>
              <w:t>(3,943)</w:t>
            </w:r>
          </w:p>
        </w:tc>
        <w:tc>
          <w:tcPr>
            <w:tcW w:w="2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5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6,112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-1252220</wp:posOffset>
            </wp:positionV>
            <wp:extent cx="5792470" cy="6479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2470" cy="6479540"/>
                    </a:xfrm>
                    <a:prstGeom prst="rect">
                      <a:avLst/>
                    </a:prstGeom>
                    <a:noFill/>
                  </pic:spPr>
                </pic:pic>
              </a:graphicData>
            </a:graphic>
          </wp:anchor>
        </w:drawing>
      </w:r>
    </w:p>
    <w:p>
      <w:pPr>
        <w:spacing w:after="0" w:line="216" w:lineRule="exact"/>
        <w:rPr>
          <w:sz w:val="20"/>
          <w:szCs w:val="20"/>
          <w:color w:val="auto"/>
        </w:rPr>
      </w:pPr>
    </w:p>
    <w:p>
      <w:pPr>
        <w:jc w:val="both"/>
        <w:ind w:left="140" w:right="140" w:firstLine="2"/>
        <w:spacing w:after="0" w:line="221" w:lineRule="exact"/>
        <w:tabs>
          <w:tab w:leader="none" w:pos="243" w:val="left"/>
        </w:tabs>
        <w:numPr>
          <w:ilvl w:val="0"/>
          <w:numId w:val="64"/>
        </w:numPr>
        <w:rPr>
          <w:rFonts w:ascii="Arial" w:cs="Arial" w:eastAsia="Arial" w:hAnsi="Arial"/>
          <w:sz w:val="22"/>
          <w:szCs w:val="22"/>
          <w:b w:val="1"/>
          <w:bCs w:val="1"/>
          <w:color w:val="231F20"/>
          <w:vertAlign w:val="superscript"/>
        </w:rPr>
      </w:pPr>
      <w:r>
        <w:rPr>
          <w:rFonts w:ascii="Arial" w:cs="Arial" w:eastAsia="Arial" w:hAnsi="Arial"/>
          <w:sz w:val="17"/>
          <w:szCs w:val="17"/>
          <w:b w:val="1"/>
          <w:bCs w:val="1"/>
          <w:color w:val="231F20"/>
        </w:rPr>
        <w:t>Certain intangible assets were established upon PDL BioPharma, Inc.</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PDL</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w:t>
      </w:r>
    </w:p>
    <w:p>
      <w:pPr>
        <w:spacing w:after="0" w:line="206" w:lineRule="exact"/>
        <w:rPr>
          <w:sz w:val="20"/>
          <w:szCs w:val="20"/>
          <w:color w:val="auto"/>
        </w:rPr>
      </w:pPr>
    </w:p>
    <w:p>
      <w:pPr>
        <w:ind w:left="140" w:right="140" w:firstLine="2"/>
        <w:spacing w:after="0" w:line="222" w:lineRule="auto"/>
        <w:tabs>
          <w:tab w:leader="none" w:pos="241" w:val="left"/>
        </w:tabs>
        <w:numPr>
          <w:ilvl w:val="0"/>
          <w:numId w:val="65"/>
        </w:numPr>
        <w:rPr>
          <w:rFonts w:ascii="Arial" w:cs="Arial" w:eastAsia="Arial" w:hAnsi="Arial"/>
          <w:sz w:val="23"/>
          <w:szCs w:val="23"/>
          <w:b w:val="1"/>
          <w:bCs w:val="1"/>
          <w:color w:val="231F20"/>
          <w:vertAlign w:val="superscript"/>
        </w:rPr>
      </w:pPr>
      <w:r>
        <w:rPr>
          <w:rFonts w:ascii="Arial" w:cs="Arial" w:eastAsia="Arial" w:hAnsi="Arial"/>
          <w:sz w:val="18"/>
          <w:szCs w:val="18"/>
          <w:b w:val="1"/>
          <w:bCs w:val="1"/>
          <w:color w:val="231F20"/>
        </w:rPr>
        <w:t>The Company acquired certain intangible assets for customer relationships from a domestic distributor in an asset acquisition, which are being amortized on a straight-line basis over a period of 10 years.</w:t>
      </w:r>
    </w:p>
    <w:p>
      <w:pPr>
        <w:spacing w:after="0" w:line="205" w:lineRule="exact"/>
        <w:rPr>
          <w:sz w:val="20"/>
          <w:szCs w:val="20"/>
          <w:color w:val="auto"/>
        </w:rPr>
      </w:pPr>
    </w:p>
    <w:p>
      <w:pPr>
        <w:ind w:left="140" w:right="140" w:firstLine="2"/>
        <w:spacing w:after="0" w:line="207" w:lineRule="auto"/>
        <w:tabs>
          <w:tab w:leader="none" w:pos="236" w:val="left"/>
        </w:tabs>
        <w:numPr>
          <w:ilvl w:val="0"/>
          <w:numId w:val="66"/>
        </w:numPr>
        <w:rPr>
          <w:rFonts w:ascii="Arial" w:cs="Arial" w:eastAsia="Arial" w:hAnsi="Arial"/>
          <w:sz w:val="25"/>
          <w:szCs w:val="25"/>
          <w:b w:val="1"/>
          <w:bCs w:val="1"/>
          <w:color w:val="231F20"/>
          <w:vertAlign w:val="superscript"/>
        </w:rPr>
      </w:pPr>
      <w:r>
        <w:rPr>
          <w:rFonts w:ascii="Arial" w:cs="Arial" w:eastAsia="Arial" w:hAnsi="Arial"/>
          <w:sz w:val="19"/>
          <w:szCs w:val="19"/>
          <w:b w:val="1"/>
          <w:bCs w:val="1"/>
          <w:color w:val="231F20"/>
        </w:rPr>
        <w:t>The Company acquired certain intangible assets from a medical technology company in an asset acquisition, which were being amortized on a straight-line basis over a period of 15 years.</w:t>
      </w:r>
    </w:p>
    <w:p>
      <w:pPr>
        <w:spacing w:after="0" w:line="204" w:lineRule="exact"/>
        <w:rPr>
          <w:sz w:val="20"/>
          <w:szCs w:val="20"/>
          <w:color w:val="auto"/>
        </w:rPr>
      </w:pPr>
    </w:p>
    <w:p>
      <w:pPr>
        <w:jc w:val="both"/>
        <w:ind w:left="140" w:right="140" w:firstLine="2"/>
        <w:spacing w:after="0" w:line="219" w:lineRule="exact"/>
        <w:tabs>
          <w:tab w:leader="none" w:pos="262" w:val="left"/>
        </w:tabs>
        <w:numPr>
          <w:ilvl w:val="0"/>
          <w:numId w:val="67"/>
        </w:numPr>
        <w:rPr>
          <w:rFonts w:ascii="Arial" w:cs="Arial" w:eastAsia="Arial" w:hAnsi="Arial"/>
          <w:sz w:val="25"/>
          <w:szCs w:val="25"/>
          <w:b w:val="1"/>
          <w:bCs w:val="1"/>
          <w:color w:val="231F20"/>
          <w:vertAlign w:val="superscript"/>
        </w:rPr>
      </w:pPr>
      <w:r>
        <w:rPr>
          <w:rFonts w:ascii="Arial" w:cs="Arial" w:eastAsia="Arial" w:hAnsi="Arial"/>
          <w:sz w:val="19"/>
          <w:szCs w:val="19"/>
          <w:b w:val="1"/>
          <w:bCs w:val="1"/>
          <w:color w:val="231F20"/>
        </w:rPr>
        <w:t>In 2019, the Company acquired certain intellectual property from a third party. Pursuant to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agreement with the third party, the Company made milestone payments of $2,400 during the year ended December 31, 2022.</w:t>
      </w:r>
    </w:p>
    <w:p>
      <w:pPr>
        <w:spacing w:after="0" w:line="205" w:lineRule="exact"/>
        <w:rPr>
          <w:sz w:val="20"/>
          <w:szCs w:val="20"/>
          <w:color w:val="auto"/>
        </w:rPr>
      </w:pPr>
    </w:p>
    <w:p>
      <w:pPr>
        <w:jc w:val="both"/>
        <w:ind w:left="140" w:right="140" w:firstLine="2"/>
        <w:spacing w:after="0" w:line="222" w:lineRule="exact"/>
        <w:tabs>
          <w:tab w:leader="none" w:pos="267" w:val="left"/>
        </w:tabs>
        <w:numPr>
          <w:ilvl w:val="0"/>
          <w:numId w:val="68"/>
        </w:numPr>
        <w:rPr>
          <w:rFonts w:ascii="Arial" w:cs="Arial" w:eastAsia="Arial" w:hAnsi="Arial"/>
          <w:sz w:val="22"/>
          <w:szCs w:val="22"/>
          <w:b w:val="1"/>
          <w:bCs w:val="1"/>
          <w:color w:val="231F20"/>
          <w:vertAlign w:val="superscript"/>
        </w:rPr>
      </w:pPr>
      <w:r>
        <w:rPr>
          <w:rFonts w:ascii="Arial" w:cs="Arial" w:eastAsia="Arial" w:hAnsi="Arial"/>
          <w:sz w:val="17"/>
          <w:szCs w:val="17"/>
          <w:b w:val="1"/>
          <w:bCs w:val="1"/>
          <w:color w:val="231F20"/>
        </w:rPr>
        <w:t>In April 2024, the Company notified its third-party supplier of the phacoemulsification component in the ALLY System that the Company would no longer pursue integration with the supplier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contract liabilities associated with the intangible assets of $214.</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Amortization expense for the years ended December 31, 2025 and 2024 was $921 and $970, respectively.</w:t>
      </w:r>
    </w:p>
    <w:p>
      <w:pPr>
        <w:spacing w:after="0" w:line="249" w:lineRule="exact"/>
        <w:rPr>
          <w:sz w:val="20"/>
          <w:szCs w:val="20"/>
          <w:color w:val="auto"/>
        </w:rPr>
      </w:pPr>
    </w:p>
    <w:p>
      <w:pPr>
        <w:ind w:left="140" w:right="140"/>
        <w:spacing w:after="0" w:line="265" w:lineRule="auto"/>
        <w:rPr>
          <w:sz w:val="20"/>
          <w:szCs w:val="20"/>
          <w:color w:val="auto"/>
        </w:rPr>
      </w:pPr>
      <w:r>
        <w:rPr>
          <w:rFonts w:ascii="Arial" w:cs="Arial" w:eastAsia="Arial" w:hAnsi="Arial"/>
          <w:sz w:val="18"/>
          <w:szCs w:val="18"/>
          <w:b w:val="1"/>
          <w:bCs w:val="1"/>
          <w:color w:val="231F20"/>
        </w:rPr>
        <w:t>Based on the intangible assets recorded at December 31, 2025, and assuming no subsequent additions to or impairment of the underlying assets, the remaining amortization expense is expected to be as follows:</w:t>
      </w:r>
    </w:p>
    <w:p>
      <w:pPr>
        <w:spacing w:after="0" w:line="121" w:lineRule="exact"/>
        <w:rPr>
          <w:sz w:val="20"/>
          <w:szCs w:val="20"/>
          <w:color w:val="auto"/>
        </w:rPr>
      </w:pPr>
    </w:p>
    <w:tbl>
      <w:tblPr>
        <w:tblLayout w:type="fixed"/>
        <w:tblInd w:w="196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6"/>
                <w:szCs w:val="16"/>
                <w:b w:val="1"/>
                <w:bCs w:val="1"/>
                <w:color w:val="231F20"/>
              </w:rPr>
              <w:t>Fiscal Year</w:t>
            </w:r>
          </w:p>
        </w:tc>
        <w:tc>
          <w:tcPr>
            <w:tcW w:w="500" w:type="dxa"/>
            <w:vAlign w:val="bottom"/>
          </w:tcPr>
          <w:p>
            <w:pPr>
              <w:spacing w:after="0"/>
              <w:rPr>
                <w:sz w:val="16"/>
                <w:szCs w:val="16"/>
                <w:color w:val="auto"/>
              </w:rPr>
            </w:pPr>
          </w:p>
        </w:tc>
        <w:tc>
          <w:tcPr>
            <w:tcW w:w="800" w:type="dxa"/>
            <w:vAlign w:val="bottom"/>
          </w:tcPr>
          <w:p>
            <w:pPr>
              <w:jc w:val="right"/>
              <w:ind w:right="105"/>
              <w:spacing w:after="0"/>
              <w:rPr>
                <w:sz w:val="20"/>
                <w:szCs w:val="20"/>
                <w:color w:val="auto"/>
              </w:rPr>
            </w:pPr>
            <w:r>
              <w:rPr>
                <w:rFonts w:ascii="Arial" w:cs="Arial" w:eastAsia="Arial" w:hAnsi="Arial"/>
                <w:sz w:val="16"/>
                <w:szCs w:val="16"/>
                <w:b w:val="1"/>
                <w:bCs w:val="1"/>
                <w:color w:val="231F20"/>
                <w:w w:val="95"/>
              </w:rPr>
              <w:t>Amount</w:t>
            </w:r>
          </w:p>
        </w:tc>
      </w:tr>
      <w:tr>
        <w:trPr>
          <w:trHeight w:val="251"/>
        </w:trPr>
        <w:tc>
          <w:tcPr>
            <w:tcW w:w="406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911</w:t>
            </w:r>
          </w:p>
        </w:tc>
      </w:tr>
      <w:tr>
        <w:trPr>
          <w:trHeight w:val="238"/>
        </w:trPr>
        <w:tc>
          <w:tcPr>
            <w:tcW w:w="406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902</w:t>
            </w:r>
          </w:p>
        </w:tc>
      </w:tr>
      <w:tr>
        <w:trPr>
          <w:trHeight w:val="238"/>
        </w:trPr>
        <w:tc>
          <w:tcPr>
            <w:tcW w:w="406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694</w:t>
            </w:r>
          </w:p>
        </w:tc>
      </w:tr>
      <w:tr>
        <w:trPr>
          <w:trHeight w:val="235"/>
        </w:trPr>
        <w:tc>
          <w:tcPr>
            <w:tcW w:w="406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690</w:t>
            </w:r>
          </w:p>
        </w:tc>
      </w:tr>
      <w:tr>
        <w:trPr>
          <w:trHeight w:val="238"/>
        </w:trPr>
        <w:tc>
          <w:tcPr>
            <w:tcW w:w="4060" w:type="dxa"/>
            <w:vAlign w:val="bottom"/>
          </w:tcPr>
          <w:p>
            <w:pPr>
              <w:spacing w:after="0"/>
              <w:rPr>
                <w:sz w:val="20"/>
                <w:szCs w:val="20"/>
                <w:color w:val="auto"/>
              </w:rPr>
            </w:pPr>
            <w:r>
              <w:rPr>
                <w:rFonts w:ascii="Arial" w:cs="Arial" w:eastAsia="Arial" w:hAnsi="Arial"/>
                <w:sz w:val="19"/>
                <w:szCs w:val="19"/>
                <w:b w:val="1"/>
                <w:bCs w:val="1"/>
                <w:color w:val="231F20"/>
              </w:rPr>
              <w:t>2030</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690</w:t>
            </w:r>
          </w:p>
        </w:tc>
      </w:tr>
      <w:tr>
        <w:trPr>
          <w:trHeight w:val="238"/>
        </w:trPr>
        <w:tc>
          <w:tcPr>
            <w:tcW w:w="4060" w:type="dxa"/>
            <w:vAlign w:val="bottom"/>
          </w:tcPr>
          <w:p>
            <w:pPr>
              <w:spacing w:after="0"/>
              <w:rPr>
                <w:sz w:val="20"/>
                <w:szCs w:val="20"/>
                <w:color w:val="auto"/>
              </w:rPr>
            </w:pPr>
            <w:r>
              <w:rPr>
                <w:rFonts w:ascii="Arial" w:cs="Arial" w:eastAsia="Arial" w:hAnsi="Arial"/>
                <w:sz w:val="19"/>
                <w:szCs w:val="19"/>
                <w:b w:val="1"/>
                <w:bCs w:val="1"/>
                <w:color w:val="231F20"/>
              </w:rPr>
              <w:t>Thereafter</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1,304</w:t>
            </w:r>
          </w:p>
        </w:tc>
      </w:tr>
      <w:tr>
        <w:trPr>
          <w:trHeight w:val="250"/>
        </w:trPr>
        <w:tc>
          <w:tcPr>
            <w:tcW w:w="4060" w:type="dxa"/>
            <w:vAlign w:val="bottom"/>
          </w:tcPr>
          <w:p>
            <w:pPr>
              <w:spacing w:after="0"/>
              <w:rPr>
                <w:sz w:val="20"/>
                <w:szCs w:val="20"/>
                <w:color w:val="auto"/>
              </w:rPr>
            </w:pPr>
            <w:r>
              <w:rPr>
                <w:rFonts w:ascii="Arial" w:cs="Arial" w:eastAsia="Arial" w:hAnsi="Arial"/>
                <w:sz w:val="19"/>
                <w:szCs w:val="19"/>
                <w:b w:val="1"/>
                <w:bCs w:val="1"/>
                <w:color w:val="231F20"/>
                <w:w w:val="92"/>
              </w:rPr>
              <w:t>Total remaining estimated amortization expense</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5,191</w:t>
            </w: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F-24</w:t>
      </w:r>
    </w:p>
    <w:p>
      <w:pPr>
        <w:sectPr>
          <w:pgSz w:w="12240" w:h="15840" w:orient="portrait"/>
          <w:cols w:equalWidth="0" w:num="1">
            <w:col w:w="9360"/>
          </w:cols>
          <w:pgMar w:left="1440" w:top="1440" w:right="1440" w:bottom="390" w:gutter="0" w:footer="0" w:header="0"/>
          <w:type w:val="continuous"/>
        </w:sectPr>
      </w:pPr>
    </w:p>
    <w:bookmarkStart w:id="126" w:name="page127"/>
    <w:bookmarkEnd w:id="126"/>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9. Accrued Liabilities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Accrued liabilities consist of the following:</w:t>
      </w:r>
    </w:p>
    <w:p>
      <w:pPr>
        <w:spacing w:after="0" w:line="142"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gridSpan w:val="3"/>
          </w:tcPr>
          <w:p>
            <w:pPr>
              <w:jc w:val="right"/>
              <w:ind w:right="265"/>
              <w:spacing w:after="0"/>
              <w:rPr>
                <w:sz w:val="20"/>
                <w:szCs w:val="20"/>
                <w:color w:val="auto"/>
              </w:rPr>
            </w:pPr>
            <w:r>
              <w:rPr>
                <w:rFonts w:ascii="Arial" w:cs="Arial" w:eastAsia="Arial" w:hAnsi="Arial"/>
                <w:sz w:val="16"/>
                <w:szCs w:val="16"/>
                <w:b w:val="1"/>
                <w:bCs w:val="1"/>
                <w:color w:val="231F20"/>
                <w:w w:val="96"/>
              </w:rPr>
              <w:t>As of December 31,</w:t>
            </w:r>
          </w:p>
        </w:tc>
      </w:tr>
      <w:tr>
        <w:trPr>
          <w:trHeight w:val="209"/>
        </w:trPr>
        <w:tc>
          <w:tcPr>
            <w:tcW w:w="3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ind w:right="307"/>
              <w:spacing w:after="0"/>
              <w:rPr>
                <w:sz w:val="20"/>
                <w:szCs w:val="20"/>
                <w:color w:val="auto"/>
              </w:rPr>
            </w:pPr>
            <w:r>
              <w:rPr>
                <w:rFonts w:ascii="Arial" w:cs="Arial" w:eastAsia="Arial" w:hAnsi="Arial"/>
                <w:sz w:val="16"/>
                <w:szCs w:val="16"/>
                <w:b w:val="1"/>
                <w:bCs w:val="1"/>
                <w:color w:val="231F20"/>
              </w:rPr>
              <w:t>2025</w:t>
            </w:r>
          </w:p>
        </w:tc>
        <w:tc>
          <w:tcPr>
            <w:tcW w:w="280" w:type="dxa"/>
            <w:vAlign w:val="bottom"/>
          </w:tcPr>
          <w:p>
            <w:pPr>
              <w:spacing w:after="0"/>
              <w:rPr>
                <w:sz w:val="18"/>
                <w:szCs w:val="18"/>
                <w:color w:val="auto"/>
              </w:rPr>
            </w:pPr>
          </w:p>
        </w:tc>
        <w:tc>
          <w:tcPr>
            <w:tcW w:w="720" w:type="dxa"/>
            <w:vAlign w:val="bottom"/>
          </w:tcPr>
          <w:p>
            <w:pPr>
              <w:jc w:val="right"/>
              <w:ind w:right="205"/>
              <w:spacing w:after="0"/>
              <w:rPr>
                <w:sz w:val="20"/>
                <w:szCs w:val="20"/>
                <w:color w:val="auto"/>
              </w:rPr>
            </w:pPr>
            <w:r>
              <w:rPr>
                <w:rFonts w:ascii="Arial" w:cs="Arial" w:eastAsia="Arial" w:hAnsi="Arial"/>
                <w:sz w:val="16"/>
                <w:szCs w:val="16"/>
                <w:b w:val="1"/>
                <w:bCs w:val="1"/>
                <w:color w:val="231F20"/>
              </w:rPr>
              <w:t>2024</w:t>
            </w:r>
          </w:p>
        </w:tc>
      </w:tr>
      <w:tr>
        <w:trPr>
          <w:trHeight w:val="250"/>
        </w:trPr>
        <w:tc>
          <w:tcPr>
            <w:tcW w:w="3100" w:type="dxa"/>
            <w:vAlign w:val="bottom"/>
          </w:tcPr>
          <w:p>
            <w:pPr>
              <w:spacing w:after="0"/>
              <w:rPr>
                <w:sz w:val="20"/>
                <w:szCs w:val="20"/>
                <w:color w:val="auto"/>
              </w:rPr>
            </w:pPr>
            <w:r>
              <w:rPr>
                <w:rFonts w:ascii="Arial" w:cs="Arial" w:eastAsia="Arial" w:hAnsi="Arial"/>
                <w:sz w:val="19"/>
                <w:szCs w:val="19"/>
                <w:b w:val="1"/>
                <w:bCs w:val="1"/>
                <w:color w:val="231F20"/>
              </w:rPr>
              <w:t>Compensation</w:t>
            </w:r>
          </w:p>
        </w:tc>
        <w:tc>
          <w:tcPr>
            <w:tcW w:w="136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5,050</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5,002</w:t>
            </w:r>
          </w:p>
        </w:tc>
      </w:tr>
      <w:tr>
        <w:trPr>
          <w:trHeight w:val="235"/>
        </w:trPr>
        <w:tc>
          <w:tcPr>
            <w:tcW w:w="3100" w:type="dxa"/>
            <w:vAlign w:val="bottom"/>
          </w:tcPr>
          <w:p>
            <w:pPr>
              <w:spacing w:after="0"/>
              <w:rPr>
                <w:sz w:val="20"/>
                <w:szCs w:val="20"/>
                <w:color w:val="auto"/>
              </w:rPr>
            </w:pPr>
            <w:r>
              <w:rPr>
                <w:rFonts w:ascii="Arial" w:cs="Arial" w:eastAsia="Arial" w:hAnsi="Arial"/>
                <w:sz w:val="19"/>
                <w:szCs w:val="19"/>
                <w:b w:val="1"/>
                <w:bCs w:val="1"/>
                <w:color w:val="231F20"/>
              </w:rPr>
              <w:t>Inventory</w:t>
            </w:r>
          </w:p>
        </w:tc>
        <w:tc>
          <w:tcPr>
            <w:tcW w:w="1360" w:type="dxa"/>
            <w:vAlign w:val="bottom"/>
          </w:tcPr>
          <w:p>
            <w:pPr>
              <w:spacing w:after="0"/>
              <w:rPr>
                <w:sz w:val="20"/>
                <w:szCs w:val="20"/>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1,305</w:t>
            </w:r>
          </w:p>
        </w:tc>
        <w:tc>
          <w:tcPr>
            <w:tcW w:w="280" w:type="dxa"/>
            <w:vAlign w:val="bottom"/>
          </w:tcPr>
          <w:p>
            <w:pPr>
              <w:spacing w:after="0"/>
              <w:rPr>
                <w:sz w:val="20"/>
                <w:szCs w:val="20"/>
                <w:color w:val="auto"/>
              </w:rPr>
            </w:pP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100" w:type="dxa"/>
            <w:vAlign w:val="bottom"/>
          </w:tcPr>
          <w:p>
            <w:pPr>
              <w:spacing w:after="0"/>
              <w:rPr>
                <w:sz w:val="20"/>
                <w:szCs w:val="20"/>
                <w:color w:val="auto"/>
              </w:rPr>
            </w:pPr>
            <w:r>
              <w:rPr>
                <w:rFonts w:ascii="Arial" w:cs="Arial" w:eastAsia="Arial" w:hAnsi="Arial"/>
                <w:sz w:val="19"/>
                <w:szCs w:val="19"/>
                <w:b w:val="1"/>
                <w:bCs w:val="1"/>
                <w:color w:val="231F20"/>
              </w:rPr>
              <w:t>Professional services</w:t>
            </w:r>
          </w:p>
        </w:tc>
        <w:tc>
          <w:tcPr>
            <w:tcW w:w="1360" w:type="dxa"/>
            <w:vAlign w:val="bottom"/>
          </w:tcPr>
          <w:p>
            <w:pPr>
              <w:spacing w:after="0"/>
              <w:rPr>
                <w:sz w:val="20"/>
                <w:szCs w:val="20"/>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415</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776</w:t>
            </w:r>
          </w:p>
        </w:tc>
      </w:tr>
      <w:tr>
        <w:trPr>
          <w:trHeight w:val="238"/>
        </w:trPr>
        <w:tc>
          <w:tcPr>
            <w:tcW w:w="3100" w:type="dxa"/>
            <w:vAlign w:val="bottom"/>
          </w:tcPr>
          <w:p>
            <w:pPr>
              <w:spacing w:after="0"/>
              <w:rPr>
                <w:sz w:val="20"/>
                <w:szCs w:val="20"/>
                <w:color w:val="auto"/>
              </w:rPr>
            </w:pPr>
            <w:r>
              <w:rPr>
                <w:rFonts w:ascii="Arial" w:cs="Arial" w:eastAsia="Arial" w:hAnsi="Arial"/>
                <w:sz w:val="19"/>
                <w:szCs w:val="19"/>
                <w:b w:val="1"/>
                <w:bCs w:val="1"/>
                <w:color w:val="231F20"/>
              </w:rPr>
              <w:t>Warranty</w:t>
            </w:r>
          </w:p>
        </w:tc>
        <w:tc>
          <w:tcPr>
            <w:tcW w:w="1360" w:type="dxa"/>
            <w:vAlign w:val="bottom"/>
          </w:tcPr>
          <w:p>
            <w:pPr>
              <w:spacing w:after="0"/>
              <w:rPr>
                <w:sz w:val="20"/>
                <w:szCs w:val="20"/>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238</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432</w:t>
            </w:r>
          </w:p>
        </w:tc>
      </w:tr>
      <w:tr>
        <w:trPr>
          <w:trHeight w:val="235"/>
        </w:trPr>
        <w:tc>
          <w:tcPr>
            <w:tcW w:w="3100" w:type="dxa"/>
            <w:vAlign w:val="bottom"/>
          </w:tcPr>
          <w:p>
            <w:pPr>
              <w:spacing w:after="0"/>
              <w:rPr>
                <w:sz w:val="20"/>
                <w:szCs w:val="20"/>
                <w:color w:val="auto"/>
              </w:rPr>
            </w:pPr>
            <w:r>
              <w:rPr>
                <w:rFonts w:ascii="Arial" w:cs="Arial" w:eastAsia="Arial" w:hAnsi="Arial"/>
                <w:sz w:val="19"/>
                <w:szCs w:val="19"/>
                <w:b w:val="1"/>
                <w:bCs w:val="1"/>
                <w:color w:val="231F20"/>
              </w:rPr>
              <w:t>Acquisition-related costs</w:t>
            </w:r>
          </w:p>
        </w:tc>
        <w:tc>
          <w:tcPr>
            <w:tcW w:w="1360" w:type="dxa"/>
            <w:vAlign w:val="bottom"/>
          </w:tcPr>
          <w:p>
            <w:pPr>
              <w:spacing w:after="0"/>
              <w:rPr>
                <w:sz w:val="20"/>
                <w:szCs w:val="20"/>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180</w:t>
            </w:r>
          </w:p>
        </w:tc>
        <w:tc>
          <w:tcPr>
            <w:tcW w:w="280" w:type="dxa"/>
            <w:vAlign w:val="bottom"/>
          </w:tcPr>
          <w:p>
            <w:pPr>
              <w:spacing w:after="0"/>
              <w:rPr>
                <w:sz w:val="20"/>
                <w:szCs w:val="20"/>
                <w:color w:val="auto"/>
              </w:rPr>
            </w:pP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100" w:type="dxa"/>
            <w:vAlign w:val="bottom"/>
          </w:tcPr>
          <w:p>
            <w:pPr>
              <w:spacing w:after="0"/>
              <w:rPr>
                <w:sz w:val="20"/>
                <w:szCs w:val="20"/>
                <w:color w:val="auto"/>
              </w:rPr>
            </w:pPr>
            <w:r>
              <w:rPr>
                <w:rFonts w:ascii="Arial" w:cs="Arial" w:eastAsia="Arial" w:hAnsi="Arial"/>
                <w:sz w:val="19"/>
                <w:szCs w:val="19"/>
                <w:b w:val="1"/>
                <w:bCs w:val="1"/>
                <w:color w:val="231F20"/>
              </w:rPr>
              <w:t>Other</w:t>
            </w:r>
          </w:p>
        </w:tc>
        <w:tc>
          <w:tcPr>
            <w:tcW w:w="1360" w:type="dxa"/>
            <w:vAlign w:val="bottom"/>
          </w:tcPr>
          <w:p>
            <w:pPr>
              <w:spacing w:after="0"/>
              <w:rPr>
                <w:sz w:val="20"/>
                <w:szCs w:val="20"/>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583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597</w:t>
            </w:r>
          </w:p>
        </w:tc>
      </w:tr>
      <w:tr>
        <w:trPr>
          <w:trHeight w:val="250"/>
        </w:trPr>
        <w:tc>
          <w:tcPr>
            <w:tcW w:w="310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36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20" w:type="dxa"/>
            <w:vAlign w:val="bottom"/>
          </w:tcPr>
          <w:p>
            <w:pPr>
              <w:jc w:val="right"/>
              <w:ind w:right="7"/>
              <w:spacing w:after="0"/>
              <w:rPr>
                <w:sz w:val="20"/>
                <w:szCs w:val="20"/>
                <w:color w:val="auto"/>
              </w:rPr>
            </w:pPr>
            <w:r>
              <w:rPr>
                <w:rFonts w:ascii="Arial" w:cs="Arial" w:eastAsia="Arial" w:hAnsi="Arial"/>
                <w:sz w:val="19"/>
                <w:szCs w:val="19"/>
                <w:b w:val="1"/>
                <w:bCs w:val="1"/>
                <w:color w:val="231F20"/>
              </w:rPr>
              <w:t>7,771</w:t>
            </w:r>
          </w:p>
        </w:tc>
        <w:tc>
          <w:tcPr>
            <w:tcW w:w="28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6,807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-1212215</wp:posOffset>
            </wp:positionV>
            <wp:extent cx="4064000" cy="5629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64000" cy="562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10. Warrant Liabilities</w:t>
      </w:r>
    </w:p>
    <w:p>
      <w:pPr>
        <w:spacing w:after="0" w:line="12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 xml:space="preserve">In May 2023, the Company completed the Private Placement (as defined below), which included the issuance of warrants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Warrants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to purchase an aggregate of 4,367 shares of common stock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Warrant Shares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Fifty percent of the Warrants have an exercise price equal to $2.45 per share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Series A Warrant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and 50% of the Warrants have an exercise price equal to $3.0625 per share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Series B Warrant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subject in each instance to adjustments as provided under the terms of the Warrants. Refer to Note 12, Redeemable Convertible Preferred Stock, for more details related to the Private Placement.</w:t>
      </w:r>
    </w:p>
    <w:p>
      <w:pPr>
        <w:spacing w:after="0" w:line="247"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Upon the occurrence of certain transactions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Fundamental Transactions,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w:t>
      </w:r>
    </w:p>
    <w:p>
      <w:pPr>
        <w:spacing w:after="0" w:line="242"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b w:val="1"/>
          <w:bCs w:val="1"/>
          <w:color w:val="231F20"/>
        </w:rPr>
        <w:t>The Company estimated the fair value of the warrant liabilities using recently quoted market prices of the Company's common stock and the Black-Scholes option pricing model. The fair value of the warrant liabilities was estimated using the following assumptions as of December 31, 2025 and 2024:</w:t>
      </w:r>
    </w:p>
    <w:p>
      <w:pPr>
        <w:spacing w:after="0" w:line="106"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2280" w:type="dxa"/>
            <w:vAlign w:val="bottom"/>
          </w:tcPr>
          <w:p>
            <w:pPr>
              <w:jc w:val="right"/>
              <w:ind w:right="209"/>
              <w:spacing w:after="0"/>
              <w:rPr>
                <w:sz w:val="20"/>
                <w:szCs w:val="20"/>
                <w:color w:val="auto"/>
              </w:rPr>
            </w:pPr>
            <w:r>
              <w:rPr>
                <w:rFonts w:ascii="Arial" w:cs="Arial" w:eastAsia="Arial" w:hAnsi="Arial"/>
                <w:sz w:val="16"/>
                <w:szCs w:val="16"/>
                <w:b w:val="1"/>
                <w:bCs w:val="1"/>
                <w:color w:val="231F20"/>
              </w:rPr>
              <w:t>December 31,</w:t>
            </w:r>
          </w:p>
        </w:tc>
        <w:tc>
          <w:tcPr>
            <w:tcW w:w="1220" w:type="dxa"/>
            <w:vAlign w:val="bottom"/>
          </w:tcPr>
          <w:p>
            <w:pPr>
              <w:jc w:val="right"/>
              <w:ind w:right="49"/>
              <w:spacing w:after="0"/>
              <w:rPr>
                <w:sz w:val="20"/>
                <w:szCs w:val="20"/>
                <w:color w:val="auto"/>
              </w:rPr>
            </w:pPr>
            <w:r>
              <w:rPr>
                <w:rFonts w:ascii="Arial" w:cs="Arial" w:eastAsia="Arial" w:hAnsi="Arial"/>
                <w:sz w:val="16"/>
                <w:szCs w:val="16"/>
                <w:b w:val="1"/>
                <w:bCs w:val="1"/>
                <w:color w:val="231F20"/>
              </w:rPr>
              <w:t>December 31,</w:t>
            </w:r>
          </w:p>
        </w:tc>
      </w:tr>
      <w:tr>
        <w:trPr>
          <w:trHeight w:val="180"/>
        </w:trPr>
        <w:tc>
          <w:tcPr>
            <w:tcW w:w="2780" w:type="dxa"/>
            <w:vAlign w:val="bottom"/>
          </w:tcPr>
          <w:p>
            <w:pPr>
              <w:spacing w:after="0"/>
              <w:rPr>
                <w:sz w:val="15"/>
                <w:szCs w:val="15"/>
                <w:color w:val="auto"/>
              </w:rPr>
            </w:pPr>
          </w:p>
        </w:tc>
        <w:tc>
          <w:tcPr>
            <w:tcW w:w="2280" w:type="dxa"/>
            <w:vAlign w:val="bottom"/>
          </w:tcPr>
          <w:p>
            <w:pPr>
              <w:jc w:val="right"/>
              <w:ind w:right="509"/>
              <w:spacing w:after="0" w:line="180" w:lineRule="exact"/>
              <w:rPr>
                <w:sz w:val="20"/>
                <w:szCs w:val="20"/>
                <w:color w:val="auto"/>
              </w:rPr>
            </w:pPr>
            <w:r>
              <w:rPr>
                <w:rFonts w:ascii="Arial" w:cs="Arial" w:eastAsia="Arial" w:hAnsi="Arial"/>
                <w:sz w:val="16"/>
                <w:szCs w:val="16"/>
                <w:b w:val="1"/>
                <w:bCs w:val="1"/>
                <w:color w:val="231F20"/>
              </w:rPr>
              <w:t>2025</w:t>
            </w:r>
          </w:p>
        </w:tc>
        <w:tc>
          <w:tcPr>
            <w:tcW w:w="1220" w:type="dxa"/>
            <w:vAlign w:val="bottom"/>
          </w:tcPr>
          <w:p>
            <w:pPr>
              <w:jc w:val="right"/>
              <w:ind w:right="349"/>
              <w:spacing w:after="0" w:line="180" w:lineRule="exact"/>
              <w:rPr>
                <w:sz w:val="20"/>
                <w:szCs w:val="20"/>
                <w:color w:val="auto"/>
              </w:rPr>
            </w:pPr>
            <w:r>
              <w:rPr>
                <w:rFonts w:ascii="Arial" w:cs="Arial" w:eastAsia="Arial" w:hAnsi="Arial"/>
                <w:sz w:val="16"/>
                <w:szCs w:val="16"/>
                <w:b w:val="1"/>
                <w:bCs w:val="1"/>
                <w:color w:val="231F20"/>
              </w:rPr>
              <w:t>2024</w:t>
            </w:r>
          </w:p>
        </w:tc>
      </w:tr>
      <w:tr>
        <w:trPr>
          <w:trHeight w:val="251"/>
        </w:trPr>
        <w:tc>
          <w:tcPr>
            <w:tcW w:w="2780" w:type="dxa"/>
            <w:vAlign w:val="bottom"/>
          </w:tcPr>
          <w:p>
            <w:pPr>
              <w:spacing w:after="0"/>
              <w:rPr>
                <w:sz w:val="20"/>
                <w:szCs w:val="20"/>
                <w:color w:val="auto"/>
              </w:rPr>
            </w:pPr>
            <w:r>
              <w:rPr>
                <w:rFonts w:ascii="Arial" w:cs="Arial" w:eastAsia="Arial" w:hAnsi="Arial"/>
                <w:sz w:val="19"/>
                <w:szCs w:val="19"/>
                <w:b w:val="1"/>
                <w:bCs w:val="1"/>
                <w:color w:val="231F20"/>
              </w:rPr>
              <w:t>Risk-free interest rate</w:t>
            </w:r>
          </w:p>
        </w:tc>
        <w:tc>
          <w:tcPr>
            <w:tcW w:w="2280" w:type="dxa"/>
            <w:vAlign w:val="bottom"/>
          </w:tcPr>
          <w:p>
            <w:pPr>
              <w:jc w:val="right"/>
              <w:ind w:right="69"/>
              <w:spacing w:after="0"/>
              <w:rPr>
                <w:sz w:val="20"/>
                <w:szCs w:val="20"/>
                <w:color w:val="auto"/>
              </w:rPr>
            </w:pPr>
            <w:r>
              <w:rPr>
                <w:rFonts w:ascii="Arial" w:cs="Arial" w:eastAsia="Arial" w:hAnsi="Arial"/>
                <w:sz w:val="19"/>
                <w:szCs w:val="19"/>
                <w:b w:val="1"/>
                <w:bCs w:val="1"/>
                <w:color w:val="231F20"/>
              </w:rPr>
              <w:t>3.5%</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4.3%</w:t>
            </w:r>
          </w:p>
        </w:tc>
      </w:tr>
      <w:tr>
        <w:trPr>
          <w:trHeight w:val="238"/>
        </w:trPr>
        <w:tc>
          <w:tcPr>
            <w:tcW w:w="2780" w:type="dxa"/>
            <w:vAlign w:val="bottom"/>
          </w:tcPr>
          <w:p>
            <w:pPr>
              <w:spacing w:after="0"/>
              <w:rPr>
                <w:sz w:val="20"/>
                <w:szCs w:val="20"/>
                <w:color w:val="auto"/>
              </w:rPr>
            </w:pPr>
            <w:r>
              <w:rPr>
                <w:rFonts w:ascii="Arial" w:cs="Arial" w:eastAsia="Arial" w:hAnsi="Arial"/>
                <w:sz w:val="19"/>
                <w:szCs w:val="19"/>
                <w:b w:val="1"/>
                <w:bCs w:val="1"/>
                <w:color w:val="231F20"/>
              </w:rPr>
              <w:t>Expected term (years)</w:t>
            </w:r>
          </w:p>
        </w:tc>
        <w:tc>
          <w:tcPr>
            <w:tcW w:w="2280" w:type="dxa"/>
            <w:vAlign w:val="bottom"/>
          </w:tcPr>
          <w:p>
            <w:pPr>
              <w:jc w:val="right"/>
              <w:ind w:right="69"/>
              <w:spacing w:after="0"/>
              <w:rPr>
                <w:sz w:val="20"/>
                <w:szCs w:val="20"/>
                <w:color w:val="auto"/>
              </w:rPr>
            </w:pPr>
            <w:r>
              <w:rPr>
                <w:rFonts w:ascii="Arial" w:cs="Arial" w:eastAsia="Arial" w:hAnsi="Arial"/>
                <w:sz w:val="19"/>
                <w:szCs w:val="19"/>
                <w:b w:val="1"/>
                <w:bCs w:val="1"/>
                <w:color w:val="231F20"/>
              </w:rPr>
              <w:t>2.4</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3.4</w:t>
            </w:r>
          </w:p>
        </w:tc>
      </w:tr>
      <w:tr>
        <w:trPr>
          <w:trHeight w:val="235"/>
        </w:trPr>
        <w:tc>
          <w:tcPr>
            <w:tcW w:w="2780" w:type="dxa"/>
            <w:vAlign w:val="bottom"/>
          </w:tcPr>
          <w:p>
            <w:pPr>
              <w:spacing w:after="0"/>
              <w:rPr>
                <w:sz w:val="20"/>
                <w:szCs w:val="20"/>
                <w:color w:val="auto"/>
              </w:rPr>
            </w:pPr>
            <w:r>
              <w:rPr>
                <w:rFonts w:ascii="Arial" w:cs="Arial" w:eastAsia="Arial" w:hAnsi="Arial"/>
                <w:sz w:val="19"/>
                <w:szCs w:val="19"/>
                <w:b w:val="1"/>
                <w:bCs w:val="1"/>
                <w:color w:val="231F20"/>
              </w:rPr>
              <w:t>Expected volatility</w:t>
            </w:r>
          </w:p>
        </w:tc>
        <w:tc>
          <w:tcPr>
            <w:tcW w:w="2280" w:type="dxa"/>
            <w:vAlign w:val="bottom"/>
          </w:tcPr>
          <w:p>
            <w:pPr>
              <w:jc w:val="right"/>
              <w:ind w:right="69"/>
              <w:spacing w:after="0"/>
              <w:rPr>
                <w:sz w:val="20"/>
                <w:szCs w:val="20"/>
                <w:color w:val="auto"/>
              </w:rPr>
            </w:pPr>
            <w:r>
              <w:rPr>
                <w:rFonts w:ascii="Arial" w:cs="Arial" w:eastAsia="Arial" w:hAnsi="Arial"/>
                <w:sz w:val="19"/>
                <w:szCs w:val="19"/>
                <w:b w:val="1"/>
                <w:bCs w:val="1"/>
                <w:color w:val="231F20"/>
              </w:rPr>
              <w:t>61%</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61%</w:t>
            </w:r>
          </w:p>
        </w:tc>
      </w:tr>
      <w:tr>
        <w:trPr>
          <w:trHeight w:val="238"/>
        </w:trPr>
        <w:tc>
          <w:tcPr>
            <w:tcW w:w="2780" w:type="dxa"/>
            <w:vAlign w:val="bottom"/>
          </w:tcPr>
          <w:p>
            <w:pPr>
              <w:spacing w:after="0"/>
              <w:rPr>
                <w:sz w:val="20"/>
                <w:szCs w:val="20"/>
                <w:color w:val="auto"/>
              </w:rPr>
            </w:pPr>
            <w:r>
              <w:rPr>
                <w:rFonts w:ascii="Arial" w:cs="Arial" w:eastAsia="Arial" w:hAnsi="Arial"/>
                <w:sz w:val="19"/>
                <w:szCs w:val="19"/>
                <w:b w:val="1"/>
                <w:bCs w:val="1"/>
                <w:color w:val="231F20"/>
              </w:rPr>
              <w:t>Dividends</w:t>
            </w:r>
          </w:p>
        </w:tc>
        <w:tc>
          <w:tcPr>
            <w:tcW w:w="2280" w:type="dxa"/>
            <w:vAlign w:val="bottom"/>
          </w:tcPr>
          <w:p>
            <w:pPr>
              <w:jc w:val="right"/>
              <w:ind w:right="69"/>
              <w:spacing w:after="0"/>
              <w:rPr>
                <w:sz w:val="20"/>
                <w:szCs w:val="20"/>
                <w:color w:val="auto"/>
              </w:rPr>
            </w:pPr>
            <w:r>
              <w:rPr>
                <w:rFonts w:ascii="Arial" w:cs="Arial" w:eastAsia="Arial" w:hAnsi="Arial"/>
                <w:sz w:val="19"/>
                <w:szCs w:val="19"/>
                <w:b w:val="1"/>
                <w:bCs w:val="1"/>
                <w:color w:val="231F20"/>
              </w:rPr>
              <w:t>0.0%</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0.0%</w:t>
            </w: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F-25</w:t>
      </w:r>
    </w:p>
    <w:p>
      <w:pPr>
        <w:sectPr>
          <w:pgSz w:w="12240" w:h="15840" w:orient="portrait"/>
          <w:cols w:equalWidth="0" w:num="1">
            <w:col w:w="9360"/>
          </w:cols>
          <w:pgMar w:left="1440" w:top="1440" w:right="1440" w:bottom="390" w:gutter="0" w:footer="0" w:header="0"/>
          <w:type w:val="continuous"/>
        </w:sectPr>
      </w:pPr>
    </w:p>
    <w:bookmarkStart w:id="127" w:name="page128"/>
    <w:bookmarkEnd w:id="127"/>
    <w:p>
      <w:pPr>
        <w:spacing w:after="0" w:line="34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Expected term: The expected term for the warrant liabilities was based on the remaining contractual term of the Warrants.</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31F20"/>
        </w:rPr>
        <w:t>Risk-free interest rate: The risk-free interest rate was based on the rates paid on securities issued by the U.S.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Treasury with a term approximating the expected term.</w:t>
      </w:r>
    </w:p>
    <w:p>
      <w:pPr>
        <w:spacing w:after="0" w:line="243" w:lineRule="exact"/>
        <w:rPr>
          <w:sz w:val="20"/>
          <w:szCs w:val="20"/>
          <w:color w:val="auto"/>
        </w:rPr>
      </w:pPr>
    </w:p>
    <w:p>
      <w:pPr>
        <w:jc w:val="both"/>
        <w:ind w:left="140" w:right="140"/>
        <w:spacing w:after="0"/>
        <w:rPr>
          <w:sz w:val="20"/>
          <w:szCs w:val="20"/>
          <w:color w:val="auto"/>
        </w:rPr>
      </w:pPr>
      <w:r>
        <w:rPr>
          <w:rFonts w:ascii="Arial" w:cs="Arial" w:eastAsia="Arial" w:hAnsi="Arial"/>
          <w:sz w:val="19"/>
          <w:szCs w:val="19"/>
          <w:b w:val="1"/>
          <w:bCs w:val="1"/>
          <w:color w:val="231F20"/>
        </w:rPr>
        <w:t>Expected volatility: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245"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Expected dividend yield: The Company does not intend to pay dividends for the foreseeable future. Accordingly, the Company used a dividend yield of zero in the assumptions.</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11. Commitments and Contingencies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Purchase Obligation</w:t>
      </w:r>
    </w:p>
    <w:p>
      <w:pPr>
        <w:spacing w:after="0" w:line="128"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Company is a party to various supply agreements for the manufacture and supply of certain components. The supply agreements commit the Company to a minimum purchase obligation of approximately $13,896 over the next 18 months. The Company expects to meet these requirements.</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Legal Matters</w:t>
      </w:r>
    </w:p>
    <w:p>
      <w:pPr>
        <w:spacing w:after="0" w:line="128"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spacing w:after="0" w:line="226"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From time to time, we may become involved in various legal proceedings relating to matters incidental to the terminated Merger Agreement and in the ordinary course of our business, including intellectual property, commercial, product liability, employment, class action, whistleblower and other litigation and claims, and governmental and other regulatory investigations and proceedings. There were no provisions for legal liabilities at December 31, 2025 or 2024.</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12. Redeemable Convertible Preferred Stock</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Series A Redeemable Convertible Preferred Stock</w:t>
      </w:r>
    </w:p>
    <w:p>
      <w:pPr>
        <w:spacing w:after="0" w:line="128" w:lineRule="exact"/>
        <w:rPr>
          <w:sz w:val="20"/>
          <w:szCs w:val="20"/>
          <w:color w:val="auto"/>
        </w:rPr>
      </w:pPr>
    </w:p>
    <w:p>
      <w:pPr>
        <w:jc w:val="both"/>
        <w:ind w:left="140" w:right="140" w:firstLine="2"/>
        <w:spacing w:after="0" w:line="220" w:lineRule="exact"/>
        <w:rPr>
          <w:sz w:val="20"/>
          <w:szCs w:val="20"/>
          <w:color w:val="auto"/>
        </w:rPr>
      </w:pPr>
      <w:r>
        <w:rPr>
          <w:rFonts w:ascii="Arial" w:cs="Arial" w:eastAsia="Arial" w:hAnsi="Arial"/>
          <w:sz w:val="19"/>
          <w:szCs w:val="19"/>
          <w:b w:val="1"/>
          <w:bCs w:val="1"/>
          <w:color w:val="231F20"/>
        </w:rPr>
        <w:t xml:space="preserve">In May 2023, the Company entered into the SPA with NR-GRI, whereby it sold to NR-GRI, for an aggregate purchase price of $20,000, 20 shares of Series A Redeemable Convertible Preferred Stock and the Warrants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Private Placement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Refer to Note 10, Warrant Liabilities, for more details related to the Warrants. The Series A Redeemable Convertible Preferred Stock is convertible into 7,940 shares of common stock at the election of NR-GRI.</w:t>
      </w:r>
    </w:p>
    <w:p>
      <w:pPr>
        <w:spacing w:after="0" w:line="247"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On August 1, 2023,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stockholders voted to approve the issuance of shares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common stock issuable upon conversion of the shares of Series A Redeemable Convertible Preferred Stock and exercise of the Warrants. As a result of the stockholders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24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Fundamental</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F-26</w:t>
      </w:r>
    </w:p>
    <w:p>
      <w:pPr>
        <w:sectPr>
          <w:pgSz w:w="12240" w:h="15840" w:orient="portrait"/>
          <w:cols w:equalWidth="0" w:num="1">
            <w:col w:w="9360"/>
          </w:cols>
          <w:pgMar w:left="1440" w:top="1440" w:right="1440" w:bottom="390" w:gutter="0" w:footer="0" w:header="0"/>
          <w:type w:val="continuous"/>
        </w:sectPr>
      </w:pPr>
    </w:p>
    <w:bookmarkStart w:id="128" w:name="page129"/>
    <w:bookmarkEnd w:id="128"/>
    <w:p>
      <w:pPr>
        <w:spacing w:after="0" w:line="343"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7"/>
          <w:szCs w:val="17"/>
          <w:b w:val="1"/>
          <w:bCs w:val="1"/>
          <w:color w:val="231F20"/>
        </w:rPr>
        <w:t>Transactions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immediately preceding the closing of the Fundamental Transaction).</w:t>
      </w:r>
    </w:p>
    <w:p>
      <w:pPr>
        <w:spacing w:after="0" w:line="246"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b w:val="1"/>
          <w:bCs w:val="1"/>
          <w:color w:val="231F20"/>
        </w:rPr>
        <w:t>The Series A Redeemable Convertible Preferred Stock is classified as temporary equity in the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balance sheet.</w:t>
      </w:r>
    </w:p>
    <w:p>
      <w:pPr>
        <w:spacing w:after="0" w:line="231"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7"/>
          <w:szCs w:val="17"/>
          <w:b w:val="1"/>
          <w:bCs w:val="1"/>
          <w:color w:val="231F20"/>
        </w:rPr>
        <w:t>In connection with the parties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entry into the SPA, the Company and NR-GRI entered into a Registration Rights Agreement, pursuant to which the Company filed a resale registration statement on Form S-3 (No. 333-272930) with respect to the resale of the shares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issuable upon conversion of the shares of Series A Redeemable Convertible Preferred Stock and exercise of the Warrants.</w:t>
      </w:r>
    </w:p>
    <w:p>
      <w:pPr>
        <w:spacing w:after="0" w:line="344" w:lineRule="exact"/>
        <w:rPr>
          <w:sz w:val="20"/>
          <w:szCs w:val="20"/>
          <w:color w:val="auto"/>
        </w:rPr>
      </w:pPr>
    </w:p>
    <w:p>
      <w:pPr>
        <w:ind w:left="140"/>
        <w:spacing w:after="0" w:line="231" w:lineRule="exact"/>
        <w:rPr>
          <w:sz w:val="20"/>
          <w:szCs w:val="20"/>
          <w:color w:val="auto"/>
        </w:rPr>
      </w:pPr>
      <w:r>
        <w:rPr>
          <w:rFonts w:ascii="Arial" w:cs="Arial" w:eastAsia="Arial" w:hAnsi="Arial"/>
          <w:sz w:val="19"/>
          <w:szCs w:val="19"/>
          <w:b w:val="1"/>
          <w:bCs w:val="1"/>
          <w:color w:val="231F20"/>
        </w:rPr>
        <w:t>Note 13.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Common Stock</w:t>
      </w:r>
    </w:p>
    <w:p>
      <w:pPr>
        <w:spacing w:after="0" w:line="12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The Company has a single class of common stock in which stockholders are entitled to one vote for each share of common stock. No cash dividend was declared on common stock during the years ended December 31, 2025 and 2024.</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14. Stock-Based Compensation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Stock-Based Incentive Plans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505052"/>
        </w:rPr>
        <w:t>The 2020 Plan</w:t>
      </w:r>
    </w:p>
    <w:p>
      <w:pPr>
        <w:spacing w:after="0" w:line="125" w:lineRule="exact"/>
        <w:rPr>
          <w:sz w:val="20"/>
          <w:szCs w:val="20"/>
          <w:color w:val="auto"/>
        </w:rPr>
      </w:pPr>
    </w:p>
    <w:p>
      <w:pPr>
        <w:jc w:val="both"/>
        <w:ind w:left="140" w:right="140"/>
        <w:spacing w:after="0" w:line="230" w:lineRule="exact"/>
        <w:rPr>
          <w:sz w:val="20"/>
          <w:szCs w:val="20"/>
          <w:color w:val="auto"/>
        </w:rPr>
      </w:pPr>
      <w:r>
        <w:rPr>
          <w:rFonts w:ascii="Arial" w:cs="Arial" w:eastAsia="Arial" w:hAnsi="Arial"/>
          <w:sz w:val="16"/>
          <w:szCs w:val="16"/>
          <w:b w:val="1"/>
          <w:bCs w:val="1"/>
          <w:color w:val="505052"/>
        </w:rPr>
        <w:t xml:space="preserve">In July 2020, the Board of Directors approved the LENSAR Inc. 2020 Incentive Award Plan (the </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2020 Plan</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 The 2020 Plan provides for the grant of stock options, restricted stock, restricted stock unit awards, performance stock unit awards and other stock-based awards to recipients. The amount and terms of grants are determined by the Company</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December 31, 2025, the Company has reserved a total of 6,133 shares of common stock for issuance under the 2020 Plan.</w:t>
      </w:r>
    </w:p>
    <w:p>
      <w:pPr>
        <w:spacing w:after="0" w:line="36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505052"/>
        </w:rPr>
        <w:t>The Inducement Plan</w:t>
      </w:r>
    </w:p>
    <w:p>
      <w:pPr>
        <w:spacing w:after="0" w:line="13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505052"/>
        </w:rPr>
        <w:t xml:space="preserve">In February 2024, the Board adopted the 2024 Employment Inducement Incentive Award Plan (the </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Inducement Plan</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 xml:space="preserve">). The Inducement Plan provides for the grant of non-qualified stock options, stock appreciation rights, restricted stock awards, restricted stock units, and other stock or cash based awards (collectively, the </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Inducement Awards</w:t>
      </w:r>
      <w:r>
        <w:rPr>
          <w:rFonts w:ascii="PMingLiU" w:cs="PMingLiU" w:eastAsia="PMingLiU" w:hAnsi="PMingLiU"/>
          <w:sz w:val="16"/>
          <w:szCs w:val="16"/>
          <w:b w:val="1"/>
          <w:bCs w:val="1"/>
          <w:color w:val="505052"/>
        </w:rPr>
        <w:t></w:t>
      </w:r>
      <w:r>
        <w:rPr>
          <w:rFonts w:ascii="Arial" w:cs="Arial" w:eastAsia="Arial" w:hAnsi="Arial"/>
          <w:sz w:val="16"/>
          <w:szCs w:val="16"/>
          <w:b w:val="1"/>
          <w:bCs w:val="1"/>
          <w:color w:val="505052"/>
        </w:rPr>
        <w:t>).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F-27</w:t>
      </w:r>
    </w:p>
    <w:p>
      <w:pPr>
        <w:sectPr>
          <w:pgSz w:w="12240" w:h="15840" w:orient="portrait"/>
          <w:cols w:equalWidth="0" w:num="1">
            <w:col w:w="9360"/>
          </w:cols>
          <w:pgMar w:left="1440" w:top="1440" w:right="1440" w:bottom="390" w:gutter="0" w:footer="0" w:header="0"/>
          <w:type w:val="continuous"/>
        </w:sectPr>
      </w:pPr>
    </w:p>
    <w:bookmarkStart w:id="129" w:name="page130"/>
    <w:bookmarkEnd w:id="129"/>
    <w:p>
      <w:pPr>
        <w:spacing w:after="0" w:line="343"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7"/>
          <w:szCs w:val="17"/>
          <w:b w:val="1"/>
          <w:bCs w:val="1"/>
          <w:color w:val="505052"/>
        </w:rPr>
        <w:t>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spacing w:after="0" w:line="214"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9"/>
          <w:szCs w:val="19"/>
          <w:b w:val="1"/>
          <w:bCs w:val="1"/>
          <w:color w:val="505052"/>
        </w:rPr>
        <w:t xml:space="preserve">A summary of the shares available for issuance under the 2020 Plan and Inducement Plan (collectively, the </w:t>
      </w:r>
      <w:r>
        <w:rPr>
          <w:rFonts w:ascii="PMingLiU" w:cs="PMingLiU" w:eastAsia="PMingLiU" w:hAnsi="PMingLiU"/>
          <w:sz w:val="19"/>
          <w:szCs w:val="19"/>
          <w:b w:val="1"/>
          <w:bCs w:val="1"/>
          <w:color w:val="505052"/>
        </w:rPr>
        <w:t></w:t>
      </w:r>
      <w:r>
        <w:rPr>
          <w:rFonts w:ascii="Arial" w:cs="Arial" w:eastAsia="Arial" w:hAnsi="Arial"/>
          <w:sz w:val="19"/>
          <w:szCs w:val="19"/>
          <w:b w:val="1"/>
          <w:bCs w:val="1"/>
          <w:color w:val="505052"/>
        </w:rPr>
        <w:t>Incentive Plans</w:t>
      </w:r>
      <w:r>
        <w:rPr>
          <w:rFonts w:ascii="PMingLiU" w:cs="PMingLiU" w:eastAsia="PMingLiU" w:hAnsi="PMingLiU"/>
          <w:sz w:val="19"/>
          <w:szCs w:val="19"/>
          <w:b w:val="1"/>
          <w:bCs w:val="1"/>
          <w:color w:val="505052"/>
        </w:rPr>
        <w:t></w:t>
      </w:r>
      <w:r>
        <w:rPr>
          <w:rFonts w:ascii="Arial" w:cs="Arial" w:eastAsia="Arial" w:hAnsi="Arial"/>
          <w:sz w:val="19"/>
          <w:szCs w:val="19"/>
          <w:b w:val="1"/>
          <w:bCs w:val="1"/>
          <w:color w:val="505052"/>
        </w:rPr>
        <w:t>) is as follows:</w:t>
      </w:r>
    </w:p>
    <w:p>
      <w:pPr>
        <w:spacing w:after="0" w:line="135"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Pr>
          <w:p>
            <w:pPr>
              <w:jc w:val="right"/>
              <w:ind w:right="66"/>
              <w:spacing w:after="0"/>
              <w:rPr>
                <w:sz w:val="20"/>
                <w:szCs w:val="20"/>
                <w:color w:val="auto"/>
              </w:rPr>
            </w:pPr>
            <w:r>
              <w:rPr>
                <w:rFonts w:ascii="Arial" w:cs="Arial" w:eastAsia="Arial" w:hAnsi="Arial"/>
                <w:sz w:val="16"/>
                <w:szCs w:val="16"/>
                <w:b w:val="1"/>
                <w:bCs w:val="1"/>
                <w:color w:val="231F20"/>
                <w:w w:val="95"/>
              </w:rPr>
              <w:t>Inducement</w:t>
            </w:r>
          </w:p>
        </w:tc>
      </w:tr>
      <w:tr>
        <w:trPr>
          <w:trHeight w:val="178"/>
        </w:trPr>
        <w:tc>
          <w:tcPr>
            <w:tcW w:w="3160" w:type="dxa"/>
            <w:vAlign w:val="bottom"/>
          </w:tcPr>
          <w:p>
            <w:pPr>
              <w:spacing w:after="0"/>
              <w:rPr>
                <w:sz w:val="15"/>
                <w:szCs w:val="15"/>
                <w:color w:val="auto"/>
              </w:rPr>
            </w:pPr>
          </w:p>
        </w:tc>
        <w:tc>
          <w:tcPr>
            <w:tcW w:w="1680" w:type="dxa"/>
            <w:vAlign w:val="bottom"/>
          </w:tcPr>
          <w:p>
            <w:pPr>
              <w:jc w:val="right"/>
              <w:ind w:right="165"/>
              <w:spacing w:after="0" w:line="178" w:lineRule="exact"/>
              <w:rPr>
                <w:sz w:val="20"/>
                <w:szCs w:val="20"/>
                <w:color w:val="auto"/>
              </w:rPr>
            </w:pPr>
            <w:r>
              <w:rPr>
                <w:rFonts w:ascii="Arial" w:cs="Arial" w:eastAsia="Arial" w:hAnsi="Arial"/>
                <w:sz w:val="16"/>
                <w:szCs w:val="16"/>
                <w:b w:val="1"/>
                <w:bCs w:val="1"/>
                <w:color w:val="231F20"/>
              </w:rPr>
              <w:t>2020 Plan</w:t>
            </w:r>
          </w:p>
        </w:tc>
        <w:tc>
          <w:tcPr>
            <w:tcW w:w="1040" w:type="dxa"/>
            <w:vAlign w:val="bottom"/>
          </w:tcPr>
          <w:p>
            <w:pPr>
              <w:jc w:val="right"/>
              <w:ind w:right="306"/>
              <w:spacing w:after="0" w:line="178" w:lineRule="exact"/>
              <w:rPr>
                <w:sz w:val="20"/>
                <w:szCs w:val="20"/>
                <w:color w:val="auto"/>
              </w:rPr>
            </w:pPr>
            <w:r>
              <w:rPr>
                <w:rFonts w:ascii="Arial" w:cs="Arial" w:eastAsia="Arial" w:hAnsi="Arial"/>
                <w:sz w:val="16"/>
                <w:szCs w:val="16"/>
                <w:b w:val="1"/>
                <w:bCs w:val="1"/>
                <w:color w:val="231F20"/>
              </w:rPr>
              <w:t>Plan</w:t>
            </w:r>
          </w:p>
        </w:tc>
      </w:tr>
      <w:tr>
        <w:trPr>
          <w:trHeight w:val="251"/>
        </w:trPr>
        <w:tc>
          <w:tcPr>
            <w:tcW w:w="3160" w:type="dxa"/>
            <w:vAlign w:val="bottom"/>
          </w:tcPr>
          <w:p>
            <w:pPr>
              <w:spacing w:after="0"/>
              <w:rPr>
                <w:sz w:val="20"/>
                <w:szCs w:val="20"/>
                <w:color w:val="auto"/>
              </w:rPr>
            </w:pPr>
            <w:r>
              <w:rPr>
                <w:rFonts w:ascii="Arial" w:cs="Arial" w:eastAsia="Arial" w:hAnsi="Arial"/>
                <w:sz w:val="19"/>
                <w:szCs w:val="19"/>
                <w:b w:val="1"/>
                <w:bCs w:val="1"/>
                <w:color w:val="231F20"/>
              </w:rPr>
              <w:t>Balance at December 31, 2023</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294</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160" w:type="dxa"/>
            <w:vAlign w:val="bottom"/>
          </w:tcPr>
          <w:p>
            <w:pPr>
              <w:ind w:left="80"/>
              <w:spacing w:after="0"/>
              <w:rPr>
                <w:sz w:val="20"/>
                <w:szCs w:val="20"/>
                <w:color w:val="auto"/>
              </w:rPr>
            </w:pPr>
            <w:r>
              <w:rPr>
                <w:rFonts w:ascii="Arial" w:cs="Arial" w:eastAsia="Arial" w:hAnsi="Arial"/>
                <w:sz w:val="19"/>
                <w:szCs w:val="19"/>
                <w:b w:val="1"/>
                <w:bCs w:val="1"/>
                <w:color w:val="231F20"/>
              </w:rPr>
              <w:t>Authorized</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566</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r>
      <w:tr>
        <w:trPr>
          <w:trHeight w:val="238"/>
        </w:trPr>
        <w:tc>
          <w:tcPr>
            <w:tcW w:w="3160" w:type="dxa"/>
            <w:vAlign w:val="bottom"/>
          </w:tcPr>
          <w:p>
            <w:pPr>
              <w:ind w:left="80"/>
              <w:spacing w:after="0"/>
              <w:rPr>
                <w:sz w:val="20"/>
                <w:szCs w:val="20"/>
                <w:color w:val="auto"/>
              </w:rPr>
            </w:pPr>
            <w:r>
              <w:rPr>
                <w:rFonts w:ascii="Arial" w:cs="Arial" w:eastAsia="Arial" w:hAnsi="Arial"/>
                <w:sz w:val="19"/>
                <w:szCs w:val="19"/>
                <w:b w:val="1"/>
                <w:bCs w:val="1"/>
                <w:color w:val="231F20"/>
              </w:rPr>
              <w:t>Granted/Awarded</w:t>
            </w:r>
          </w:p>
        </w:tc>
        <w:tc>
          <w:tcPr>
            <w:tcW w:w="1680" w:type="dxa"/>
            <w:vAlign w:val="bottom"/>
          </w:tcPr>
          <w:p>
            <w:pPr>
              <w:jc w:val="right"/>
              <w:ind w:right="5"/>
              <w:spacing w:after="0"/>
              <w:rPr>
                <w:sz w:val="20"/>
                <w:szCs w:val="20"/>
                <w:color w:val="auto"/>
              </w:rPr>
            </w:pPr>
            <w:r>
              <w:rPr>
                <w:rFonts w:ascii="Arial" w:cs="Arial" w:eastAsia="Arial" w:hAnsi="Arial"/>
                <w:sz w:val="19"/>
                <w:szCs w:val="19"/>
                <w:b w:val="1"/>
                <w:bCs w:val="1"/>
                <w:color w:val="231F20"/>
              </w:rPr>
              <w:t>(631)</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(18)</w:t>
            </w:r>
          </w:p>
        </w:tc>
      </w:tr>
      <w:tr>
        <w:trPr>
          <w:trHeight w:val="235"/>
        </w:trPr>
        <w:tc>
          <w:tcPr>
            <w:tcW w:w="3160" w:type="dxa"/>
            <w:vAlign w:val="bottom"/>
          </w:tcPr>
          <w:p>
            <w:pPr>
              <w:ind w:left="80"/>
              <w:spacing w:after="0"/>
              <w:rPr>
                <w:sz w:val="20"/>
                <w:szCs w:val="20"/>
                <w:color w:val="auto"/>
              </w:rPr>
            </w:pPr>
            <w:r>
              <w:rPr>
                <w:rFonts w:ascii="Arial" w:cs="Arial" w:eastAsia="Arial" w:hAnsi="Arial"/>
                <w:sz w:val="19"/>
                <w:szCs w:val="19"/>
                <w:b w:val="1"/>
                <w:bCs w:val="1"/>
                <w:color w:val="231F20"/>
              </w:rPr>
              <w:t>Cancelled</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248</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2</w:t>
            </w:r>
          </w:p>
        </w:tc>
      </w:tr>
      <w:tr>
        <w:trPr>
          <w:trHeight w:val="252"/>
        </w:trPr>
        <w:tc>
          <w:tcPr>
            <w:tcW w:w="3160" w:type="dxa"/>
            <w:vAlign w:val="bottom"/>
          </w:tcPr>
          <w:p>
            <w:pPr>
              <w:spacing w:after="0"/>
              <w:rPr>
                <w:sz w:val="20"/>
                <w:szCs w:val="20"/>
                <w:color w:val="auto"/>
              </w:rPr>
            </w:pPr>
            <w:r>
              <w:rPr>
                <w:rFonts w:ascii="Arial" w:cs="Arial" w:eastAsia="Arial" w:hAnsi="Arial"/>
                <w:sz w:val="19"/>
                <w:szCs w:val="19"/>
                <w:b w:val="1"/>
                <w:bCs w:val="1"/>
                <w:color w:val="231F20"/>
              </w:rPr>
              <w:t>Balance at December 31, 2024</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477</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84</w:t>
            </w:r>
          </w:p>
        </w:tc>
      </w:tr>
      <w:tr>
        <w:trPr>
          <w:trHeight w:val="238"/>
        </w:trPr>
        <w:tc>
          <w:tcPr>
            <w:tcW w:w="3160" w:type="dxa"/>
            <w:vAlign w:val="bottom"/>
          </w:tcPr>
          <w:p>
            <w:pPr>
              <w:ind w:left="80"/>
              <w:spacing w:after="0"/>
              <w:rPr>
                <w:sz w:val="20"/>
                <w:szCs w:val="20"/>
                <w:color w:val="auto"/>
              </w:rPr>
            </w:pPr>
            <w:r>
              <w:rPr>
                <w:rFonts w:ascii="Arial" w:cs="Arial" w:eastAsia="Arial" w:hAnsi="Arial"/>
                <w:sz w:val="19"/>
                <w:szCs w:val="19"/>
                <w:b w:val="1"/>
                <w:bCs w:val="1"/>
                <w:color w:val="231F20"/>
              </w:rPr>
              <w:t>Authorized</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583</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5"/>
        </w:trPr>
        <w:tc>
          <w:tcPr>
            <w:tcW w:w="3160" w:type="dxa"/>
            <w:vAlign w:val="bottom"/>
          </w:tcPr>
          <w:p>
            <w:pPr>
              <w:ind w:left="80"/>
              <w:spacing w:after="0"/>
              <w:rPr>
                <w:sz w:val="20"/>
                <w:szCs w:val="20"/>
                <w:color w:val="auto"/>
              </w:rPr>
            </w:pPr>
            <w:r>
              <w:rPr>
                <w:rFonts w:ascii="Arial" w:cs="Arial" w:eastAsia="Arial" w:hAnsi="Arial"/>
                <w:sz w:val="19"/>
                <w:szCs w:val="19"/>
                <w:b w:val="1"/>
                <w:bCs w:val="1"/>
                <w:color w:val="231F20"/>
              </w:rPr>
              <w:t>Granted/Awarded</w:t>
            </w:r>
          </w:p>
        </w:tc>
        <w:tc>
          <w:tcPr>
            <w:tcW w:w="1680" w:type="dxa"/>
            <w:vAlign w:val="bottom"/>
          </w:tcPr>
          <w:p>
            <w:pPr>
              <w:jc w:val="right"/>
              <w:ind w:right="5"/>
              <w:spacing w:after="0"/>
              <w:rPr>
                <w:sz w:val="20"/>
                <w:szCs w:val="20"/>
                <w:color w:val="auto"/>
              </w:rPr>
            </w:pPr>
            <w:r>
              <w:rPr>
                <w:rFonts w:ascii="Arial" w:cs="Arial" w:eastAsia="Arial" w:hAnsi="Arial"/>
                <w:sz w:val="19"/>
                <w:szCs w:val="19"/>
                <w:b w:val="1"/>
                <w:bCs w:val="1"/>
                <w:color w:val="231F20"/>
              </w:rPr>
              <w:t>(450)</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(9)</w:t>
            </w:r>
          </w:p>
        </w:tc>
      </w:tr>
      <w:tr>
        <w:trPr>
          <w:trHeight w:val="238"/>
        </w:trPr>
        <w:tc>
          <w:tcPr>
            <w:tcW w:w="3160" w:type="dxa"/>
            <w:vAlign w:val="bottom"/>
          </w:tcPr>
          <w:p>
            <w:pPr>
              <w:ind w:left="80"/>
              <w:spacing w:after="0"/>
              <w:rPr>
                <w:sz w:val="20"/>
                <w:szCs w:val="20"/>
                <w:color w:val="auto"/>
              </w:rPr>
            </w:pPr>
            <w:r>
              <w:rPr>
                <w:rFonts w:ascii="Arial" w:cs="Arial" w:eastAsia="Arial" w:hAnsi="Arial"/>
                <w:sz w:val="19"/>
                <w:szCs w:val="19"/>
                <w:b w:val="1"/>
                <w:bCs w:val="1"/>
                <w:color w:val="231F20"/>
              </w:rPr>
              <w:t>Cancelled</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74</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6</w:t>
            </w:r>
          </w:p>
        </w:tc>
      </w:tr>
      <w:tr>
        <w:trPr>
          <w:trHeight w:val="250"/>
        </w:trPr>
        <w:tc>
          <w:tcPr>
            <w:tcW w:w="3160" w:type="dxa"/>
            <w:vAlign w:val="bottom"/>
          </w:tcPr>
          <w:p>
            <w:pPr>
              <w:spacing w:after="0"/>
              <w:rPr>
                <w:sz w:val="20"/>
                <w:szCs w:val="20"/>
                <w:color w:val="auto"/>
              </w:rPr>
            </w:pPr>
            <w:r>
              <w:rPr>
                <w:rFonts w:ascii="Arial" w:cs="Arial" w:eastAsia="Arial" w:hAnsi="Arial"/>
                <w:sz w:val="19"/>
                <w:szCs w:val="19"/>
                <w:b w:val="1"/>
                <w:bCs w:val="1"/>
                <w:color w:val="231F20"/>
              </w:rPr>
              <w:t>Balance at December 31, 2025</w:t>
            </w:r>
          </w:p>
        </w:tc>
        <w:tc>
          <w:tcPr>
            <w:tcW w:w="1680" w:type="dxa"/>
            <w:vAlign w:val="bottom"/>
          </w:tcPr>
          <w:p>
            <w:pPr>
              <w:jc w:val="right"/>
              <w:ind w:right="85"/>
              <w:spacing w:after="0"/>
              <w:rPr>
                <w:sz w:val="20"/>
                <w:szCs w:val="20"/>
                <w:color w:val="auto"/>
              </w:rPr>
            </w:pPr>
            <w:r>
              <w:rPr>
                <w:rFonts w:ascii="Arial" w:cs="Arial" w:eastAsia="Arial" w:hAnsi="Arial"/>
                <w:sz w:val="19"/>
                <w:szCs w:val="19"/>
                <w:b w:val="1"/>
                <w:bCs w:val="1"/>
                <w:color w:val="231F20"/>
              </w:rPr>
              <w:t>684</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-1390650</wp:posOffset>
            </wp:positionV>
            <wp:extent cx="5792470" cy="5690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2470" cy="5690235"/>
                    </a:xfrm>
                    <a:prstGeom prst="rect">
                      <a:avLst/>
                    </a:prstGeom>
                    <a:noFill/>
                  </pic:spPr>
                </pic:pic>
              </a:graphicData>
            </a:graphic>
          </wp:anchor>
        </w:drawing>
      </w:r>
    </w:p>
    <w:p>
      <w:pPr>
        <w:spacing w:after="0" w:line="37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Stock Options</w:t>
      </w:r>
    </w:p>
    <w:p>
      <w:pPr>
        <w:spacing w:after="0" w:line="128"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8"/>
          <w:szCs w:val="18"/>
          <w:b w:val="1"/>
          <w:bCs w:val="1"/>
          <w:color w:val="231F20"/>
        </w:rPr>
        <w:t>The exercise price of incentive stock options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ISOs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and nonqualified stock options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NSOs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Option award activity under the Incentive Plans is set forth below:</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2"/>
          </w:tcPr>
          <w:p>
            <w:pPr>
              <w:jc w:val="right"/>
              <w:ind w:right="453"/>
              <w:spacing w:after="0"/>
              <w:rPr>
                <w:sz w:val="20"/>
                <w:szCs w:val="20"/>
                <w:color w:val="auto"/>
              </w:rPr>
            </w:pPr>
            <w:r>
              <w:rPr>
                <w:rFonts w:ascii="Arial" w:cs="Arial" w:eastAsia="Arial" w:hAnsi="Arial"/>
                <w:sz w:val="16"/>
                <w:szCs w:val="16"/>
                <w:b w:val="1"/>
                <w:bCs w:val="1"/>
                <w:color w:val="231F20"/>
              </w:rPr>
              <w:t>Options Outstanding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4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231F20"/>
                <w:w w:val="88"/>
              </w:rPr>
              <w:t>Weighted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8"/>
        </w:trPr>
        <w:tc>
          <w:tcPr>
            <w:tcW w:w="4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8"/>
              </w:rPr>
              <w:t>Average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7"/>
              </w:rPr>
              <w:t>Remaining</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8"/>
        </w:trPr>
        <w:tc>
          <w:tcPr>
            <w:tcW w:w="4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207"/>
              <w:spacing w:after="0" w:line="178" w:lineRule="exact"/>
              <w:rPr>
                <w:sz w:val="20"/>
                <w:szCs w:val="20"/>
                <w:color w:val="auto"/>
              </w:rPr>
            </w:pPr>
            <w:r>
              <w:rPr>
                <w:rFonts w:ascii="Arial" w:cs="Arial" w:eastAsia="Arial" w:hAnsi="Arial"/>
                <w:sz w:val="16"/>
                <w:szCs w:val="16"/>
                <w:b w:val="1"/>
                <w:bCs w:val="1"/>
                <w:color w:val="231F20"/>
                <w:w w:val="88"/>
              </w:rPr>
              <w:t>Weighted</w:t>
            </w:r>
          </w:p>
        </w:tc>
        <w:tc>
          <w:tcPr>
            <w:tcW w:w="11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9"/>
              </w:rPr>
              <w:t>Contractual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8"/>
        </w:trPr>
        <w:tc>
          <w:tcPr>
            <w:tcW w:w="4160" w:type="dxa"/>
            <w:vAlign w:val="bottom"/>
          </w:tcPr>
          <w:p>
            <w:pPr>
              <w:spacing w:after="0"/>
              <w:rPr>
                <w:sz w:val="15"/>
                <w:szCs w:val="15"/>
                <w:color w:val="auto"/>
              </w:rPr>
            </w:pPr>
          </w:p>
        </w:tc>
        <w:tc>
          <w:tcPr>
            <w:tcW w:w="1260" w:type="dxa"/>
            <w:vAlign w:val="bottom"/>
          </w:tcPr>
          <w:p>
            <w:pPr>
              <w:jc w:val="right"/>
              <w:ind w:right="206"/>
              <w:spacing w:after="0" w:line="178" w:lineRule="exact"/>
              <w:rPr>
                <w:sz w:val="20"/>
                <w:szCs w:val="20"/>
                <w:color w:val="auto"/>
              </w:rPr>
            </w:pPr>
            <w:r>
              <w:rPr>
                <w:rFonts w:ascii="Arial" w:cs="Arial" w:eastAsia="Arial" w:hAnsi="Arial"/>
                <w:sz w:val="16"/>
                <w:szCs w:val="16"/>
                <w:b w:val="1"/>
                <w:bCs w:val="1"/>
                <w:color w:val="231F20"/>
              </w:rPr>
              <w:t>Number of</w:t>
            </w:r>
          </w:p>
        </w:tc>
        <w:tc>
          <w:tcPr>
            <w:tcW w:w="200" w:type="dxa"/>
            <w:vAlign w:val="bottom"/>
          </w:tcPr>
          <w:p>
            <w:pPr>
              <w:spacing w:after="0"/>
              <w:rPr>
                <w:sz w:val="15"/>
                <w:szCs w:val="15"/>
                <w:color w:val="auto"/>
              </w:rPr>
            </w:pPr>
          </w:p>
        </w:tc>
        <w:tc>
          <w:tcPr>
            <w:tcW w:w="1060" w:type="dxa"/>
            <w:vAlign w:val="bottom"/>
          </w:tcPr>
          <w:p>
            <w:pPr>
              <w:jc w:val="center"/>
              <w:ind w:right="227"/>
              <w:spacing w:after="0" w:line="178" w:lineRule="exact"/>
              <w:rPr>
                <w:sz w:val="20"/>
                <w:szCs w:val="20"/>
                <w:color w:val="auto"/>
              </w:rPr>
            </w:pPr>
            <w:r>
              <w:rPr>
                <w:rFonts w:ascii="Arial" w:cs="Arial" w:eastAsia="Arial" w:hAnsi="Arial"/>
                <w:sz w:val="16"/>
                <w:szCs w:val="16"/>
                <w:b w:val="1"/>
                <w:bCs w:val="1"/>
                <w:color w:val="231F20"/>
                <w:w w:val="85"/>
              </w:rPr>
              <w:t>Average</w:t>
            </w:r>
          </w:p>
        </w:tc>
        <w:tc>
          <w:tcPr>
            <w:tcW w:w="11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94"/>
              </w:rPr>
              <w:t>Term (In</w:t>
            </w:r>
          </w:p>
        </w:tc>
        <w:tc>
          <w:tcPr>
            <w:tcW w:w="240" w:type="dxa"/>
            <w:vAlign w:val="bottom"/>
          </w:tcPr>
          <w:p>
            <w:pPr>
              <w:spacing w:after="0"/>
              <w:rPr>
                <w:sz w:val="15"/>
                <w:szCs w:val="15"/>
                <w:color w:val="auto"/>
              </w:rPr>
            </w:pPr>
          </w:p>
        </w:tc>
        <w:tc>
          <w:tcPr>
            <w:tcW w:w="900" w:type="dxa"/>
            <w:vAlign w:val="bottom"/>
          </w:tcPr>
          <w:p>
            <w:pPr>
              <w:jc w:val="right"/>
              <w:ind w:right="66"/>
              <w:spacing w:after="0" w:line="178" w:lineRule="exact"/>
              <w:rPr>
                <w:sz w:val="20"/>
                <w:szCs w:val="20"/>
                <w:color w:val="auto"/>
              </w:rPr>
            </w:pPr>
            <w:r>
              <w:rPr>
                <w:rFonts w:ascii="Arial" w:cs="Arial" w:eastAsia="Arial" w:hAnsi="Arial"/>
                <w:sz w:val="16"/>
                <w:szCs w:val="16"/>
                <w:b w:val="1"/>
                <w:bCs w:val="1"/>
                <w:color w:val="231F20"/>
                <w:w w:val="90"/>
              </w:rPr>
              <w:t>Aggregate</w:t>
            </w:r>
          </w:p>
        </w:tc>
      </w:tr>
      <w:tr>
        <w:trPr>
          <w:trHeight w:val="180"/>
        </w:trPr>
        <w:tc>
          <w:tcPr>
            <w:tcW w:w="4160" w:type="dxa"/>
            <w:vAlign w:val="bottom"/>
          </w:tcPr>
          <w:p>
            <w:pPr>
              <w:spacing w:after="0"/>
              <w:rPr>
                <w:sz w:val="15"/>
                <w:szCs w:val="15"/>
                <w:color w:val="auto"/>
              </w:rPr>
            </w:pPr>
          </w:p>
        </w:tc>
        <w:tc>
          <w:tcPr>
            <w:tcW w:w="1260" w:type="dxa"/>
            <w:vAlign w:val="bottom"/>
          </w:tcPr>
          <w:p>
            <w:pPr>
              <w:jc w:val="right"/>
              <w:ind w:right="346"/>
              <w:spacing w:after="0" w:line="180" w:lineRule="exact"/>
              <w:rPr>
                <w:sz w:val="20"/>
                <w:szCs w:val="20"/>
                <w:color w:val="auto"/>
              </w:rPr>
            </w:pPr>
            <w:r>
              <w:rPr>
                <w:rFonts w:ascii="Arial" w:cs="Arial" w:eastAsia="Arial" w:hAnsi="Arial"/>
                <w:sz w:val="16"/>
                <w:szCs w:val="16"/>
                <w:b w:val="1"/>
                <w:bCs w:val="1"/>
                <w:color w:val="231F20"/>
              </w:rPr>
              <w:t>Shares</w:t>
            </w:r>
          </w:p>
        </w:tc>
        <w:tc>
          <w:tcPr>
            <w:tcW w:w="1260" w:type="dxa"/>
            <w:vAlign w:val="bottom"/>
            <w:gridSpan w:val="2"/>
          </w:tcPr>
          <w:p>
            <w:pPr>
              <w:jc w:val="center"/>
              <w:ind w:right="27"/>
              <w:spacing w:after="0" w:line="180" w:lineRule="exact"/>
              <w:rPr>
                <w:sz w:val="20"/>
                <w:szCs w:val="20"/>
                <w:color w:val="auto"/>
              </w:rPr>
            </w:pPr>
            <w:r>
              <w:rPr>
                <w:rFonts w:ascii="Arial" w:cs="Arial" w:eastAsia="Arial" w:hAnsi="Arial"/>
                <w:sz w:val="16"/>
                <w:szCs w:val="16"/>
                <w:b w:val="1"/>
                <w:bCs w:val="1"/>
                <w:color w:val="231F20"/>
                <w:w w:val="85"/>
              </w:rPr>
              <w:t>Exercise Price</w:t>
            </w:r>
          </w:p>
        </w:tc>
        <w:tc>
          <w:tcPr>
            <w:tcW w:w="118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9"/>
              </w:rPr>
              <w:t>Years)</w:t>
            </w:r>
          </w:p>
        </w:tc>
        <w:tc>
          <w:tcPr>
            <w:tcW w:w="1140" w:type="dxa"/>
            <w:vAlign w:val="bottom"/>
            <w:gridSpan w:val="2"/>
          </w:tcPr>
          <w:p>
            <w:pPr>
              <w:ind w:left="140"/>
              <w:spacing w:after="0" w:line="180" w:lineRule="exact"/>
              <w:rPr>
                <w:sz w:val="20"/>
                <w:szCs w:val="20"/>
                <w:color w:val="auto"/>
              </w:rPr>
            </w:pPr>
            <w:r>
              <w:rPr>
                <w:rFonts w:ascii="Arial" w:cs="Arial" w:eastAsia="Arial" w:hAnsi="Arial"/>
                <w:sz w:val="16"/>
                <w:szCs w:val="16"/>
                <w:b w:val="1"/>
                <w:bCs w:val="1"/>
                <w:color w:val="231F20"/>
                <w:w w:val="89"/>
              </w:rPr>
              <w:t>Intrinsic Value</w:t>
            </w:r>
          </w:p>
        </w:tc>
      </w:tr>
      <w:tr>
        <w:trPr>
          <w:trHeight w:val="251"/>
        </w:trPr>
        <w:tc>
          <w:tcPr>
            <w:tcW w:w="4160" w:type="dxa"/>
            <w:vAlign w:val="bottom"/>
          </w:tcPr>
          <w:p>
            <w:pPr>
              <w:spacing w:after="0"/>
              <w:rPr>
                <w:sz w:val="20"/>
                <w:szCs w:val="20"/>
                <w:color w:val="auto"/>
              </w:rPr>
            </w:pPr>
            <w:r>
              <w:rPr>
                <w:rFonts w:ascii="Arial" w:cs="Arial" w:eastAsia="Arial" w:hAnsi="Arial"/>
                <w:sz w:val="19"/>
                <w:szCs w:val="19"/>
                <w:b w:val="1"/>
                <w:bCs w:val="1"/>
                <w:color w:val="231F20"/>
              </w:rPr>
              <w:t>Outstanding at December 31, 2023</w:t>
            </w:r>
          </w:p>
        </w:tc>
        <w:tc>
          <w:tcPr>
            <w:tcW w:w="1260" w:type="dxa"/>
            <w:vAlign w:val="bottom"/>
          </w:tcPr>
          <w:p>
            <w:pPr>
              <w:jc w:val="right"/>
              <w:ind w:right="66"/>
              <w:spacing w:after="0"/>
              <w:rPr>
                <w:sz w:val="20"/>
                <w:szCs w:val="20"/>
                <w:color w:val="auto"/>
              </w:rPr>
            </w:pPr>
            <w:r>
              <w:rPr>
                <w:rFonts w:ascii="Arial" w:cs="Arial" w:eastAsia="Arial" w:hAnsi="Arial"/>
                <w:sz w:val="19"/>
                <w:szCs w:val="19"/>
                <w:b w:val="1"/>
                <w:bCs w:val="1"/>
                <w:color w:val="231F20"/>
              </w:rPr>
              <w:t>1,974</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5.31</w:t>
            </w:r>
          </w:p>
        </w:tc>
        <w:tc>
          <w:tcPr>
            <w:tcW w:w="1180" w:type="dxa"/>
            <w:vAlign w:val="bottom"/>
          </w:tcPr>
          <w:p>
            <w:pPr>
              <w:jc w:val="right"/>
              <w:ind w:right="13"/>
              <w:spacing w:after="0"/>
              <w:rPr>
                <w:sz w:val="20"/>
                <w:szCs w:val="20"/>
                <w:color w:val="auto"/>
              </w:rPr>
            </w:pPr>
            <w:r>
              <w:rPr>
                <w:rFonts w:ascii="Arial" w:cs="Arial" w:eastAsia="Arial" w:hAnsi="Arial"/>
                <w:sz w:val="19"/>
                <w:szCs w:val="19"/>
                <w:b w:val="1"/>
                <w:bCs w:val="1"/>
                <w:color w:val="231F20"/>
              </w:rPr>
              <w:t>8.0</w:t>
            </w:r>
          </w:p>
        </w:tc>
        <w:tc>
          <w:tcPr>
            <w:tcW w:w="240" w:type="dxa"/>
            <w:vAlign w:val="bottom"/>
          </w:tcPr>
          <w:p>
            <w:pPr>
              <w:ind w:left="120"/>
              <w:spacing w:after="0"/>
              <w:rPr>
                <w:sz w:val="20"/>
                <w:szCs w:val="20"/>
                <w:color w:val="auto"/>
              </w:rPr>
            </w:pPr>
            <w:r>
              <w:rPr>
                <w:rFonts w:ascii="Arial" w:cs="Arial" w:eastAsia="Arial" w:hAnsi="Arial"/>
                <w:sz w:val="19"/>
                <w:szCs w:val="19"/>
                <w:b w:val="1"/>
                <w:bCs w:val="1"/>
                <w:color w:val="231F20"/>
                <w:w w:val="94"/>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429</w:t>
            </w: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Options granted</w:t>
            </w:r>
          </w:p>
        </w:tc>
        <w:tc>
          <w:tcPr>
            <w:tcW w:w="1260" w:type="dxa"/>
            <w:vAlign w:val="bottom"/>
          </w:tcPr>
          <w:p>
            <w:pPr>
              <w:jc w:val="right"/>
              <w:ind w:right="66"/>
              <w:spacing w:after="0"/>
              <w:rPr>
                <w:sz w:val="20"/>
                <w:szCs w:val="20"/>
                <w:color w:val="auto"/>
              </w:rPr>
            </w:pPr>
            <w:r>
              <w:rPr>
                <w:rFonts w:ascii="Arial" w:cs="Arial" w:eastAsia="Arial" w:hAnsi="Arial"/>
                <w:sz w:val="19"/>
                <w:szCs w:val="19"/>
                <w:b w:val="1"/>
                <w:bCs w:val="1"/>
                <w:color w:val="231F20"/>
              </w:rPr>
              <w:t>49</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4.39</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4160" w:type="dxa"/>
            <w:vAlign w:val="bottom"/>
          </w:tcPr>
          <w:p>
            <w:pPr>
              <w:spacing w:after="0"/>
              <w:rPr>
                <w:sz w:val="20"/>
                <w:szCs w:val="20"/>
                <w:color w:val="auto"/>
              </w:rPr>
            </w:pPr>
            <w:r>
              <w:rPr>
                <w:rFonts w:ascii="Arial" w:cs="Arial" w:eastAsia="Arial" w:hAnsi="Arial"/>
                <w:sz w:val="19"/>
                <w:szCs w:val="19"/>
                <w:b w:val="1"/>
                <w:bCs w:val="1"/>
                <w:color w:val="231F20"/>
              </w:rPr>
              <w:t>Options exercised</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(16)</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3.75</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Options cancelled</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(162)</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6.15</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0"/>
        </w:trPr>
        <w:tc>
          <w:tcPr>
            <w:tcW w:w="4160" w:type="dxa"/>
            <w:vAlign w:val="bottom"/>
          </w:tcPr>
          <w:p>
            <w:pPr>
              <w:spacing w:after="0"/>
              <w:rPr>
                <w:sz w:val="20"/>
                <w:szCs w:val="20"/>
                <w:color w:val="auto"/>
              </w:rPr>
            </w:pPr>
            <w:r>
              <w:rPr>
                <w:rFonts w:ascii="Arial" w:cs="Arial" w:eastAsia="Arial" w:hAnsi="Arial"/>
                <w:sz w:val="19"/>
                <w:szCs w:val="19"/>
                <w:b w:val="1"/>
                <w:bCs w:val="1"/>
                <w:color w:val="231F20"/>
              </w:rPr>
              <w:t>Outstanding at December 31, 2024</w:t>
            </w:r>
          </w:p>
        </w:tc>
        <w:tc>
          <w:tcPr>
            <w:tcW w:w="1260" w:type="dxa"/>
            <w:vAlign w:val="bottom"/>
          </w:tcPr>
          <w:p>
            <w:pPr>
              <w:jc w:val="right"/>
              <w:ind w:right="66"/>
              <w:spacing w:after="0"/>
              <w:rPr>
                <w:sz w:val="20"/>
                <w:szCs w:val="20"/>
                <w:color w:val="auto"/>
              </w:rPr>
            </w:pPr>
            <w:r>
              <w:rPr>
                <w:rFonts w:ascii="Arial" w:cs="Arial" w:eastAsia="Arial" w:hAnsi="Arial"/>
                <w:sz w:val="19"/>
                <w:szCs w:val="19"/>
                <w:b w:val="1"/>
                <w:bCs w:val="1"/>
                <w:color w:val="231F20"/>
              </w:rPr>
              <w:t>1,845</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5.22</w:t>
            </w:r>
          </w:p>
        </w:tc>
        <w:tc>
          <w:tcPr>
            <w:tcW w:w="1180" w:type="dxa"/>
            <w:vAlign w:val="bottom"/>
          </w:tcPr>
          <w:p>
            <w:pPr>
              <w:jc w:val="right"/>
              <w:ind w:right="13"/>
              <w:spacing w:after="0"/>
              <w:rPr>
                <w:sz w:val="20"/>
                <w:szCs w:val="20"/>
                <w:color w:val="auto"/>
              </w:rPr>
            </w:pPr>
            <w:r>
              <w:rPr>
                <w:rFonts w:ascii="Arial" w:cs="Arial" w:eastAsia="Arial" w:hAnsi="Arial"/>
                <w:sz w:val="19"/>
                <w:szCs w:val="19"/>
                <w:b w:val="1"/>
                <w:bCs w:val="1"/>
                <w:color w:val="231F20"/>
              </w:rPr>
              <w:t>7.3</w:t>
            </w:r>
          </w:p>
        </w:tc>
        <w:tc>
          <w:tcPr>
            <w:tcW w:w="240" w:type="dxa"/>
            <w:vAlign w:val="bottom"/>
          </w:tcPr>
          <w:p>
            <w:pPr>
              <w:ind w:left="120"/>
              <w:spacing w:after="0"/>
              <w:rPr>
                <w:sz w:val="20"/>
                <w:szCs w:val="20"/>
                <w:color w:val="auto"/>
              </w:rPr>
            </w:pPr>
            <w:r>
              <w:rPr>
                <w:rFonts w:ascii="Arial" w:cs="Arial" w:eastAsia="Arial" w:hAnsi="Arial"/>
                <w:sz w:val="19"/>
                <w:szCs w:val="19"/>
                <w:b w:val="1"/>
                <w:bCs w:val="1"/>
                <w:color w:val="231F20"/>
                <w:w w:val="94"/>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6,859</w:t>
            </w: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Options granted</w:t>
            </w:r>
          </w:p>
        </w:tc>
        <w:tc>
          <w:tcPr>
            <w:tcW w:w="1260" w:type="dxa"/>
            <w:vAlign w:val="bottom"/>
          </w:tcPr>
          <w:p>
            <w:pPr>
              <w:jc w:val="right"/>
              <w:ind w:right="46"/>
              <w:spacing w:after="0"/>
              <w:rPr>
                <w:sz w:val="20"/>
                <w:szCs w:val="20"/>
                <w:color w:val="auto"/>
              </w:rPr>
            </w:pPr>
            <w:r>
              <w:rPr>
                <w:rFonts w:ascii="Arial" w:cs="Arial" w:eastAsia="Arial" w:hAnsi="Arial"/>
                <w:sz w:val="19"/>
                <w:szCs w:val="19"/>
                <w:b w:val="1"/>
                <w:bCs w:val="1"/>
                <w:color w:val="231F20"/>
              </w:rPr>
              <w:t>4</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87"/>
              <w:spacing w:after="0"/>
              <w:rPr>
                <w:sz w:val="20"/>
                <w:szCs w:val="20"/>
                <w:color w:val="auto"/>
              </w:rPr>
            </w:pPr>
            <w:r>
              <w:rPr>
                <w:rFonts w:ascii="Arial" w:cs="Arial" w:eastAsia="Arial" w:hAnsi="Arial"/>
                <w:sz w:val="19"/>
                <w:szCs w:val="19"/>
                <w:b w:val="1"/>
                <w:bCs w:val="1"/>
                <w:color w:val="231F20"/>
              </w:rPr>
              <w:t>10.96</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Options exercised</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(17)</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5.41</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4160" w:type="dxa"/>
            <w:vAlign w:val="bottom"/>
          </w:tcPr>
          <w:p>
            <w:pPr>
              <w:spacing w:after="0"/>
              <w:rPr>
                <w:sz w:val="20"/>
                <w:szCs w:val="20"/>
                <w:color w:val="auto"/>
              </w:rPr>
            </w:pPr>
            <w:r>
              <w:rPr>
                <w:rFonts w:ascii="Arial" w:cs="Arial" w:eastAsia="Arial" w:hAnsi="Arial"/>
                <w:sz w:val="19"/>
                <w:szCs w:val="19"/>
                <w:b w:val="1"/>
                <w:bCs w:val="1"/>
                <w:color w:val="231F20"/>
              </w:rPr>
              <w:t>Options cancelled</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(23)</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5.66</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2"/>
        </w:trPr>
        <w:tc>
          <w:tcPr>
            <w:tcW w:w="4160" w:type="dxa"/>
            <w:vAlign w:val="bottom"/>
          </w:tcPr>
          <w:p>
            <w:pPr>
              <w:spacing w:after="0"/>
              <w:rPr>
                <w:sz w:val="20"/>
                <w:szCs w:val="20"/>
                <w:color w:val="auto"/>
              </w:rPr>
            </w:pPr>
            <w:r>
              <w:rPr>
                <w:rFonts w:ascii="Arial" w:cs="Arial" w:eastAsia="Arial" w:hAnsi="Arial"/>
                <w:sz w:val="19"/>
                <w:szCs w:val="19"/>
                <w:b w:val="1"/>
                <w:bCs w:val="1"/>
                <w:color w:val="231F20"/>
              </w:rPr>
              <w:t>Outstanding at December 31, 2025</w:t>
            </w:r>
          </w:p>
        </w:tc>
        <w:tc>
          <w:tcPr>
            <w:tcW w:w="1260" w:type="dxa"/>
            <w:vAlign w:val="bottom"/>
          </w:tcPr>
          <w:p>
            <w:pPr>
              <w:jc w:val="right"/>
              <w:ind w:right="66"/>
              <w:spacing w:after="0"/>
              <w:rPr>
                <w:sz w:val="20"/>
                <w:szCs w:val="20"/>
                <w:color w:val="auto"/>
              </w:rPr>
            </w:pPr>
            <w:r>
              <w:rPr>
                <w:rFonts w:ascii="Arial" w:cs="Arial" w:eastAsia="Arial" w:hAnsi="Arial"/>
                <w:sz w:val="19"/>
                <w:szCs w:val="19"/>
                <w:b w:val="1"/>
                <w:bCs w:val="1"/>
                <w:color w:val="231F20"/>
              </w:rPr>
              <w:t>1,809</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5.23</w:t>
            </w:r>
          </w:p>
        </w:tc>
        <w:tc>
          <w:tcPr>
            <w:tcW w:w="1180" w:type="dxa"/>
            <w:vAlign w:val="bottom"/>
          </w:tcPr>
          <w:p>
            <w:pPr>
              <w:jc w:val="right"/>
              <w:ind w:right="13"/>
              <w:spacing w:after="0"/>
              <w:rPr>
                <w:sz w:val="20"/>
                <w:szCs w:val="20"/>
                <w:color w:val="auto"/>
              </w:rPr>
            </w:pPr>
            <w:r>
              <w:rPr>
                <w:rFonts w:ascii="Arial" w:cs="Arial" w:eastAsia="Arial" w:hAnsi="Arial"/>
                <w:sz w:val="19"/>
                <w:szCs w:val="19"/>
                <w:b w:val="1"/>
                <w:bCs w:val="1"/>
                <w:color w:val="231F20"/>
              </w:rPr>
              <w:t>6.4</w:t>
            </w:r>
          </w:p>
        </w:tc>
        <w:tc>
          <w:tcPr>
            <w:tcW w:w="240" w:type="dxa"/>
            <w:vAlign w:val="bottom"/>
          </w:tcPr>
          <w:p>
            <w:pPr>
              <w:ind w:left="120"/>
              <w:spacing w:after="0"/>
              <w:rPr>
                <w:sz w:val="20"/>
                <w:szCs w:val="20"/>
                <w:color w:val="auto"/>
              </w:rPr>
            </w:pPr>
            <w:r>
              <w:rPr>
                <w:rFonts w:ascii="Arial" w:cs="Arial" w:eastAsia="Arial" w:hAnsi="Arial"/>
                <w:sz w:val="19"/>
                <w:szCs w:val="19"/>
                <w:b w:val="1"/>
                <w:bCs w:val="1"/>
                <w:color w:val="231F20"/>
                <w:w w:val="94"/>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11,587</w:t>
            </w:r>
          </w:p>
        </w:tc>
      </w:tr>
      <w:tr>
        <w:trPr>
          <w:trHeight w:val="516"/>
        </w:trPr>
        <w:tc>
          <w:tcPr>
            <w:tcW w:w="4160" w:type="dxa"/>
            <w:vAlign w:val="bottom"/>
          </w:tcPr>
          <w:p>
            <w:pPr>
              <w:spacing w:after="0"/>
              <w:rPr>
                <w:sz w:val="20"/>
                <w:szCs w:val="20"/>
                <w:color w:val="auto"/>
              </w:rPr>
            </w:pPr>
            <w:r>
              <w:rPr>
                <w:rFonts w:ascii="Arial" w:cs="Arial" w:eastAsia="Arial" w:hAnsi="Arial"/>
                <w:sz w:val="19"/>
                <w:szCs w:val="19"/>
                <w:b w:val="1"/>
                <w:bCs w:val="1"/>
                <w:color w:val="231F20"/>
                <w:w w:val="91"/>
              </w:rPr>
              <w:t>Vested and expected to vest at December 31, 2025</w:t>
            </w:r>
          </w:p>
        </w:tc>
        <w:tc>
          <w:tcPr>
            <w:tcW w:w="1260" w:type="dxa"/>
            <w:vAlign w:val="bottom"/>
          </w:tcPr>
          <w:p>
            <w:pPr>
              <w:jc w:val="right"/>
              <w:ind w:right="66"/>
              <w:spacing w:after="0"/>
              <w:rPr>
                <w:sz w:val="20"/>
                <w:szCs w:val="20"/>
                <w:color w:val="auto"/>
              </w:rPr>
            </w:pPr>
            <w:r>
              <w:rPr>
                <w:rFonts w:ascii="Arial" w:cs="Arial" w:eastAsia="Arial" w:hAnsi="Arial"/>
                <w:sz w:val="19"/>
                <w:szCs w:val="19"/>
                <w:b w:val="1"/>
                <w:bCs w:val="1"/>
                <w:color w:val="231F20"/>
              </w:rPr>
              <w:t>1,809</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5.23</w:t>
            </w:r>
          </w:p>
        </w:tc>
        <w:tc>
          <w:tcPr>
            <w:tcW w:w="1180" w:type="dxa"/>
            <w:vAlign w:val="bottom"/>
          </w:tcPr>
          <w:p>
            <w:pPr>
              <w:jc w:val="right"/>
              <w:ind w:right="13"/>
              <w:spacing w:after="0"/>
              <w:rPr>
                <w:sz w:val="20"/>
                <w:szCs w:val="20"/>
                <w:color w:val="auto"/>
              </w:rPr>
            </w:pPr>
            <w:r>
              <w:rPr>
                <w:rFonts w:ascii="Arial" w:cs="Arial" w:eastAsia="Arial" w:hAnsi="Arial"/>
                <w:sz w:val="19"/>
                <w:szCs w:val="19"/>
                <w:b w:val="1"/>
                <w:bCs w:val="1"/>
                <w:color w:val="231F20"/>
              </w:rPr>
              <w:t>6.4</w:t>
            </w:r>
          </w:p>
        </w:tc>
        <w:tc>
          <w:tcPr>
            <w:tcW w:w="240" w:type="dxa"/>
            <w:vAlign w:val="bottom"/>
          </w:tcPr>
          <w:p>
            <w:pPr>
              <w:ind w:left="120"/>
              <w:spacing w:after="0"/>
              <w:rPr>
                <w:sz w:val="20"/>
                <w:szCs w:val="20"/>
                <w:color w:val="auto"/>
              </w:rPr>
            </w:pPr>
            <w:r>
              <w:rPr>
                <w:rFonts w:ascii="Arial" w:cs="Arial" w:eastAsia="Arial" w:hAnsi="Arial"/>
                <w:sz w:val="19"/>
                <w:szCs w:val="19"/>
                <w:b w:val="1"/>
                <w:bCs w:val="1"/>
                <w:color w:val="231F20"/>
                <w:w w:val="94"/>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11,587</w:t>
            </w: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Vested and exercisable at December 31, 2025</w:t>
            </w:r>
          </w:p>
        </w:tc>
        <w:tc>
          <w:tcPr>
            <w:tcW w:w="1260" w:type="dxa"/>
            <w:vAlign w:val="bottom"/>
          </w:tcPr>
          <w:p>
            <w:pPr>
              <w:jc w:val="right"/>
              <w:ind w:right="66"/>
              <w:spacing w:after="0"/>
              <w:rPr>
                <w:sz w:val="20"/>
                <w:szCs w:val="20"/>
                <w:color w:val="auto"/>
              </w:rPr>
            </w:pPr>
            <w:r>
              <w:rPr>
                <w:rFonts w:ascii="Arial" w:cs="Arial" w:eastAsia="Arial" w:hAnsi="Arial"/>
                <w:sz w:val="19"/>
                <w:szCs w:val="19"/>
                <w:b w:val="1"/>
                <w:bCs w:val="1"/>
                <w:color w:val="231F20"/>
              </w:rPr>
              <w:t>1,657</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ind w:right="67"/>
              <w:spacing w:after="0"/>
              <w:rPr>
                <w:sz w:val="20"/>
                <w:szCs w:val="20"/>
                <w:color w:val="auto"/>
              </w:rPr>
            </w:pPr>
            <w:r>
              <w:rPr>
                <w:rFonts w:ascii="Arial" w:cs="Arial" w:eastAsia="Arial" w:hAnsi="Arial"/>
                <w:sz w:val="19"/>
                <w:szCs w:val="19"/>
                <w:b w:val="1"/>
                <w:bCs w:val="1"/>
                <w:color w:val="231F20"/>
              </w:rPr>
              <w:t>5.40</w:t>
            </w:r>
          </w:p>
        </w:tc>
        <w:tc>
          <w:tcPr>
            <w:tcW w:w="1180" w:type="dxa"/>
            <w:vAlign w:val="bottom"/>
          </w:tcPr>
          <w:p>
            <w:pPr>
              <w:jc w:val="right"/>
              <w:ind w:right="13"/>
              <w:spacing w:after="0"/>
              <w:rPr>
                <w:sz w:val="20"/>
                <w:szCs w:val="20"/>
                <w:color w:val="auto"/>
              </w:rPr>
            </w:pPr>
            <w:r>
              <w:rPr>
                <w:rFonts w:ascii="Arial" w:cs="Arial" w:eastAsia="Arial" w:hAnsi="Arial"/>
                <w:sz w:val="19"/>
                <w:szCs w:val="19"/>
                <w:b w:val="1"/>
                <w:bCs w:val="1"/>
                <w:color w:val="231F20"/>
              </w:rPr>
              <w:t>6.3</w:t>
            </w:r>
          </w:p>
        </w:tc>
        <w:tc>
          <w:tcPr>
            <w:tcW w:w="240" w:type="dxa"/>
            <w:vAlign w:val="bottom"/>
          </w:tcPr>
          <w:p>
            <w:pPr>
              <w:ind w:left="120"/>
              <w:spacing w:after="0"/>
              <w:rPr>
                <w:sz w:val="20"/>
                <w:szCs w:val="20"/>
                <w:color w:val="auto"/>
              </w:rPr>
            </w:pPr>
            <w:r>
              <w:rPr>
                <w:rFonts w:ascii="Arial" w:cs="Arial" w:eastAsia="Arial" w:hAnsi="Arial"/>
                <w:sz w:val="19"/>
                <w:szCs w:val="19"/>
                <w:b w:val="1"/>
                <w:bCs w:val="1"/>
                <w:color w:val="231F20"/>
                <w:w w:val="94"/>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10,326</w:t>
            </w:r>
          </w:p>
        </w:tc>
      </w:tr>
    </w:tbl>
    <w:p>
      <w:pPr>
        <w:spacing w:after="0" w:line="272" w:lineRule="exact"/>
        <w:rPr>
          <w:sz w:val="20"/>
          <w:szCs w:val="20"/>
          <w:color w:val="auto"/>
        </w:rPr>
      </w:pPr>
    </w:p>
    <w:p>
      <w:pPr>
        <w:ind w:left="140" w:right="140"/>
        <w:spacing w:after="0" w:line="329" w:lineRule="auto"/>
        <w:rPr>
          <w:sz w:val="20"/>
          <w:szCs w:val="20"/>
          <w:color w:val="auto"/>
        </w:rPr>
      </w:pPr>
      <w:r>
        <w:rPr>
          <w:rFonts w:ascii="Arial" w:cs="Arial" w:eastAsia="Arial" w:hAnsi="Arial"/>
          <w:sz w:val="16"/>
          <w:szCs w:val="16"/>
          <w:b w:val="1"/>
          <w:bCs w:val="1"/>
          <w:color w:val="231F20"/>
        </w:rPr>
        <w:t>The weighted average grant date fair value of options granted during the years ended December 31, 2025 and 2024 was $6.58 and $2.56, respectively. The total fair value of options vested during the years ended December 31, 2025</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F-28</w:t>
      </w:r>
    </w:p>
    <w:p>
      <w:pPr>
        <w:sectPr>
          <w:pgSz w:w="12240" w:h="15840" w:orient="portrait"/>
          <w:cols w:equalWidth="0" w:num="1">
            <w:col w:w="9360"/>
          </w:cols>
          <w:pgMar w:left="1440" w:top="1440" w:right="1440" w:bottom="390" w:gutter="0" w:footer="0" w:header="0"/>
          <w:type w:val="continuous"/>
        </w:sectPr>
      </w:pPr>
    </w:p>
    <w:bookmarkStart w:id="130" w:name="page131"/>
    <w:bookmarkEnd w:id="130"/>
    <w:p>
      <w:pPr>
        <w:spacing w:after="0" w:line="343" w:lineRule="exact"/>
        <w:rPr>
          <w:sz w:val="20"/>
          <w:szCs w:val="20"/>
          <w:color w:val="auto"/>
        </w:rPr>
      </w:pPr>
    </w:p>
    <w:p>
      <w:pPr>
        <w:jc w:val="both"/>
        <w:ind w:left="140" w:right="140"/>
        <w:spacing w:after="0" w:line="266" w:lineRule="auto"/>
        <w:rPr>
          <w:sz w:val="20"/>
          <w:szCs w:val="20"/>
          <w:color w:val="auto"/>
        </w:rPr>
      </w:pPr>
      <w:r>
        <w:rPr>
          <w:rFonts w:ascii="Arial" w:cs="Arial" w:eastAsia="Arial" w:hAnsi="Arial"/>
          <w:sz w:val="18"/>
          <w:szCs w:val="18"/>
          <w:b w:val="1"/>
          <w:bCs w:val="1"/>
          <w:color w:val="231F20"/>
        </w:rPr>
        <w:t>and 2024 was approximately $837 and $1,531, respectively. Total unrecognized compensation expense of $234 related to stock options will be recognized over a weighted average period of 1.1 years.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31F20"/>
        </w:rPr>
        <w:t>The following table summarizes information about stock options outstanding and vested as of December 31, 2025:</w:t>
      </w:r>
    </w:p>
    <w:p>
      <w:pPr>
        <w:spacing w:after="0" w:line="29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60" w:type="dxa"/>
            <w:vAlign w:val="bottom"/>
            <w:gridSpan w:val="3"/>
          </w:tcPr>
          <w:p>
            <w:pPr>
              <w:jc w:val="center"/>
              <w:ind w:left="1949"/>
              <w:spacing w:after="0"/>
              <w:rPr>
                <w:sz w:val="20"/>
                <w:szCs w:val="20"/>
                <w:color w:val="auto"/>
              </w:rPr>
            </w:pPr>
            <w:r>
              <w:rPr>
                <w:rFonts w:ascii="Arial" w:cs="Arial" w:eastAsia="Arial" w:hAnsi="Arial"/>
                <w:sz w:val="16"/>
                <w:szCs w:val="16"/>
                <w:b w:val="1"/>
                <w:bCs w:val="1"/>
                <w:color w:val="231F20"/>
                <w:w w:val="87"/>
              </w:rPr>
              <w:t>Options Outstanding</w:t>
            </w:r>
          </w:p>
        </w:tc>
        <w:tc>
          <w:tcPr>
            <w:tcW w:w="920" w:type="dxa"/>
            <w:vAlign w:val="bottom"/>
          </w:tcPr>
          <w:p>
            <w:pPr>
              <w:spacing w:after="0"/>
              <w:rPr>
                <w:sz w:val="16"/>
                <w:szCs w:val="16"/>
                <w:color w:val="auto"/>
              </w:rPr>
            </w:pPr>
          </w:p>
        </w:tc>
        <w:tc>
          <w:tcPr>
            <w:tcW w:w="2060" w:type="dxa"/>
            <w:vAlign w:val="bottom"/>
            <w:gridSpan w:val="3"/>
          </w:tcPr>
          <w:p>
            <w:pPr>
              <w:jc w:val="right"/>
              <w:ind w:right="390"/>
              <w:spacing w:after="0"/>
              <w:rPr>
                <w:sz w:val="20"/>
                <w:szCs w:val="20"/>
                <w:color w:val="auto"/>
              </w:rPr>
            </w:pPr>
            <w:r>
              <w:rPr>
                <w:rFonts w:ascii="Arial" w:cs="Arial" w:eastAsia="Arial" w:hAnsi="Arial"/>
                <w:sz w:val="16"/>
                <w:szCs w:val="16"/>
                <w:b w:val="1"/>
                <w:bCs w:val="1"/>
                <w:color w:val="231F20"/>
              </w:rPr>
              <w:t>Options Vested</w:t>
            </w:r>
          </w:p>
        </w:tc>
      </w:tr>
      <w:tr>
        <w:trPr>
          <w:trHeight w:val="206"/>
        </w:trPr>
        <w:tc>
          <w:tcPr>
            <w:tcW w:w="5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231F20"/>
                <w:w w:val="88"/>
              </w:rPr>
              <w:t>Weighted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0"/>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8"/>
              </w:rPr>
              <w:t>Average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8"/>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7"/>
              </w:rPr>
              <w:t>Remaining</w:t>
            </w:r>
          </w:p>
        </w:tc>
        <w:tc>
          <w:tcPr>
            <w:tcW w:w="200" w:type="dxa"/>
            <w:vAlign w:val="bottom"/>
          </w:tcPr>
          <w:p>
            <w:pPr>
              <w:spacing w:after="0"/>
              <w:rPr>
                <w:sz w:val="15"/>
                <w:szCs w:val="15"/>
                <w:color w:val="auto"/>
              </w:rPr>
            </w:pPr>
          </w:p>
        </w:tc>
        <w:tc>
          <w:tcPr>
            <w:tcW w:w="920" w:type="dxa"/>
            <w:vAlign w:val="bottom"/>
          </w:tcPr>
          <w:p>
            <w:pPr>
              <w:jc w:val="center"/>
              <w:ind w:right="150"/>
              <w:spacing w:after="0" w:line="178" w:lineRule="exact"/>
              <w:rPr>
                <w:sz w:val="20"/>
                <w:szCs w:val="20"/>
                <w:color w:val="auto"/>
              </w:rPr>
            </w:pPr>
            <w:r>
              <w:rPr>
                <w:rFonts w:ascii="Arial" w:cs="Arial" w:eastAsia="Arial" w:hAnsi="Arial"/>
                <w:sz w:val="16"/>
                <w:szCs w:val="16"/>
                <w:b w:val="1"/>
                <w:bCs w:val="1"/>
                <w:color w:val="231F20"/>
                <w:w w:val="88"/>
              </w:rPr>
              <w:t>Weighted</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0"/>
              <w:spacing w:after="0" w:line="178" w:lineRule="exact"/>
              <w:rPr>
                <w:sz w:val="20"/>
                <w:szCs w:val="20"/>
                <w:color w:val="auto"/>
              </w:rPr>
            </w:pPr>
            <w:r>
              <w:rPr>
                <w:rFonts w:ascii="Arial" w:cs="Arial" w:eastAsia="Arial" w:hAnsi="Arial"/>
                <w:sz w:val="16"/>
                <w:szCs w:val="16"/>
                <w:b w:val="1"/>
                <w:bCs w:val="1"/>
                <w:color w:val="231F20"/>
                <w:w w:val="88"/>
              </w:rPr>
              <w:t>Weighted</w:t>
            </w:r>
          </w:p>
        </w:tc>
      </w:tr>
      <w:tr>
        <w:trPr>
          <w:trHeight w:val="178"/>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9"/>
              </w:rPr>
              <w:t>Contractual</w:t>
            </w:r>
          </w:p>
        </w:tc>
        <w:tc>
          <w:tcPr>
            <w:tcW w:w="200" w:type="dxa"/>
            <w:vAlign w:val="bottom"/>
          </w:tcPr>
          <w:p>
            <w:pPr>
              <w:spacing w:after="0"/>
              <w:rPr>
                <w:sz w:val="15"/>
                <w:szCs w:val="15"/>
                <w:color w:val="auto"/>
              </w:rPr>
            </w:pPr>
          </w:p>
        </w:tc>
        <w:tc>
          <w:tcPr>
            <w:tcW w:w="920" w:type="dxa"/>
            <w:vAlign w:val="bottom"/>
          </w:tcPr>
          <w:p>
            <w:pPr>
              <w:jc w:val="center"/>
              <w:ind w:right="150"/>
              <w:spacing w:after="0" w:line="178" w:lineRule="exact"/>
              <w:rPr>
                <w:sz w:val="20"/>
                <w:szCs w:val="20"/>
                <w:color w:val="auto"/>
              </w:rPr>
            </w:pPr>
            <w:r>
              <w:rPr>
                <w:rFonts w:ascii="Arial" w:cs="Arial" w:eastAsia="Arial" w:hAnsi="Arial"/>
                <w:sz w:val="16"/>
                <w:szCs w:val="16"/>
                <w:b w:val="1"/>
                <w:bCs w:val="1"/>
                <w:color w:val="231F20"/>
                <w:w w:val="88"/>
              </w:rPr>
              <w:t>Average</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0"/>
              <w:spacing w:after="0" w:line="178" w:lineRule="exact"/>
              <w:rPr>
                <w:sz w:val="20"/>
                <w:szCs w:val="20"/>
                <w:color w:val="auto"/>
              </w:rPr>
            </w:pPr>
            <w:r>
              <w:rPr>
                <w:rFonts w:ascii="Arial" w:cs="Arial" w:eastAsia="Arial" w:hAnsi="Arial"/>
                <w:sz w:val="16"/>
                <w:szCs w:val="16"/>
                <w:b w:val="1"/>
                <w:bCs w:val="1"/>
                <w:color w:val="231F20"/>
                <w:w w:val="88"/>
              </w:rPr>
              <w:t>Average</w:t>
            </w:r>
          </w:p>
        </w:tc>
      </w:tr>
      <w:tr>
        <w:trPr>
          <w:trHeight w:val="180"/>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Pr>
          <w:p>
            <w:pPr>
              <w:jc w:val="right"/>
              <w:ind w:right="229"/>
              <w:spacing w:after="0" w:line="180" w:lineRule="exact"/>
              <w:rPr>
                <w:sz w:val="20"/>
                <w:szCs w:val="20"/>
                <w:color w:val="auto"/>
              </w:rPr>
            </w:pPr>
            <w:r>
              <w:rPr>
                <w:rFonts w:ascii="Arial" w:cs="Arial" w:eastAsia="Arial" w:hAnsi="Arial"/>
                <w:sz w:val="16"/>
                <w:szCs w:val="16"/>
                <w:b w:val="1"/>
                <w:bCs w:val="1"/>
                <w:color w:val="231F20"/>
              </w:rPr>
              <w:t>Options</w:t>
            </w:r>
          </w:p>
        </w:tc>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94"/>
              </w:rPr>
              <w:t>Term (in</w:t>
            </w:r>
          </w:p>
        </w:tc>
        <w:tc>
          <w:tcPr>
            <w:tcW w:w="200" w:type="dxa"/>
            <w:vAlign w:val="bottom"/>
          </w:tcPr>
          <w:p>
            <w:pPr>
              <w:spacing w:after="0"/>
              <w:rPr>
                <w:sz w:val="15"/>
                <w:szCs w:val="15"/>
                <w:color w:val="auto"/>
              </w:rPr>
            </w:pPr>
          </w:p>
        </w:tc>
        <w:tc>
          <w:tcPr>
            <w:tcW w:w="920" w:type="dxa"/>
            <w:vAlign w:val="bottom"/>
          </w:tcPr>
          <w:p>
            <w:pPr>
              <w:jc w:val="center"/>
              <w:ind w:right="150"/>
              <w:spacing w:after="0" w:line="180" w:lineRule="exact"/>
              <w:rPr>
                <w:sz w:val="20"/>
                <w:szCs w:val="20"/>
                <w:color w:val="auto"/>
              </w:rPr>
            </w:pPr>
            <w:r>
              <w:rPr>
                <w:rFonts w:ascii="Arial" w:cs="Arial" w:eastAsia="Arial" w:hAnsi="Arial"/>
                <w:sz w:val="16"/>
                <w:szCs w:val="16"/>
                <w:b w:val="1"/>
                <w:bCs w:val="1"/>
                <w:color w:val="231F20"/>
                <w:w w:val="85"/>
              </w:rPr>
              <w:t>Exercise</w:t>
            </w:r>
          </w:p>
        </w:tc>
        <w:tc>
          <w:tcPr>
            <w:tcW w:w="1060" w:type="dxa"/>
            <w:vAlign w:val="bottom"/>
          </w:tcPr>
          <w:p>
            <w:pPr>
              <w:jc w:val="right"/>
              <w:ind w:right="169"/>
              <w:spacing w:after="0" w:line="180" w:lineRule="exact"/>
              <w:rPr>
                <w:sz w:val="20"/>
                <w:szCs w:val="20"/>
                <w:color w:val="auto"/>
              </w:rPr>
            </w:pPr>
            <w:r>
              <w:rPr>
                <w:rFonts w:ascii="Arial" w:cs="Arial" w:eastAsia="Arial" w:hAnsi="Arial"/>
                <w:sz w:val="16"/>
                <w:szCs w:val="16"/>
                <w:b w:val="1"/>
                <w:bCs w:val="1"/>
                <w:color w:val="231F20"/>
              </w:rPr>
              <w:t>Number</w:t>
            </w:r>
          </w:p>
        </w:tc>
        <w:tc>
          <w:tcPr>
            <w:tcW w:w="220" w:type="dxa"/>
            <w:vAlign w:val="bottom"/>
          </w:tcPr>
          <w:p>
            <w:pPr>
              <w:spacing w:after="0"/>
              <w:rPr>
                <w:sz w:val="15"/>
                <w:szCs w:val="15"/>
                <w:color w:val="auto"/>
              </w:rPr>
            </w:pPr>
          </w:p>
        </w:tc>
        <w:tc>
          <w:tcPr>
            <w:tcW w:w="780" w:type="dxa"/>
            <w:vAlign w:val="bottom"/>
          </w:tcPr>
          <w:p>
            <w:pPr>
              <w:jc w:val="center"/>
              <w:ind w:right="10"/>
              <w:spacing w:after="0" w:line="180" w:lineRule="exact"/>
              <w:rPr>
                <w:sz w:val="20"/>
                <w:szCs w:val="20"/>
                <w:color w:val="auto"/>
              </w:rPr>
            </w:pPr>
            <w:r>
              <w:rPr>
                <w:rFonts w:ascii="Arial" w:cs="Arial" w:eastAsia="Arial" w:hAnsi="Arial"/>
                <w:sz w:val="16"/>
                <w:szCs w:val="16"/>
                <w:b w:val="1"/>
                <w:bCs w:val="1"/>
                <w:color w:val="231F20"/>
                <w:w w:val="85"/>
              </w:rPr>
              <w:t>Exercise</w:t>
            </w:r>
          </w:p>
        </w:tc>
      </w:tr>
      <w:tr>
        <w:trPr>
          <w:trHeight w:val="178"/>
        </w:trPr>
        <w:tc>
          <w:tcPr>
            <w:tcW w:w="2460" w:type="dxa"/>
            <w:vAlign w:val="bottom"/>
            <w:gridSpan w:val="2"/>
          </w:tcPr>
          <w:p>
            <w:pPr>
              <w:spacing w:after="0" w:line="178" w:lineRule="exact"/>
              <w:rPr>
                <w:sz w:val="20"/>
                <w:szCs w:val="20"/>
                <w:color w:val="auto"/>
              </w:rPr>
            </w:pPr>
            <w:r>
              <w:rPr>
                <w:rFonts w:ascii="Arial" w:cs="Arial" w:eastAsia="Arial" w:hAnsi="Arial"/>
                <w:sz w:val="16"/>
                <w:szCs w:val="16"/>
                <w:b w:val="1"/>
                <w:bCs w:val="1"/>
                <w:color w:val="231F20"/>
              </w:rPr>
              <w:t>Exercise Price</w:t>
            </w:r>
          </w:p>
        </w:tc>
        <w:tc>
          <w:tcPr>
            <w:tcW w:w="2280" w:type="dxa"/>
            <w:vAlign w:val="bottom"/>
          </w:tcPr>
          <w:p>
            <w:pPr>
              <w:jc w:val="right"/>
              <w:ind w:right="69"/>
              <w:spacing w:after="0" w:line="178" w:lineRule="exact"/>
              <w:rPr>
                <w:sz w:val="20"/>
                <w:szCs w:val="20"/>
                <w:color w:val="auto"/>
              </w:rPr>
            </w:pPr>
            <w:r>
              <w:rPr>
                <w:rFonts w:ascii="Arial" w:cs="Arial" w:eastAsia="Arial" w:hAnsi="Arial"/>
                <w:sz w:val="16"/>
                <w:szCs w:val="16"/>
                <w:b w:val="1"/>
                <w:bCs w:val="1"/>
                <w:color w:val="231F20"/>
              </w:rPr>
              <w:t>Outstanding</w:t>
            </w:r>
          </w:p>
        </w:tc>
        <w:tc>
          <w:tcPr>
            <w:tcW w:w="108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9"/>
              </w:rPr>
              <w:t>Years)</w:t>
            </w:r>
          </w:p>
        </w:tc>
        <w:tc>
          <w:tcPr>
            <w:tcW w:w="200" w:type="dxa"/>
            <w:vAlign w:val="bottom"/>
          </w:tcPr>
          <w:p>
            <w:pPr>
              <w:spacing w:after="0"/>
              <w:rPr>
                <w:sz w:val="15"/>
                <w:szCs w:val="15"/>
                <w:color w:val="auto"/>
              </w:rPr>
            </w:pPr>
          </w:p>
        </w:tc>
        <w:tc>
          <w:tcPr>
            <w:tcW w:w="920" w:type="dxa"/>
            <w:vAlign w:val="bottom"/>
          </w:tcPr>
          <w:p>
            <w:pPr>
              <w:jc w:val="center"/>
              <w:ind w:right="150"/>
              <w:spacing w:after="0" w:line="178" w:lineRule="exact"/>
              <w:rPr>
                <w:sz w:val="20"/>
                <w:szCs w:val="20"/>
                <w:color w:val="auto"/>
              </w:rPr>
            </w:pPr>
            <w:r>
              <w:rPr>
                <w:rFonts w:ascii="Arial" w:cs="Arial" w:eastAsia="Arial" w:hAnsi="Arial"/>
                <w:sz w:val="16"/>
                <w:szCs w:val="16"/>
                <w:b w:val="1"/>
                <w:bCs w:val="1"/>
                <w:color w:val="231F20"/>
                <w:w w:val="91"/>
              </w:rPr>
              <w:t>Price</w:t>
            </w:r>
          </w:p>
        </w:tc>
        <w:tc>
          <w:tcPr>
            <w:tcW w:w="1060" w:type="dxa"/>
            <w:vAlign w:val="bottom"/>
          </w:tcPr>
          <w:p>
            <w:pPr>
              <w:jc w:val="right"/>
              <w:ind w:right="69"/>
              <w:spacing w:after="0" w:line="178" w:lineRule="exact"/>
              <w:rPr>
                <w:sz w:val="20"/>
                <w:szCs w:val="20"/>
                <w:color w:val="auto"/>
              </w:rPr>
            </w:pPr>
            <w:r>
              <w:rPr>
                <w:rFonts w:ascii="Arial" w:cs="Arial" w:eastAsia="Arial" w:hAnsi="Arial"/>
                <w:sz w:val="16"/>
                <w:szCs w:val="16"/>
                <w:b w:val="1"/>
                <w:bCs w:val="1"/>
                <w:color w:val="231F20"/>
                <w:w w:val="98"/>
              </w:rPr>
              <w:t>Exercisable</w:t>
            </w:r>
          </w:p>
        </w:tc>
        <w:tc>
          <w:tcPr>
            <w:tcW w:w="220" w:type="dxa"/>
            <w:vAlign w:val="bottom"/>
          </w:tcPr>
          <w:p>
            <w:pPr>
              <w:spacing w:after="0"/>
              <w:rPr>
                <w:sz w:val="15"/>
                <w:szCs w:val="15"/>
                <w:color w:val="auto"/>
              </w:rPr>
            </w:pPr>
          </w:p>
        </w:tc>
        <w:tc>
          <w:tcPr>
            <w:tcW w:w="780" w:type="dxa"/>
            <w:vAlign w:val="bottom"/>
          </w:tcPr>
          <w:p>
            <w:pPr>
              <w:jc w:val="center"/>
              <w:ind w:right="30"/>
              <w:spacing w:after="0" w:line="178" w:lineRule="exact"/>
              <w:rPr>
                <w:sz w:val="20"/>
                <w:szCs w:val="20"/>
                <w:color w:val="auto"/>
              </w:rPr>
            </w:pPr>
            <w:r>
              <w:rPr>
                <w:rFonts w:ascii="Arial" w:cs="Arial" w:eastAsia="Arial" w:hAnsi="Arial"/>
                <w:sz w:val="16"/>
                <w:szCs w:val="16"/>
                <w:b w:val="1"/>
                <w:bCs w:val="1"/>
                <w:color w:val="231F20"/>
                <w:w w:val="86"/>
              </w:rPr>
              <w:t>Price</w:t>
            </w:r>
          </w:p>
        </w:tc>
      </w:tr>
      <w:tr>
        <w:trPr>
          <w:trHeight w:val="250"/>
        </w:trPr>
        <w:tc>
          <w:tcPr>
            <w:tcW w:w="2460" w:type="dxa"/>
            <w:vAlign w:val="bottom"/>
            <w:gridSpan w:val="2"/>
          </w:tcPr>
          <w:p>
            <w:pPr>
              <w:ind w:left="40"/>
              <w:spacing w:after="0"/>
              <w:rPr>
                <w:sz w:val="20"/>
                <w:szCs w:val="20"/>
                <w:color w:val="auto"/>
              </w:rPr>
            </w:pPr>
            <w:r>
              <w:rPr>
                <w:rFonts w:ascii="Arial" w:cs="Arial" w:eastAsia="Arial" w:hAnsi="Arial"/>
                <w:sz w:val="19"/>
                <w:szCs w:val="19"/>
                <w:b w:val="1"/>
                <w:bCs w:val="1"/>
                <w:color w:val="231F20"/>
              </w:rPr>
              <w:t>$2.15 - $3.10</w:t>
            </w:r>
          </w:p>
        </w:tc>
        <w:tc>
          <w:tcPr>
            <w:tcW w:w="2280" w:type="dxa"/>
            <w:vAlign w:val="bottom"/>
          </w:tcPr>
          <w:p>
            <w:pPr>
              <w:jc w:val="right"/>
              <w:ind w:right="29"/>
              <w:spacing w:after="0"/>
              <w:rPr>
                <w:sz w:val="20"/>
                <w:szCs w:val="20"/>
                <w:color w:val="auto"/>
              </w:rPr>
            </w:pPr>
            <w:r>
              <w:rPr>
                <w:rFonts w:ascii="Arial" w:cs="Arial" w:eastAsia="Arial" w:hAnsi="Arial"/>
                <w:sz w:val="19"/>
                <w:szCs w:val="19"/>
                <w:b w:val="1"/>
                <w:bCs w:val="1"/>
                <w:color w:val="231F20"/>
              </w:rPr>
              <w:t>326</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231F20"/>
              </w:rPr>
              <w:t>7.0</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50"/>
              <w:spacing w:after="0"/>
              <w:rPr>
                <w:sz w:val="20"/>
                <w:szCs w:val="20"/>
                <w:color w:val="auto"/>
              </w:rPr>
            </w:pPr>
            <w:r>
              <w:rPr>
                <w:rFonts w:ascii="Arial" w:cs="Arial" w:eastAsia="Arial" w:hAnsi="Arial"/>
                <w:sz w:val="19"/>
                <w:szCs w:val="19"/>
                <w:b w:val="1"/>
                <w:bCs w:val="1"/>
                <w:color w:val="231F20"/>
              </w:rPr>
              <w:t>2.66</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234</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2.66</w:t>
            </w:r>
          </w:p>
        </w:tc>
      </w:tr>
      <w:tr>
        <w:trPr>
          <w:trHeight w:val="238"/>
        </w:trPr>
        <w:tc>
          <w:tcPr>
            <w:tcW w:w="500" w:type="dxa"/>
            <w:vAlign w:val="bottom"/>
          </w:tcPr>
          <w:p>
            <w:pPr>
              <w:ind w:left="40"/>
              <w:spacing w:after="0"/>
              <w:rPr>
                <w:sz w:val="20"/>
                <w:szCs w:val="20"/>
                <w:color w:val="auto"/>
              </w:rPr>
            </w:pPr>
            <w:r>
              <w:rPr>
                <w:rFonts w:ascii="Arial" w:cs="Arial" w:eastAsia="Arial" w:hAnsi="Arial"/>
                <w:sz w:val="19"/>
                <w:szCs w:val="19"/>
                <w:b w:val="1"/>
                <w:bCs w:val="1"/>
                <w:color w:val="231F20"/>
                <w:w w:val="92"/>
              </w:rPr>
              <w:t>$3.23</w:t>
            </w:r>
          </w:p>
        </w:tc>
        <w:tc>
          <w:tcPr>
            <w:tcW w:w="1960" w:type="dxa"/>
            <w:vAlign w:val="bottom"/>
          </w:tcPr>
          <w:p>
            <w:pPr>
              <w:spacing w:after="0"/>
              <w:rPr>
                <w:sz w:val="20"/>
                <w:szCs w:val="20"/>
                <w:color w:val="auto"/>
              </w:rPr>
            </w:pPr>
          </w:p>
        </w:tc>
        <w:tc>
          <w:tcPr>
            <w:tcW w:w="2280" w:type="dxa"/>
            <w:vAlign w:val="bottom"/>
          </w:tcPr>
          <w:p>
            <w:pPr>
              <w:jc w:val="right"/>
              <w:ind w:right="29"/>
              <w:spacing w:after="0"/>
              <w:rPr>
                <w:sz w:val="20"/>
                <w:szCs w:val="20"/>
                <w:color w:val="auto"/>
              </w:rPr>
            </w:pPr>
            <w:r>
              <w:rPr>
                <w:rFonts w:ascii="Arial" w:cs="Arial" w:eastAsia="Arial" w:hAnsi="Arial"/>
                <w:sz w:val="19"/>
                <w:szCs w:val="19"/>
                <w:b w:val="1"/>
                <w:bCs w:val="1"/>
                <w:color w:val="231F20"/>
              </w:rPr>
              <w:t>422</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231F20"/>
              </w:rPr>
              <w:t>7.4</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50"/>
              <w:spacing w:after="0"/>
              <w:rPr>
                <w:sz w:val="20"/>
                <w:szCs w:val="20"/>
                <w:color w:val="auto"/>
              </w:rPr>
            </w:pPr>
            <w:r>
              <w:rPr>
                <w:rFonts w:ascii="Arial" w:cs="Arial" w:eastAsia="Arial" w:hAnsi="Arial"/>
                <w:sz w:val="19"/>
                <w:szCs w:val="19"/>
                <w:b w:val="1"/>
                <w:bCs w:val="1"/>
                <w:color w:val="231F20"/>
              </w:rPr>
              <w:t>3.23</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395</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3.23</w:t>
            </w:r>
          </w:p>
        </w:tc>
      </w:tr>
      <w:tr>
        <w:trPr>
          <w:trHeight w:val="238"/>
        </w:trPr>
        <w:tc>
          <w:tcPr>
            <w:tcW w:w="500" w:type="dxa"/>
            <w:vAlign w:val="bottom"/>
          </w:tcPr>
          <w:p>
            <w:pPr>
              <w:ind w:left="40"/>
              <w:spacing w:after="0"/>
              <w:rPr>
                <w:sz w:val="20"/>
                <w:szCs w:val="20"/>
                <w:color w:val="auto"/>
              </w:rPr>
            </w:pPr>
            <w:r>
              <w:rPr>
                <w:rFonts w:ascii="Arial" w:cs="Arial" w:eastAsia="Arial" w:hAnsi="Arial"/>
                <w:sz w:val="19"/>
                <w:szCs w:val="19"/>
                <w:b w:val="1"/>
                <w:bCs w:val="1"/>
                <w:color w:val="231F20"/>
                <w:w w:val="92"/>
              </w:rPr>
              <w:t>$3.27</w:t>
            </w:r>
          </w:p>
        </w:tc>
        <w:tc>
          <w:tcPr>
            <w:tcW w:w="1960" w:type="dxa"/>
            <w:vAlign w:val="bottom"/>
          </w:tcPr>
          <w:p>
            <w:pPr>
              <w:ind w:left="40"/>
              <w:spacing w:after="0"/>
              <w:rPr>
                <w:sz w:val="20"/>
                <w:szCs w:val="20"/>
                <w:color w:val="auto"/>
              </w:rPr>
            </w:pPr>
            <w:r>
              <w:rPr>
                <w:rFonts w:ascii="Arial" w:cs="Arial" w:eastAsia="Arial" w:hAnsi="Arial"/>
                <w:sz w:val="19"/>
                <w:szCs w:val="19"/>
                <w:b w:val="1"/>
                <w:bCs w:val="1"/>
                <w:color w:val="231F20"/>
              </w:rPr>
              <w:t>- $5.95</w:t>
            </w:r>
          </w:p>
        </w:tc>
        <w:tc>
          <w:tcPr>
            <w:tcW w:w="2280" w:type="dxa"/>
            <w:vAlign w:val="bottom"/>
          </w:tcPr>
          <w:p>
            <w:pPr>
              <w:jc w:val="right"/>
              <w:ind w:right="29"/>
              <w:spacing w:after="0"/>
              <w:rPr>
                <w:sz w:val="20"/>
                <w:szCs w:val="20"/>
                <w:color w:val="auto"/>
              </w:rPr>
            </w:pPr>
            <w:r>
              <w:rPr>
                <w:rFonts w:ascii="Arial" w:cs="Arial" w:eastAsia="Arial" w:hAnsi="Arial"/>
                <w:sz w:val="19"/>
                <w:szCs w:val="19"/>
                <w:b w:val="1"/>
                <w:bCs w:val="1"/>
                <w:color w:val="231F20"/>
              </w:rPr>
              <w:t>40</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231F20"/>
              </w:rPr>
              <w:t>8.0</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50"/>
              <w:spacing w:after="0"/>
              <w:rPr>
                <w:sz w:val="20"/>
                <w:szCs w:val="20"/>
                <w:color w:val="auto"/>
              </w:rPr>
            </w:pPr>
            <w:r>
              <w:rPr>
                <w:rFonts w:ascii="Arial" w:cs="Arial" w:eastAsia="Arial" w:hAnsi="Arial"/>
                <w:sz w:val="19"/>
                <w:szCs w:val="19"/>
                <w:b w:val="1"/>
                <w:bCs w:val="1"/>
                <w:color w:val="231F20"/>
              </w:rPr>
              <w:t>4.23</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20</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4.27</w:t>
            </w:r>
          </w:p>
        </w:tc>
      </w:tr>
      <w:tr>
        <w:trPr>
          <w:trHeight w:val="235"/>
        </w:trPr>
        <w:tc>
          <w:tcPr>
            <w:tcW w:w="500" w:type="dxa"/>
            <w:vAlign w:val="bottom"/>
          </w:tcPr>
          <w:p>
            <w:pPr>
              <w:ind w:left="40"/>
              <w:spacing w:after="0"/>
              <w:rPr>
                <w:sz w:val="20"/>
                <w:szCs w:val="20"/>
                <w:color w:val="auto"/>
              </w:rPr>
            </w:pPr>
            <w:r>
              <w:rPr>
                <w:rFonts w:ascii="Arial" w:cs="Arial" w:eastAsia="Arial" w:hAnsi="Arial"/>
                <w:sz w:val="19"/>
                <w:szCs w:val="19"/>
                <w:b w:val="1"/>
                <w:bCs w:val="1"/>
                <w:color w:val="231F20"/>
                <w:w w:val="92"/>
              </w:rPr>
              <w:t>$6.04</w:t>
            </w:r>
          </w:p>
        </w:tc>
        <w:tc>
          <w:tcPr>
            <w:tcW w:w="1960" w:type="dxa"/>
            <w:vAlign w:val="bottom"/>
          </w:tcPr>
          <w:p>
            <w:pPr>
              <w:spacing w:after="0"/>
              <w:rPr>
                <w:sz w:val="20"/>
                <w:szCs w:val="20"/>
                <w:color w:val="auto"/>
              </w:rPr>
            </w:pPr>
          </w:p>
        </w:tc>
        <w:tc>
          <w:tcPr>
            <w:tcW w:w="2280" w:type="dxa"/>
            <w:vAlign w:val="bottom"/>
          </w:tcPr>
          <w:p>
            <w:pPr>
              <w:jc w:val="right"/>
              <w:ind w:right="29"/>
              <w:spacing w:after="0"/>
              <w:rPr>
                <w:sz w:val="20"/>
                <w:szCs w:val="20"/>
                <w:color w:val="auto"/>
              </w:rPr>
            </w:pPr>
            <w:r>
              <w:rPr>
                <w:rFonts w:ascii="Arial" w:cs="Arial" w:eastAsia="Arial" w:hAnsi="Arial"/>
                <w:sz w:val="19"/>
                <w:szCs w:val="19"/>
                <w:b w:val="1"/>
                <w:bCs w:val="1"/>
                <w:color w:val="231F20"/>
              </w:rPr>
              <w:t>390</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231F20"/>
              </w:rPr>
              <w:t>6.0</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50"/>
              <w:spacing w:after="0"/>
              <w:rPr>
                <w:sz w:val="20"/>
                <w:szCs w:val="20"/>
                <w:color w:val="auto"/>
              </w:rPr>
            </w:pPr>
            <w:r>
              <w:rPr>
                <w:rFonts w:ascii="Arial" w:cs="Arial" w:eastAsia="Arial" w:hAnsi="Arial"/>
                <w:sz w:val="19"/>
                <w:szCs w:val="19"/>
                <w:b w:val="1"/>
                <w:bCs w:val="1"/>
                <w:color w:val="231F20"/>
              </w:rPr>
              <w:t>6.04</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382</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6.04</w:t>
            </w:r>
          </w:p>
        </w:tc>
      </w:tr>
      <w:tr>
        <w:trPr>
          <w:trHeight w:val="238"/>
        </w:trPr>
        <w:tc>
          <w:tcPr>
            <w:tcW w:w="500" w:type="dxa"/>
            <w:vAlign w:val="bottom"/>
          </w:tcPr>
          <w:p>
            <w:pPr>
              <w:ind w:left="40"/>
              <w:spacing w:after="0"/>
              <w:rPr>
                <w:sz w:val="20"/>
                <w:szCs w:val="20"/>
                <w:color w:val="auto"/>
              </w:rPr>
            </w:pPr>
            <w:r>
              <w:rPr>
                <w:rFonts w:ascii="Arial" w:cs="Arial" w:eastAsia="Arial" w:hAnsi="Arial"/>
                <w:sz w:val="19"/>
                <w:szCs w:val="19"/>
                <w:b w:val="1"/>
                <w:bCs w:val="1"/>
                <w:color w:val="231F20"/>
                <w:w w:val="92"/>
              </w:rPr>
              <w:t>$6.07</w:t>
            </w:r>
          </w:p>
        </w:tc>
        <w:tc>
          <w:tcPr>
            <w:tcW w:w="1960" w:type="dxa"/>
            <w:vAlign w:val="bottom"/>
          </w:tcPr>
          <w:p>
            <w:pPr>
              <w:ind w:left="40"/>
              <w:spacing w:after="0"/>
              <w:rPr>
                <w:sz w:val="20"/>
                <w:szCs w:val="20"/>
                <w:color w:val="auto"/>
              </w:rPr>
            </w:pPr>
            <w:r>
              <w:rPr>
                <w:rFonts w:ascii="Arial" w:cs="Arial" w:eastAsia="Arial" w:hAnsi="Arial"/>
                <w:sz w:val="19"/>
                <w:szCs w:val="19"/>
                <w:b w:val="1"/>
                <w:bCs w:val="1"/>
                <w:color w:val="231F20"/>
              </w:rPr>
              <w:t>- $13.48</w:t>
            </w:r>
          </w:p>
        </w:tc>
        <w:tc>
          <w:tcPr>
            <w:tcW w:w="2280" w:type="dxa"/>
            <w:vAlign w:val="bottom"/>
          </w:tcPr>
          <w:p>
            <w:pPr>
              <w:jc w:val="right"/>
              <w:ind w:right="29"/>
              <w:spacing w:after="0"/>
              <w:rPr>
                <w:sz w:val="20"/>
                <w:szCs w:val="20"/>
                <w:color w:val="auto"/>
              </w:rPr>
            </w:pPr>
            <w:r>
              <w:rPr>
                <w:rFonts w:ascii="Arial" w:cs="Arial" w:eastAsia="Arial" w:hAnsi="Arial"/>
                <w:sz w:val="19"/>
                <w:szCs w:val="19"/>
                <w:b w:val="1"/>
                <w:bCs w:val="1"/>
                <w:color w:val="231F20"/>
              </w:rPr>
              <w:t>631</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231F20"/>
              </w:rPr>
              <w:t>5.5</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50"/>
              <w:spacing w:after="0"/>
              <w:rPr>
                <w:sz w:val="20"/>
                <w:szCs w:val="20"/>
                <w:color w:val="auto"/>
              </w:rPr>
            </w:pPr>
            <w:r>
              <w:rPr>
                <w:rFonts w:ascii="Arial" w:cs="Arial" w:eastAsia="Arial" w:hAnsi="Arial"/>
                <w:sz w:val="19"/>
                <w:szCs w:val="19"/>
                <w:b w:val="1"/>
                <w:bCs w:val="1"/>
                <w:color w:val="231F20"/>
              </w:rPr>
              <w:t>7.45</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626</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7.44</w:t>
            </w:r>
          </w:p>
        </w:tc>
      </w:tr>
      <w:tr>
        <w:trPr>
          <w:trHeight w:val="250"/>
        </w:trPr>
        <w:tc>
          <w:tcPr>
            <w:tcW w:w="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280" w:type="dxa"/>
            <w:vAlign w:val="bottom"/>
          </w:tcPr>
          <w:p>
            <w:pPr>
              <w:jc w:val="right"/>
              <w:ind w:right="29"/>
              <w:spacing w:after="0"/>
              <w:rPr>
                <w:sz w:val="20"/>
                <w:szCs w:val="20"/>
                <w:color w:val="auto"/>
              </w:rPr>
            </w:pPr>
            <w:r>
              <w:rPr>
                <w:rFonts w:ascii="Arial" w:cs="Arial" w:eastAsia="Arial" w:hAnsi="Arial"/>
                <w:sz w:val="19"/>
                <w:szCs w:val="19"/>
                <w:b w:val="1"/>
                <w:bCs w:val="1"/>
                <w:color w:val="231F20"/>
              </w:rPr>
              <w:t>1,809</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231F20"/>
              </w:rPr>
              <w:t>6.4</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20" w:type="dxa"/>
            <w:vAlign w:val="bottom"/>
          </w:tcPr>
          <w:p>
            <w:pPr>
              <w:jc w:val="right"/>
              <w:ind w:right="50"/>
              <w:spacing w:after="0"/>
              <w:rPr>
                <w:sz w:val="20"/>
                <w:szCs w:val="20"/>
                <w:color w:val="auto"/>
              </w:rPr>
            </w:pPr>
            <w:r>
              <w:rPr>
                <w:rFonts w:ascii="Arial" w:cs="Arial" w:eastAsia="Arial" w:hAnsi="Arial"/>
                <w:sz w:val="19"/>
                <w:szCs w:val="19"/>
                <w:b w:val="1"/>
                <w:bCs w:val="1"/>
                <w:color w:val="231F20"/>
              </w:rPr>
              <w:t>5.23</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1,657</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-1628775</wp:posOffset>
            </wp:positionV>
            <wp:extent cx="5792470" cy="33769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2470" cy="3376930"/>
                    </a:xfrm>
                    <a:prstGeom prst="rect">
                      <a:avLst/>
                    </a:prstGeom>
                    <a:noFill/>
                  </pic:spPr>
                </pic:pic>
              </a:graphicData>
            </a:graphic>
          </wp:anchor>
        </w:drawing>
      </w:r>
    </w:p>
    <w:p>
      <w:pPr>
        <w:spacing w:after="0" w:line="268" w:lineRule="exact"/>
        <w:rPr>
          <w:sz w:val="20"/>
          <w:szCs w:val="20"/>
          <w:color w:val="auto"/>
        </w:rPr>
      </w:pPr>
    </w:p>
    <w:p>
      <w:pPr>
        <w:jc w:val="both"/>
        <w:ind w:left="140" w:right="140"/>
        <w:spacing w:after="0" w:line="260" w:lineRule="auto"/>
        <w:rPr>
          <w:sz w:val="20"/>
          <w:szCs w:val="20"/>
          <w:color w:val="auto"/>
        </w:rPr>
      </w:pPr>
      <w:r>
        <w:rPr>
          <w:rFonts w:ascii="Arial" w:cs="Arial" w:eastAsia="Arial" w:hAnsi="Arial"/>
          <w:sz w:val="18"/>
          <w:szCs w:val="18"/>
          <w:b w:val="1"/>
          <w:bCs w:val="1"/>
          <w:color w:val="231F20"/>
        </w:rPr>
        <w:t>The Company estimated the fair value of stock-options using the Black-Scholes option pricing model. The fair value of employee and non-employee stock options is being amortized on a straight-line basis over the requisite service period of the awards. The fair value of employee and non-employee stock options was estimated using the following assumptions for the years ended December 31, 2025 and 2024:</w:t>
      </w:r>
    </w:p>
    <w:p>
      <w:pPr>
        <w:spacing w:after="0" w:line="9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100" w:type="dxa"/>
            <w:vAlign w:val="bottom"/>
          </w:tcPr>
          <w:p>
            <w:pPr>
              <w:jc w:val="center"/>
              <w:ind w:left="571"/>
              <w:spacing w:after="0"/>
              <w:rPr>
                <w:sz w:val="20"/>
                <w:szCs w:val="20"/>
                <w:color w:val="auto"/>
              </w:rPr>
            </w:pPr>
            <w:r>
              <w:rPr>
                <w:rFonts w:ascii="Arial" w:cs="Arial" w:eastAsia="Arial" w:hAnsi="Arial"/>
                <w:sz w:val="16"/>
                <w:szCs w:val="16"/>
                <w:b w:val="1"/>
                <w:bCs w:val="1"/>
                <w:color w:val="231F20"/>
                <w:w w:val="90"/>
              </w:rPr>
              <w:t>Year Ended</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231F20"/>
                <w:w w:val="90"/>
              </w:rPr>
              <w:t>Year Ended</w:t>
            </w:r>
          </w:p>
        </w:tc>
      </w:tr>
      <w:tr>
        <w:trPr>
          <w:trHeight w:val="178"/>
        </w:trPr>
        <w:tc>
          <w:tcPr>
            <w:tcW w:w="2640" w:type="dxa"/>
            <w:vAlign w:val="bottom"/>
          </w:tcPr>
          <w:p>
            <w:pPr>
              <w:spacing w:after="0"/>
              <w:rPr>
                <w:sz w:val="15"/>
                <w:szCs w:val="15"/>
                <w:color w:val="auto"/>
              </w:rPr>
            </w:pPr>
          </w:p>
        </w:tc>
        <w:tc>
          <w:tcPr>
            <w:tcW w:w="2100" w:type="dxa"/>
            <w:vAlign w:val="bottom"/>
          </w:tcPr>
          <w:p>
            <w:pPr>
              <w:jc w:val="center"/>
              <w:ind w:left="591"/>
              <w:spacing w:after="0" w:line="178" w:lineRule="exact"/>
              <w:rPr>
                <w:sz w:val="20"/>
                <w:szCs w:val="20"/>
                <w:color w:val="auto"/>
              </w:rPr>
            </w:pPr>
            <w:r>
              <w:rPr>
                <w:rFonts w:ascii="Arial" w:cs="Arial" w:eastAsia="Arial" w:hAnsi="Arial"/>
                <w:sz w:val="16"/>
                <w:szCs w:val="16"/>
                <w:b w:val="1"/>
                <w:bCs w:val="1"/>
                <w:color w:val="231F20"/>
                <w:w w:val="86"/>
              </w:rPr>
              <w:t>December 31,</w:t>
            </w:r>
          </w:p>
        </w:tc>
        <w:tc>
          <w:tcPr>
            <w:tcW w:w="1160" w:type="dxa"/>
            <w:vAlign w:val="bottom"/>
          </w:tcPr>
          <w:p>
            <w:pPr>
              <w:jc w:val="center"/>
              <w:spacing w:after="0" w:line="178" w:lineRule="exact"/>
              <w:rPr>
                <w:sz w:val="20"/>
                <w:szCs w:val="20"/>
                <w:color w:val="auto"/>
              </w:rPr>
            </w:pPr>
            <w:r>
              <w:rPr>
                <w:rFonts w:ascii="Arial" w:cs="Arial" w:eastAsia="Arial" w:hAnsi="Arial"/>
                <w:sz w:val="16"/>
                <w:szCs w:val="16"/>
                <w:b w:val="1"/>
                <w:bCs w:val="1"/>
                <w:color w:val="231F20"/>
                <w:w w:val="86"/>
              </w:rPr>
              <w:t>December 31,</w:t>
            </w:r>
          </w:p>
        </w:tc>
      </w:tr>
      <w:tr>
        <w:trPr>
          <w:trHeight w:val="180"/>
        </w:trPr>
        <w:tc>
          <w:tcPr>
            <w:tcW w:w="2640" w:type="dxa"/>
            <w:vAlign w:val="bottom"/>
          </w:tcPr>
          <w:p>
            <w:pPr>
              <w:spacing w:after="0"/>
              <w:rPr>
                <w:sz w:val="15"/>
                <w:szCs w:val="15"/>
                <w:color w:val="auto"/>
              </w:rPr>
            </w:pPr>
          </w:p>
        </w:tc>
        <w:tc>
          <w:tcPr>
            <w:tcW w:w="2100" w:type="dxa"/>
            <w:vAlign w:val="bottom"/>
          </w:tcPr>
          <w:p>
            <w:pPr>
              <w:jc w:val="center"/>
              <w:ind w:left="591"/>
              <w:spacing w:after="0" w:line="180" w:lineRule="exact"/>
              <w:rPr>
                <w:sz w:val="20"/>
                <w:szCs w:val="20"/>
                <w:color w:val="auto"/>
              </w:rPr>
            </w:pPr>
            <w:r>
              <w:rPr>
                <w:rFonts w:ascii="Arial" w:cs="Arial" w:eastAsia="Arial" w:hAnsi="Arial"/>
                <w:sz w:val="16"/>
                <w:szCs w:val="16"/>
                <w:b w:val="1"/>
                <w:bCs w:val="1"/>
                <w:color w:val="231F20"/>
                <w:w w:val="84"/>
              </w:rPr>
              <w:t>2025</w:t>
            </w:r>
          </w:p>
        </w:tc>
        <w:tc>
          <w:tcPr>
            <w:tcW w:w="116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9"/>
              </w:rPr>
              <w:t>2024</w:t>
            </w:r>
          </w:p>
        </w:tc>
      </w:tr>
      <w:tr>
        <w:trPr>
          <w:trHeight w:val="236"/>
        </w:trPr>
        <w:tc>
          <w:tcPr>
            <w:tcW w:w="2640" w:type="dxa"/>
            <w:vAlign w:val="bottom"/>
          </w:tcPr>
          <w:p>
            <w:pPr>
              <w:spacing w:after="0"/>
              <w:rPr>
                <w:sz w:val="20"/>
                <w:szCs w:val="20"/>
                <w:color w:val="auto"/>
              </w:rPr>
            </w:pPr>
            <w:r>
              <w:rPr>
                <w:rFonts w:ascii="Arial" w:cs="Arial" w:eastAsia="Arial" w:hAnsi="Arial"/>
                <w:sz w:val="19"/>
                <w:szCs w:val="19"/>
                <w:b w:val="1"/>
                <w:bCs w:val="1"/>
                <w:color w:val="231F20"/>
              </w:rPr>
              <w:t>Risk-free interest rate</w:t>
            </w:r>
          </w:p>
        </w:tc>
        <w:tc>
          <w:tcPr>
            <w:tcW w:w="2100" w:type="dxa"/>
            <w:vAlign w:val="bottom"/>
          </w:tcPr>
          <w:p>
            <w:pPr>
              <w:jc w:val="right"/>
              <w:ind w:right="31"/>
              <w:spacing w:after="0"/>
              <w:rPr>
                <w:sz w:val="20"/>
                <w:szCs w:val="20"/>
                <w:color w:val="auto"/>
              </w:rPr>
            </w:pPr>
            <w:r>
              <w:rPr>
                <w:rFonts w:ascii="Arial" w:cs="Arial" w:eastAsia="Arial" w:hAnsi="Arial"/>
                <w:sz w:val="19"/>
                <w:szCs w:val="19"/>
                <w:b w:val="1"/>
                <w:bCs w:val="1"/>
                <w:color w:val="231F20"/>
              </w:rPr>
              <w:t>4.0 - 4.4%</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3.6 - 4.6%</w:t>
            </w:r>
          </w:p>
        </w:tc>
      </w:tr>
      <w:tr>
        <w:trPr>
          <w:trHeight w:val="223"/>
        </w:trPr>
        <w:tc>
          <w:tcPr>
            <w:tcW w:w="2640" w:type="dxa"/>
            <w:vAlign w:val="bottom"/>
          </w:tcPr>
          <w:p>
            <w:pPr>
              <w:spacing w:after="0"/>
              <w:rPr>
                <w:sz w:val="20"/>
                <w:szCs w:val="20"/>
                <w:color w:val="auto"/>
              </w:rPr>
            </w:pPr>
            <w:r>
              <w:rPr>
                <w:rFonts w:ascii="Arial" w:cs="Arial" w:eastAsia="Arial" w:hAnsi="Arial"/>
                <w:sz w:val="19"/>
                <w:szCs w:val="19"/>
                <w:b w:val="1"/>
                <w:bCs w:val="1"/>
                <w:color w:val="231F20"/>
              </w:rPr>
              <w:t>Expected term (years)</w:t>
            </w:r>
          </w:p>
        </w:tc>
        <w:tc>
          <w:tcPr>
            <w:tcW w:w="2100" w:type="dxa"/>
            <w:vAlign w:val="bottom"/>
          </w:tcPr>
          <w:p>
            <w:pPr>
              <w:jc w:val="right"/>
              <w:ind w:right="31"/>
              <w:spacing w:after="0"/>
              <w:rPr>
                <w:sz w:val="20"/>
                <w:szCs w:val="20"/>
                <w:color w:val="auto"/>
              </w:rPr>
            </w:pPr>
            <w:r>
              <w:rPr>
                <w:rFonts w:ascii="Arial" w:cs="Arial" w:eastAsia="Arial" w:hAnsi="Arial"/>
                <w:sz w:val="19"/>
                <w:szCs w:val="19"/>
                <w:b w:val="1"/>
                <w:bCs w:val="1"/>
                <w:color w:val="231F20"/>
              </w:rPr>
              <w:t>6</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6</w:t>
            </w:r>
          </w:p>
        </w:tc>
      </w:tr>
      <w:tr>
        <w:trPr>
          <w:trHeight w:val="223"/>
        </w:trPr>
        <w:tc>
          <w:tcPr>
            <w:tcW w:w="2640" w:type="dxa"/>
            <w:vAlign w:val="bottom"/>
          </w:tcPr>
          <w:p>
            <w:pPr>
              <w:spacing w:after="0"/>
              <w:rPr>
                <w:sz w:val="20"/>
                <w:szCs w:val="20"/>
                <w:color w:val="auto"/>
              </w:rPr>
            </w:pPr>
            <w:r>
              <w:rPr>
                <w:rFonts w:ascii="Arial" w:cs="Arial" w:eastAsia="Arial" w:hAnsi="Arial"/>
                <w:sz w:val="19"/>
                <w:szCs w:val="19"/>
                <w:b w:val="1"/>
                <w:bCs w:val="1"/>
                <w:color w:val="231F20"/>
              </w:rPr>
              <w:t>Expected volatility</w:t>
            </w:r>
          </w:p>
        </w:tc>
        <w:tc>
          <w:tcPr>
            <w:tcW w:w="2100" w:type="dxa"/>
            <w:vAlign w:val="bottom"/>
          </w:tcPr>
          <w:p>
            <w:pPr>
              <w:jc w:val="right"/>
              <w:ind w:right="31"/>
              <w:spacing w:after="0"/>
              <w:rPr>
                <w:sz w:val="20"/>
                <w:szCs w:val="20"/>
                <w:color w:val="auto"/>
              </w:rPr>
            </w:pPr>
            <w:r>
              <w:rPr>
                <w:rFonts w:ascii="Arial" w:cs="Arial" w:eastAsia="Arial" w:hAnsi="Arial"/>
                <w:sz w:val="19"/>
                <w:szCs w:val="19"/>
                <w:b w:val="1"/>
                <w:bCs w:val="1"/>
                <w:color w:val="231F20"/>
              </w:rPr>
              <w:t>61%</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58 - 61%</w:t>
            </w:r>
          </w:p>
        </w:tc>
      </w:tr>
      <w:tr>
        <w:trPr>
          <w:trHeight w:val="223"/>
        </w:trPr>
        <w:tc>
          <w:tcPr>
            <w:tcW w:w="2640" w:type="dxa"/>
            <w:vAlign w:val="bottom"/>
          </w:tcPr>
          <w:p>
            <w:pPr>
              <w:spacing w:after="0"/>
              <w:rPr>
                <w:sz w:val="20"/>
                <w:szCs w:val="20"/>
                <w:color w:val="auto"/>
              </w:rPr>
            </w:pPr>
            <w:r>
              <w:rPr>
                <w:rFonts w:ascii="Arial" w:cs="Arial" w:eastAsia="Arial" w:hAnsi="Arial"/>
                <w:sz w:val="19"/>
                <w:szCs w:val="19"/>
                <w:b w:val="1"/>
                <w:bCs w:val="1"/>
                <w:color w:val="231F20"/>
              </w:rPr>
              <w:t>Dividends</w:t>
            </w:r>
          </w:p>
        </w:tc>
        <w:tc>
          <w:tcPr>
            <w:tcW w:w="2100" w:type="dxa"/>
            <w:vAlign w:val="bottom"/>
          </w:tcPr>
          <w:p>
            <w:pPr>
              <w:jc w:val="right"/>
              <w:ind w:right="31"/>
              <w:spacing w:after="0"/>
              <w:rPr>
                <w:sz w:val="20"/>
                <w:szCs w:val="20"/>
                <w:color w:val="auto"/>
              </w:rPr>
            </w:pPr>
            <w:r>
              <w:rPr>
                <w:rFonts w:ascii="Arial" w:cs="Arial" w:eastAsia="Arial" w:hAnsi="Arial"/>
                <w:sz w:val="19"/>
                <w:szCs w:val="19"/>
                <w:b w:val="1"/>
                <w:bCs w:val="1"/>
                <w:color w:val="231F20"/>
              </w:rPr>
              <w:t>0.0%</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0.0%</w:t>
            </w:r>
          </w:p>
        </w:tc>
      </w:tr>
    </w:tbl>
    <w:p>
      <w:pPr>
        <w:spacing w:after="0" w:line="125"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8"/>
          <w:szCs w:val="18"/>
          <w:b w:val="1"/>
          <w:bCs w:val="1"/>
          <w:color w:val="231F20"/>
        </w:rPr>
        <w:t>Expected term: The expected term for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stock-based compensation awards was based on an index of the expected terms of a group of comparable publicly-traded medical device and other peer companies, which the Company believed was representative of the expected term of its awards.</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31F20"/>
        </w:rPr>
        <w:t>Risk-free interest rate: The risk-free interest rate was based on the rates paid on securities issued by the U.S.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Treasury with a term approximating the expected term.</w:t>
      </w:r>
    </w:p>
    <w:p>
      <w:pPr>
        <w:spacing w:after="0" w:line="243"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7"/>
          <w:szCs w:val="17"/>
          <w:b w:val="1"/>
          <w:bCs w:val="1"/>
          <w:color w:val="231F20"/>
        </w:rPr>
        <w:t>Expected volatility: The expected volatility for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stock-based compensation awards was based on an index of the historical volatilities of a group of comparable publicly-traded medical device and other peer companies, which the Company believed was representative of the volatility of its common stock.</w:t>
      </w:r>
    </w:p>
    <w:p>
      <w:pPr>
        <w:spacing w:after="0" w:line="243"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Expected dividend yield: The Company does not intend to pay dividends for the foreseeable future. Accordingly, the Company used a dividend yield of zero in the assumptions.</w:t>
      </w:r>
    </w:p>
    <w:p>
      <w:pPr>
        <w:spacing w:after="0" w:line="3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Restricted Stock Units</w:t>
      </w:r>
    </w:p>
    <w:p>
      <w:pPr>
        <w:spacing w:after="0" w:line="125"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Restricted stock units granted to employees and non-employees generally vest over one to four years in regular increments. The fair value of restricted stock units is based on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closing stock price on the date of grant.</w:t>
      </w:r>
    </w:p>
    <w:p>
      <w:pPr>
        <w:spacing w:after="0" w:line="244"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one-year trailing revenues and achievement of certain revenue thresholds. The fair value of performance stock units is based 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closing stock price on the date of grant.</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F-29</w:t>
      </w:r>
    </w:p>
    <w:p>
      <w:pPr>
        <w:sectPr>
          <w:pgSz w:w="12240" w:h="15840" w:orient="portrait"/>
          <w:cols w:equalWidth="0" w:num="1">
            <w:col w:w="9360"/>
          </w:cols>
          <w:pgMar w:left="1440" w:top="1440" w:right="1440" w:bottom="390" w:gutter="0" w:footer="0" w:header="0"/>
          <w:type w:val="continuous"/>
        </w:sectPr>
      </w:pPr>
    </w:p>
    <w:bookmarkStart w:id="131" w:name="page132"/>
    <w:bookmarkEnd w:id="131"/>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Restricted stock unit and performance stock unit activity under the Incentive Plans is set forth below:</w:t>
      </w:r>
    </w:p>
    <w:p>
      <w:pPr>
        <w:spacing w:after="0" w:line="117"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5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231F20"/>
              </w:rPr>
              <w:t>Restricted Stock Units</w:t>
            </w:r>
          </w:p>
        </w:tc>
      </w:tr>
      <w:tr>
        <w:trPr>
          <w:trHeight w:val="178"/>
        </w:trPr>
        <w:tc>
          <w:tcPr>
            <w:tcW w:w="3320" w:type="dxa"/>
            <w:vAlign w:val="bottom"/>
          </w:tcPr>
          <w:p>
            <w:pPr>
              <w:spacing w:after="0"/>
              <w:rPr>
                <w:sz w:val="15"/>
                <w:szCs w:val="15"/>
                <w:color w:val="auto"/>
              </w:rPr>
            </w:pPr>
          </w:p>
        </w:tc>
        <w:tc>
          <w:tcPr>
            <w:tcW w:w="2520" w:type="dxa"/>
            <w:vAlign w:val="bottom"/>
            <w:gridSpan w:val="3"/>
          </w:tcPr>
          <w:p>
            <w:pPr>
              <w:jc w:val="right"/>
              <w:ind w:right="470"/>
              <w:spacing w:after="0" w:line="178" w:lineRule="exact"/>
              <w:rPr>
                <w:sz w:val="20"/>
                <w:szCs w:val="20"/>
                <w:color w:val="auto"/>
              </w:rPr>
            </w:pPr>
            <w:r>
              <w:rPr>
                <w:rFonts w:ascii="Arial" w:cs="Arial" w:eastAsia="Arial" w:hAnsi="Arial"/>
                <w:sz w:val="16"/>
                <w:szCs w:val="16"/>
                <w:b w:val="1"/>
                <w:bCs w:val="1"/>
                <w:color w:val="231F20"/>
              </w:rPr>
              <w:t>Outstanding</w:t>
            </w:r>
          </w:p>
        </w:tc>
      </w:tr>
      <w:tr>
        <w:trPr>
          <w:trHeight w:val="194"/>
        </w:trPr>
        <w:tc>
          <w:tcPr>
            <w:tcW w:w="3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10"/>
              <w:spacing w:after="0"/>
              <w:rPr>
                <w:sz w:val="20"/>
                <w:szCs w:val="20"/>
                <w:color w:val="auto"/>
              </w:rPr>
            </w:pPr>
            <w:r>
              <w:rPr>
                <w:rFonts w:ascii="Arial" w:cs="Arial" w:eastAsia="Arial" w:hAnsi="Arial"/>
                <w:sz w:val="16"/>
                <w:szCs w:val="16"/>
                <w:b w:val="1"/>
                <w:bCs w:val="1"/>
                <w:color w:val="231F20"/>
                <w:w w:val="90"/>
              </w:rPr>
              <w:t>Weighted-</w:t>
            </w:r>
          </w:p>
        </w:tc>
      </w:tr>
      <w:tr>
        <w:trPr>
          <w:trHeight w:val="178"/>
        </w:trPr>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30"/>
              <w:spacing w:after="0" w:line="178" w:lineRule="exact"/>
              <w:rPr>
                <w:sz w:val="20"/>
                <w:szCs w:val="20"/>
                <w:color w:val="auto"/>
              </w:rPr>
            </w:pPr>
            <w:r>
              <w:rPr>
                <w:rFonts w:ascii="Arial" w:cs="Arial" w:eastAsia="Arial" w:hAnsi="Arial"/>
                <w:sz w:val="16"/>
                <w:szCs w:val="16"/>
                <w:b w:val="1"/>
                <w:bCs w:val="1"/>
                <w:color w:val="231F20"/>
                <w:w w:val="85"/>
              </w:rPr>
              <w:t>average</w:t>
            </w:r>
          </w:p>
        </w:tc>
      </w:tr>
      <w:tr>
        <w:trPr>
          <w:trHeight w:val="180"/>
        </w:trPr>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0"/>
              <w:spacing w:after="0" w:line="180" w:lineRule="exact"/>
              <w:rPr>
                <w:sz w:val="20"/>
                <w:szCs w:val="20"/>
                <w:color w:val="auto"/>
              </w:rPr>
            </w:pPr>
            <w:r>
              <w:rPr>
                <w:rFonts w:ascii="Arial" w:cs="Arial" w:eastAsia="Arial" w:hAnsi="Arial"/>
                <w:sz w:val="16"/>
                <w:szCs w:val="16"/>
                <w:b w:val="1"/>
                <w:bCs w:val="1"/>
                <w:color w:val="231F20"/>
                <w:w w:val="92"/>
              </w:rPr>
              <w:t>grant-</w:t>
            </w:r>
          </w:p>
        </w:tc>
      </w:tr>
      <w:tr>
        <w:trPr>
          <w:trHeight w:val="178"/>
        </w:trPr>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0"/>
              <w:spacing w:after="0" w:line="178" w:lineRule="exact"/>
              <w:rPr>
                <w:sz w:val="20"/>
                <w:szCs w:val="20"/>
                <w:color w:val="auto"/>
              </w:rPr>
            </w:pPr>
            <w:r>
              <w:rPr>
                <w:rFonts w:ascii="Arial" w:cs="Arial" w:eastAsia="Arial" w:hAnsi="Arial"/>
                <w:sz w:val="16"/>
                <w:szCs w:val="16"/>
                <w:b w:val="1"/>
                <w:bCs w:val="1"/>
                <w:color w:val="231F20"/>
                <w:w w:val="93"/>
              </w:rPr>
              <w:t>date fair</w:t>
            </w:r>
          </w:p>
        </w:tc>
      </w:tr>
      <w:tr>
        <w:trPr>
          <w:trHeight w:val="178"/>
        </w:trPr>
        <w:tc>
          <w:tcPr>
            <w:tcW w:w="3320" w:type="dxa"/>
            <w:vAlign w:val="bottom"/>
          </w:tcPr>
          <w:p>
            <w:pPr>
              <w:spacing w:after="0"/>
              <w:rPr>
                <w:sz w:val="15"/>
                <w:szCs w:val="15"/>
                <w:color w:val="auto"/>
              </w:rPr>
            </w:pPr>
          </w:p>
        </w:tc>
        <w:tc>
          <w:tcPr>
            <w:tcW w:w="1580" w:type="dxa"/>
            <w:vAlign w:val="bottom"/>
          </w:tcPr>
          <w:p>
            <w:pPr>
              <w:jc w:val="right"/>
              <w:ind w:right="109"/>
              <w:spacing w:after="0" w:line="178" w:lineRule="exact"/>
              <w:rPr>
                <w:sz w:val="20"/>
                <w:szCs w:val="20"/>
                <w:color w:val="auto"/>
              </w:rPr>
            </w:pPr>
            <w:r>
              <w:rPr>
                <w:rFonts w:ascii="Arial" w:cs="Arial" w:eastAsia="Arial" w:hAnsi="Arial"/>
                <w:sz w:val="16"/>
                <w:szCs w:val="16"/>
                <w:b w:val="1"/>
                <w:bCs w:val="1"/>
                <w:color w:val="231F20"/>
              </w:rPr>
              <w:t>Number of</w:t>
            </w:r>
          </w:p>
        </w:tc>
        <w:tc>
          <w:tcPr>
            <w:tcW w:w="140" w:type="dxa"/>
            <w:vAlign w:val="bottom"/>
          </w:tcPr>
          <w:p>
            <w:pPr>
              <w:spacing w:after="0"/>
              <w:rPr>
                <w:sz w:val="15"/>
                <w:szCs w:val="15"/>
                <w:color w:val="auto"/>
              </w:rPr>
            </w:pPr>
          </w:p>
        </w:tc>
        <w:tc>
          <w:tcPr>
            <w:tcW w:w="800" w:type="dxa"/>
            <w:vAlign w:val="bottom"/>
          </w:tcPr>
          <w:p>
            <w:pPr>
              <w:jc w:val="center"/>
              <w:ind w:right="10"/>
              <w:spacing w:after="0" w:line="178" w:lineRule="exact"/>
              <w:rPr>
                <w:sz w:val="20"/>
                <w:szCs w:val="20"/>
                <w:color w:val="auto"/>
              </w:rPr>
            </w:pPr>
            <w:r>
              <w:rPr>
                <w:rFonts w:ascii="Arial" w:cs="Arial" w:eastAsia="Arial" w:hAnsi="Arial"/>
                <w:sz w:val="16"/>
                <w:szCs w:val="16"/>
                <w:b w:val="1"/>
                <w:bCs w:val="1"/>
                <w:color w:val="231F20"/>
                <w:w w:val="82"/>
              </w:rPr>
              <w:t>value</w:t>
            </w:r>
          </w:p>
        </w:tc>
      </w:tr>
      <w:tr>
        <w:trPr>
          <w:trHeight w:val="180"/>
        </w:trPr>
        <w:tc>
          <w:tcPr>
            <w:tcW w:w="3320" w:type="dxa"/>
            <w:vAlign w:val="bottom"/>
          </w:tcPr>
          <w:p>
            <w:pPr>
              <w:spacing w:after="0"/>
              <w:rPr>
                <w:sz w:val="15"/>
                <w:szCs w:val="15"/>
                <w:color w:val="auto"/>
              </w:rPr>
            </w:pPr>
          </w:p>
        </w:tc>
        <w:tc>
          <w:tcPr>
            <w:tcW w:w="1580" w:type="dxa"/>
            <w:vAlign w:val="bottom"/>
          </w:tcPr>
          <w:p>
            <w:pPr>
              <w:jc w:val="right"/>
              <w:ind w:right="289"/>
              <w:spacing w:after="0" w:line="180" w:lineRule="exact"/>
              <w:rPr>
                <w:sz w:val="20"/>
                <w:szCs w:val="20"/>
                <w:color w:val="auto"/>
              </w:rPr>
            </w:pPr>
            <w:r>
              <w:rPr>
                <w:rFonts w:ascii="Arial" w:cs="Arial" w:eastAsia="Arial" w:hAnsi="Arial"/>
                <w:sz w:val="16"/>
                <w:szCs w:val="16"/>
                <w:b w:val="1"/>
                <w:bCs w:val="1"/>
                <w:color w:val="231F20"/>
              </w:rPr>
              <w:t>Units</w:t>
            </w:r>
          </w:p>
        </w:tc>
        <w:tc>
          <w:tcPr>
            <w:tcW w:w="14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Arial" w:cs="Arial" w:eastAsia="Arial" w:hAnsi="Arial"/>
                <w:sz w:val="16"/>
                <w:szCs w:val="16"/>
                <w:b w:val="1"/>
                <w:bCs w:val="1"/>
                <w:color w:val="231F20"/>
                <w:w w:val="86"/>
              </w:rPr>
              <w:t>per share</w:t>
            </w:r>
          </w:p>
        </w:tc>
      </w:tr>
      <w:tr>
        <w:trPr>
          <w:trHeight w:val="236"/>
        </w:trPr>
        <w:tc>
          <w:tcPr>
            <w:tcW w:w="3320" w:type="dxa"/>
            <w:vAlign w:val="bottom"/>
          </w:tcPr>
          <w:p>
            <w:pPr>
              <w:spacing w:after="0"/>
              <w:rPr>
                <w:sz w:val="20"/>
                <w:szCs w:val="20"/>
                <w:color w:val="auto"/>
              </w:rPr>
            </w:pPr>
            <w:r>
              <w:rPr>
                <w:rFonts w:ascii="Arial" w:cs="Arial" w:eastAsia="Arial" w:hAnsi="Arial"/>
                <w:sz w:val="19"/>
                <w:szCs w:val="19"/>
                <w:b w:val="1"/>
                <w:bCs w:val="1"/>
                <w:color w:val="231F20"/>
              </w:rPr>
              <w:t>Non-vested at December 31, 2023</w:t>
            </w:r>
          </w:p>
        </w:tc>
        <w:tc>
          <w:tcPr>
            <w:tcW w:w="1580" w:type="dxa"/>
            <w:vAlign w:val="bottom"/>
          </w:tcPr>
          <w:p>
            <w:pPr>
              <w:jc w:val="right"/>
              <w:ind w:right="29"/>
              <w:spacing w:after="0"/>
              <w:rPr>
                <w:sz w:val="20"/>
                <w:szCs w:val="20"/>
                <w:color w:val="auto"/>
              </w:rPr>
            </w:pPr>
            <w:r>
              <w:rPr>
                <w:rFonts w:ascii="Arial" w:cs="Arial" w:eastAsia="Arial" w:hAnsi="Arial"/>
                <w:sz w:val="19"/>
                <w:szCs w:val="19"/>
                <w:b w:val="1"/>
                <w:bCs w:val="1"/>
                <w:color w:val="231F20"/>
              </w:rPr>
              <w:t>483</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3.04</w:t>
            </w:r>
          </w:p>
        </w:tc>
      </w:tr>
      <w:tr>
        <w:trPr>
          <w:trHeight w:val="223"/>
        </w:trPr>
        <w:tc>
          <w:tcPr>
            <w:tcW w:w="3320" w:type="dxa"/>
            <w:vAlign w:val="bottom"/>
          </w:tcPr>
          <w:p>
            <w:pPr>
              <w:spacing w:after="0"/>
              <w:rPr>
                <w:sz w:val="20"/>
                <w:szCs w:val="20"/>
                <w:color w:val="auto"/>
              </w:rPr>
            </w:pPr>
            <w:r>
              <w:rPr>
                <w:rFonts w:ascii="Arial" w:cs="Arial" w:eastAsia="Arial" w:hAnsi="Arial"/>
                <w:sz w:val="19"/>
                <w:szCs w:val="19"/>
                <w:b w:val="1"/>
                <w:bCs w:val="1"/>
                <w:color w:val="231F20"/>
              </w:rPr>
              <w:t>Granted</w:t>
            </w:r>
          </w:p>
        </w:tc>
        <w:tc>
          <w:tcPr>
            <w:tcW w:w="1580" w:type="dxa"/>
            <w:vAlign w:val="bottom"/>
          </w:tcPr>
          <w:p>
            <w:pPr>
              <w:jc w:val="right"/>
              <w:ind w:right="29"/>
              <w:spacing w:after="0"/>
              <w:rPr>
                <w:sz w:val="20"/>
                <w:szCs w:val="20"/>
                <w:color w:val="auto"/>
              </w:rPr>
            </w:pPr>
            <w:r>
              <w:rPr>
                <w:rFonts w:ascii="Arial" w:cs="Arial" w:eastAsia="Arial" w:hAnsi="Arial"/>
                <w:sz w:val="19"/>
                <w:szCs w:val="19"/>
                <w:b w:val="1"/>
                <w:bCs w:val="1"/>
                <w:color w:val="231F20"/>
              </w:rPr>
              <w:t>600</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3.23</w:t>
            </w:r>
          </w:p>
        </w:tc>
      </w:tr>
      <w:tr>
        <w:trPr>
          <w:trHeight w:val="223"/>
        </w:trPr>
        <w:tc>
          <w:tcPr>
            <w:tcW w:w="3320" w:type="dxa"/>
            <w:vAlign w:val="bottom"/>
          </w:tcPr>
          <w:p>
            <w:pPr>
              <w:spacing w:after="0"/>
              <w:rPr>
                <w:sz w:val="20"/>
                <w:szCs w:val="20"/>
                <w:color w:val="auto"/>
              </w:rPr>
            </w:pPr>
            <w:r>
              <w:rPr>
                <w:rFonts w:ascii="Arial" w:cs="Arial" w:eastAsia="Arial" w:hAnsi="Arial"/>
                <w:sz w:val="19"/>
                <w:szCs w:val="19"/>
                <w:b w:val="1"/>
                <w:bCs w:val="1"/>
                <w:color w:val="231F20"/>
              </w:rPr>
              <w:t>Vested</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231F20"/>
              </w:rPr>
              <w:t>(239)</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3.04</w:t>
            </w:r>
          </w:p>
        </w:tc>
      </w:tr>
      <w:tr>
        <w:trPr>
          <w:trHeight w:val="223"/>
        </w:trPr>
        <w:tc>
          <w:tcPr>
            <w:tcW w:w="3320" w:type="dxa"/>
            <w:vAlign w:val="bottom"/>
          </w:tcPr>
          <w:p>
            <w:pPr>
              <w:spacing w:after="0"/>
              <w:rPr>
                <w:sz w:val="20"/>
                <w:szCs w:val="20"/>
                <w:color w:val="auto"/>
              </w:rPr>
            </w:pPr>
            <w:r>
              <w:rPr>
                <w:rFonts w:ascii="Arial" w:cs="Arial" w:eastAsia="Arial" w:hAnsi="Arial"/>
                <w:sz w:val="19"/>
                <w:szCs w:val="19"/>
                <w:b w:val="1"/>
                <w:bCs w:val="1"/>
                <w:color w:val="231F20"/>
              </w:rPr>
              <w:t>Cancelled</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231F20"/>
              </w:rPr>
              <w:t>(47)</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2.74</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Non-vested at December 31, 2024</w:t>
            </w:r>
          </w:p>
        </w:tc>
        <w:tc>
          <w:tcPr>
            <w:tcW w:w="1580" w:type="dxa"/>
            <w:vAlign w:val="bottom"/>
          </w:tcPr>
          <w:p>
            <w:pPr>
              <w:jc w:val="right"/>
              <w:ind w:right="29"/>
              <w:spacing w:after="0"/>
              <w:rPr>
                <w:sz w:val="20"/>
                <w:szCs w:val="20"/>
                <w:color w:val="auto"/>
              </w:rPr>
            </w:pPr>
            <w:r>
              <w:rPr>
                <w:rFonts w:ascii="Arial" w:cs="Arial" w:eastAsia="Arial" w:hAnsi="Arial"/>
                <w:sz w:val="19"/>
                <w:szCs w:val="19"/>
                <w:b w:val="1"/>
                <w:bCs w:val="1"/>
                <w:color w:val="231F20"/>
              </w:rPr>
              <w:t>797</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3.20</w:t>
            </w:r>
          </w:p>
        </w:tc>
      </w:tr>
      <w:tr>
        <w:trPr>
          <w:trHeight w:val="223"/>
        </w:trPr>
        <w:tc>
          <w:tcPr>
            <w:tcW w:w="3320" w:type="dxa"/>
            <w:vAlign w:val="bottom"/>
          </w:tcPr>
          <w:p>
            <w:pPr>
              <w:spacing w:after="0"/>
              <w:rPr>
                <w:sz w:val="20"/>
                <w:szCs w:val="20"/>
                <w:color w:val="auto"/>
              </w:rPr>
            </w:pPr>
            <w:r>
              <w:rPr>
                <w:rFonts w:ascii="Arial" w:cs="Arial" w:eastAsia="Arial" w:hAnsi="Arial"/>
                <w:sz w:val="19"/>
                <w:szCs w:val="19"/>
                <w:b w:val="1"/>
                <w:bCs w:val="1"/>
                <w:color w:val="231F20"/>
              </w:rPr>
              <w:t>Granted</w:t>
            </w:r>
          </w:p>
        </w:tc>
        <w:tc>
          <w:tcPr>
            <w:tcW w:w="1580" w:type="dxa"/>
            <w:vAlign w:val="bottom"/>
          </w:tcPr>
          <w:p>
            <w:pPr>
              <w:jc w:val="right"/>
              <w:ind w:right="29"/>
              <w:spacing w:after="0"/>
              <w:rPr>
                <w:sz w:val="20"/>
                <w:szCs w:val="20"/>
                <w:color w:val="auto"/>
              </w:rPr>
            </w:pPr>
            <w:r>
              <w:rPr>
                <w:rFonts w:ascii="Arial" w:cs="Arial" w:eastAsia="Arial" w:hAnsi="Arial"/>
                <w:sz w:val="19"/>
                <w:szCs w:val="19"/>
                <w:b w:val="1"/>
                <w:bCs w:val="1"/>
                <w:color w:val="231F20"/>
              </w:rPr>
              <w:t>455</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10.66</w:t>
            </w:r>
          </w:p>
        </w:tc>
      </w:tr>
      <w:tr>
        <w:trPr>
          <w:trHeight w:val="223"/>
        </w:trPr>
        <w:tc>
          <w:tcPr>
            <w:tcW w:w="3320" w:type="dxa"/>
            <w:vAlign w:val="bottom"/>
          </w:tcPr>
          <w:p>
            <w:pPr>
              <w:spacing w:after="0"/>
              <w:rPr>
                <w:sz w:val="20"/>
                <w:szCs w:val="20"/>
                <w:color w:val="auto"/>
              </w:rPr>
            </w:pPr>
            <w:r>
              <w:rPr>
                <w:rFonts w:ascii="Arial" w:cs="Arial" w:eastAsia="Arial" w:hAnsi="Arial"/>
                <w:sz w:val="19"/>
                <w:szCs w:val="19"/>
                <w:b w:val="1"/>
                <w:bCs w:val="1"/>
                <w:color w:val="231F20"/>
              </w:rPr>
              <w:t>Vested</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231F20"/>
              </w:rPr>
              <w:t>(293)</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3.17</w:t>
            </w:r>
          </w:p>
        </w:tc>
      </w:tr>
      <w:tr>
        <w:trPr>
          <w:trHeight w:val="223"/>
        </w:trPr>
        <w:tc>
          <w:tcPr>
            <w:tcW w:w="3320" w:type="dxa"/>
            <w:vAlign w:val="bottom"/>
          </w:tcPr>
          <w:p>
            <w:pPr>
              <w:spacing w:after="0"/>
              <w:rPr>
                <w:sz w:val="20"/>
                <w:szCs w:val="20"/>
                <w:color w:val="auto"/>
              </w:rPr>
            </w:pPr>
            <w:r>
              <w:rPr>
                <w:rFonts w:ascii="Arial" w:cs="Arial" w:eastAsia="Arial" w:hAnsi="Arial"/>
                <w:sz w:val="19"/>
                <w:szCs w:val="19"/>
                <w:b w:val="1"/>
                <w:bCs w:val="1"/>
                <w:color w:val="231F20"/>
              </w:rPr>
              <w:t>Cancelled</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231F20"/>
              </w:rPr>
              <w:t>(10)</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9.02</w:t>
            </w:r>
          </w:p>
        </w:tc>
      </w:tr>
      <w:tr>
        <w:trPr>
          <w:trHeight w:val="238"/>
        </w:trPr>
        <w:tc>
          <w:tcPr>
            <w:tcW w:w="3320" w:type="dxa"/>
            <w:vAlign w:val="bottom"/>
          </w:tcPr>
          <w:p>
            <w:pPr>
              <w:spacing w:after="0"/>
              <w:rPr>
                <w:sz w:val="20"/>
                <w:szCs w:val="20"/>
                <w:color w:val="auto"/>
              </w:rPr>
            </w:pPr>
            <w:r>
              <w:rPr>
                <w:rFonts w:ascii="Arial" w:cs="Arial" w:eastAsia="Arial" w:hAnsi="Arial"/>
                <w:sz w:val="19"/>
                <w:szCs w:val="19"/>
                <w:b w:val="1"/>
                <w:bCs w:val="1"/>
                <w:color w:val="231F20"/>
              </w:rPr>
              <w:t>Non-vested at December 31, 2025</w:t>
            </w:r>
          </w:p>
        </w:tc>
        <w:tc>
          <w:tcPr>
            <w:tcW w:w="1580" w:type="dxa"/>
            <w:vAlign w:val="bottom"/>
          </w:tcPr>
          <w:p>
            <w:pPr>
              <w:jc w:val="right"/>
              <w:ind w:right="29"/>
              <w:spacing w:after="0"/>
              <w:rPr>
                <w:sz w:val="20"/>
                <w:szCs w:val="20"/>
                <w:color w:val="auto"/>
              </w:rPr>
            </w:pPr>
            <w:r>
              <w:rPr>
                <w:rFonts w:ascii="Arial" w:cs="Arial" w:eastAsia="Arial" w:hAnsi="Arial"/>
                <w:sz w:val="19"/>
                <w:szCs w:val="19"/>
                <w:b w:val="1"/>
                <w:bCs w:val="1"/>
                <w:color w:val="231F20"/>
              </w:rPr>
              <w:t>949</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-2003425</wp:posOffset>
            </wp:positionV>
            <wp:extent cx="3774440" cy="6869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74440" cy="6869430"/>
                    </a:xfrm>
                    <a:prstGeom prst="rect">
                      <a:avLst/>
                    </a:prstGeom>
                    <a:noFill/>
                  </pic:spPr>
                </pic:pic>
              </a:graphicData>
            </a:graphic>
          </wp:anchor>
        </w:drawing>
      </w:r>
    </w:p>
    <w:p>
      <w:pPr>
        <w:spacing w:after="0" w:line="266" w:lineRule="exact"/>
        <w:rPr>
          <w:sz w:val="20"/>
          <w:szCs w:val="20"/>
          <w:color w:val="auto"/>
        </w:rPr>
      </w:pPr>
    </w:p>
    <w:p>
      <w:pPr>
        <w:jc w:val="both"/>
        <w:ind w:left="140" w:right="140"/>
        <w:spacing w:after="0" w:line="252" w:lineRule="auto"/>
        <w:rPr>
          <w:sz w:val="20"/>
          <w:szCs w:val="20"/>
          <w:color w:val="auto"/>
        </w:rPr>
      </w:pPr>
      <w:r>
        <w:rPr>
          <w:rFonts w:ascii="Arial" w:cs="Arial" w:eastAsia="Arial" w:hAnsi="Arial"/>
          <w:sz w:val="19"/>
          <w:szCs w:val="19"/>
          <w:b w:val="1"/>
          <w:bCs w:val="1"/>
          <w:color w:val="231F20"/>
        </w:rPr>
        <w:t xml:space="preserve">The total fair value of restricted stock units vested during the year ended December 31, 2025 and 2024 was $1,286 and $723, respectively. </w:t>
      </w:r>
      <w:r>
        <w:rPr>
          <w:rFonts w:ascii="Arial" w:cs="Arial" w:eastAsia="Arial" w:hAnsi="Arial"/>
          <w:sz w:val="19"/>
          <w:szCs w:val="19"/>
          <w:b w:val="1"/>
          <w:bCs w:val="1"/>
          <w:color w:val="505052"/>
        </w:rPr>
        <w:t>At December 31, 2025, there was approximately $4,225 of total unrecognized compensation</w:t>
      </w:r>
      <w:r>
        <w:rPr>
          <w:rFonts w:ascii="Arial" w:cs="Arial" w:eastAsia="Arial" w:hAnsi="Arial"/>
          <w:sz w:val="19"/>
          <w:szCs w:val="19"/>
          <w:b w:val="1"/>
          <w:bCs w:val="1"/>
          <w:color w:val="231F20"/>
        </w:rPr>
        <w:t xml:space="preserve"> </w:t>
      </w:r>
      <w:r>
        <w:rPr>
          <w:rFonts w:ascii="Arial" w:cs="Arial" w:eastAsia="Arial" w:hAnsi="Arial"/>
          <w:sz w:val="19"/>
          <w:szCs w:val="19"/>
          <w:b w:val="1"/>
          <w:bCs w:val="1"/>
          <w:color w:val="505052"/>
        </w:rPr>
        <w:t>expense related to restricted stock units and performance stock units, which is expected to be recognized over a weighted-average period of 2.4 years.</w:t>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2020 Employee Stock Purchase Plan</w:t>
      </w:r>
    </w:p>
    <w:p>
      <w:pPr>
        <w:spacing w:after="0" w:line="12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In September 2020, the Board of Directors approved the LENSAR Inc. 2020 Employee Stock Purchase Plan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2020 ESPP</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As of December 31, 2025, the Company has reserved 681 shares of common stock for issuance under the 2020 ESPP. The price of the common stock purchased will be the lower of 85% of the fair market value of the common stock at the beginning of an offering period or at the end of a purchase period. The 2020 ESPP is intended to qualify as an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employee stock purchase plan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within the meaning of Section 423 of the Code.</w:t>
      </w:r>
    </w:p>
    <w:p>
      <w:pPr>
        <w:spacing w:after="0" w:line="248"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7"/>
          <w:szCs w:val="17"/>
          <w:b w:val="1"/>
          <w:bCs w:val="1"/>
          <w:color w:val="231F20"/>
        </w:rPr>
        <w:t>As of December 31, 2025, 494 shares of common stock have been issued to employees participating in the 2020 ESPP and 187 shares were available for future issuance under the 2020 ESPP. The grant date fair value of the shares to be issued under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2020 ESPP was estimated using the Black-Scholes valuation model.</w:t>
      </w:r>
    </w:p>
    <w:p>
      <w:pPr>
        <w:spacing w:after="0" w:line="243"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9"/>
          <w:szCs w:val="19"/>
          <w:b w:val="1"/>
          <w:bCs w:val="1"/>
          <w:color w:val="505052"/>
        </w:rPr>
        <w:t>The following table sets forth the total stock-based compensation expense recognized under the Incentive Plans and the 2020 ESPP in the Company</w:t>
      </w:r>
      <w:r>
        <w:rPr>
          <w:rFonts w:ascii="PMingLiU" w:cs="PMingLiU" w:eastAsia="PMingLiU" w:hAnsi="PMingLiU"/>
          <w:sz w:val="19"/>
          <w:szCs w:val="19"/>
          <w:b w:val="1"/>
          <w:bCs w:val="1"/>
          <w:color w:val="505052"/>
        </w:rPr>
        <w:t></w:t>
      </w:r>
      <w:r>
        <w:rPr>
          <w:rFonts w:ascii="Arial" w:cs="Arial" w:eastAsia="Arial" w:hAnsi="Arial"/>
          <w:sz w:val="19"/>
          <w:szCs w:val="19"/>
          <w:b w:val="1"/>
          <w:bCs w:val="1"/>
          <w:color w:val="505052"/>
        </w:rPr>
        <w:t>s statements of operations:</w:t>
      </w:r>
    </w:p>
    <w:p>
      <w:pPr>
        <w:spacing w:after="0" w:line="140"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2160" w:type="dxa"/>
            <w:vAlign w:val="bottom"/>
            <w:gridSpan w:val="4"/>
          </w:tcPr>
          <w:p>
            <w:pPr>
              <w:jc w:val="right"/>
              <w:ind w:right="6"/>
              <w:spacing w:after="0"/>
              <w:rPr>
                <w:sz w:val="20"/>
                <w:szCs w:val="20"/>
                <w:color w:val="auto"/>
              </w:rPr>
            </w:pPr>
            <w:r>
              <w:rPr>
                <w:rFonts w:ascii="Arial" w:cs="Arial" w:eastAsia="Arial" w:hAnsi="Arial"/>
                <w:sz w:val="16"/>
                <w:szCs w:val="16"/>
                <w:b w:val="1"/>
                <w:bCs w:val="1"/>
                <w:color w:val="231F20"/>
              </w:rPr>
              <w:t>Year Ended December 31,</w:t>
            </w:r>
          </w:p>
        </w:tc>
      </w:tr>
      <w:tr>
        <w:trPr>
          <w:trHeight w:val="192"/>
        </w:trPr>
        <w:tc>
          <w:tcPr>
            <w:tcW w:w="3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286"/>
              <w:spacing w:after="0"/>
              <w:rPr>
                <w:sz w:val="20"/>
                <w:szCs w:val="20"/>
                <w:color w:val="auto"/>
              </w:rPr>
            </w:pPr>
            <w:r>
              <w:rPr>
                <w:rFonts w:ascii="Arial" w:cs="Arial" w:eastAsia="Arial" w:hAnsi="Arial"/>
                <w:sz w:val="16"/>
                <w:szCs w:val="16"/>
                <w:b w:val="1"/>
                <w:bCs w:val="1"/>
                <w:color w:val="231F20"/>
              </w:rPr>
              <w:t>2025</w:t>
            </w:r>
          </w:p>
        </w:tc>
        <w:tc>
          <w:tcPr>
            <w:tcW w:w="260" w:type="dxa"/>
            <w:vAlign w:val="bottom"/>
          </w:tcPr>
          <w:p>
            <w:pPr>
              <w:spacing w:after="0"/>
              <w:rPr>
                <w:sz w:val="16"/>
                <w:szCs w:val="16"/>
                <w:color w:val="auto"/>
              </w:rPr>
            </w:pPr>
          </w:p>
        </w:tc>
        <w:tc>
          <w:tcPr>
            <w:tcW w:w="700" w:type="dxa"/>
            <w:vAlign w:val="bottom"/>
          </w:tcPr>
          <w:p>
            <w:pPr>
              <w:jc w:val="right"/>
              <w:ind w:right="206"/>
              <w:spacing w:after="0"/>
              <w:rPr>
                <w:sz w:val="20"/>
                <w:szCs w:val="20"/>
                <w:color w:val="auto"/>
              </w:rPr>
            </w:pPr>
            <w:r>
              <w:rPr>
                <w:rFonts w:ascii="Arial" w:cs="Arial" w:eastAsia="Arial" w:hAnsi="Arial"/>
                <w:sz w:val="16"/>
                <w:szCs w:val="16"/>
                <w:b w:val="1"/>
                <w:bCs w:val="1"/>
                <w:color w:val="231F20"/>
              </w:rPr>
              <w:t>2024</w:t>
            </w:r>
          </w:p>
        </w:tc>
      </w:tr>
      <w:tr>
        <w:trPr>
          <w:trHeight w:val="239"/>
        </w:trPr>
        <w:tc>
          <w:tcPr>
            <w:tcW w:w="3680" w:type="dxa"/>
            <w:vAlign w:val="bottom"/>
          </w:tcPr>
          <w:p>
            <w:pPr>
              <w:spacing w:after="0" w:line="231" w:lineRule="exact"/>
              <w:rPr>
                <w:sz w:val="20"/>
                <w:szCs w:val="20"/>
                <w:color w:val="auto"/>
              </w:rPr>
            </w:pPr>
            <w:r>
              <w:rPr>
                <w:rFonts w:ascii="Arial" w:cs="Arial" w:eastAsia="Arial" w:hAnsi="Arial"/>
                <w:sz w:val="19"/>
                <w:szCs w:val="19"/>
                <w:b w:val="1"/>
                <w:bCs w:val="1"/>
                <w:color w:val="231F20"/>
              </w:rPr>
              <w:t>Revenue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product</w:t>
            </w:r>
          </w:p>
        </w:tc>
        <w:tc>
          <w:tcPr>
            <w:tcW w:w="420" w:type="dxa"/>
            <w:vAlign w:val="bottom"/>
          </w:tcPr>
          <w:p>
            <w:pPr>
              <w:jc w:val="right"/>
              <w:ind w:right="9"/>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25</w:t>
            </w:r>
          </w:p>
        </w:tc>
        <w:tc>
          <w:tcPr>
            <w:tcW w:w="26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8</w:t>
            </w:r>
          </w:p>
        </w:tc>
      </w:tr>
      <w:tr>
        <w:trPr>
          <w:trHeight w:val="223"/>
        </w:trPr>
        <w:tc>
          <w:tcPr>
            <w:tcW w:w="3680" w:type="dxa"/>
            <w:vAlign w:val="bottom"/>
          </w:tcPr>
          <w:p>
            <w:pPr>
              <w:spacing w:after="0" w:line="223" w:lineRule="exact"/>
              <w:rPr>
                <w:sz w:val="20"/>
                <w:szCs w:val="20"/>
                <w:color w:val="auto"/>
              </w:rPr>
            </w:pPr>
            <w:r>
              <w:rPr>
                <w:rFonts w:ascii="Arial" w:cs="Arial" w:eastAsia="Arial" w:hAnsi="Arial"/>
                <w:sz w:val="19"/>
                <w:szCs w:val="19"/>
                <w:b w:val="1"/>
                <w:bCs w:val="1"/>
                <w:color w:val="231F20"/>
              </w:rPr>
              <w:t>Cost of revenue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product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212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215</w:t>
            </w:r>
          </w:p>
        </w:tc>
      </w:tr>
      <w:tr>
        <w:trPr>
          <w:trHeight w:val="223"/>
        </w:trPr>
        <w:tc>
          <w:tcPr>
            <w:tcW w:w="3680" w:type="dxa"/>
            <w:vAlign w:val="bottom"/>
          </w:tcPr>
          <w:p>
            <w:pPr>
              <w:spacing w:after="0" w:line="223" w:lineRule="exact"/>
              <w:rPr>
                <w:sz w:val="20"/>
                <w:szCs w:val="20"/>
                <w:color w:val="auto"/>
              </w:rPr>
            </w:pPr>
            <w:r>
              <w:rPr>
                <w:rFonts w:ascii="Arial" w:cs="Arial" w:eastAsia="Arial" w:hAnsi="Arial"/>
                <w:sz w:val="19"/>
                <w:szCs w:val="19"/>
                <w:b w:val="1"/>
                <w:bCs w:val="1"/>
                <w:color w:val="231F20"/>
              </w:rPr>
              <w:t>Cost of revenue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service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192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128</w:t>
            </w:r>
          </w:p>
        </w:tc>
      </w:tr>
      <w:tr>
        <w:trPr>
          <w:trHeight w:val="221"/>
        </w:trPr>
        <w:tc>
          <w:tcPr>
            <w:tcW w:w="3680" w:type="dxa"/>
            <w:vAlign w:val="bottom"/>
          </w:tcPr>
          <w:p>
            <w:pPr>
              <w:spacing w:after="0"/>
              <w:rPr>
                <w:sz w:val="20"/>
                <w:szCs w:val="20"/>
                <w:color w:val="auto"/>
              </w:rPr>
            </w:pPr>
            <w:r>
              <w:rPr>
                <w:rFonts w:ascii="Arial" w:cs="Arial" w:eastAsia="Arial" w:hAnsi="Arial"/>
                <w:sz w:val="19"/>
                <w:szCs w:val="19"/>
                <w:b w:val="1"/>
                <w:bCs w:val="1"/>
                <w:color w:val="231F20"/>
                <w:w w:val="90"/>
              </w:rPr>
              <w:t>Selling, general and administrative expenses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2,397</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1,983</w:t>
            </w:r>
          </w:p>
        </w:tc>
      </w:tr>
      <w:tr>
        <w:trPr>
          <w:trHeight w:val="223"/>
        </w:trPr>
        <w:tc>
          <w:tcPr>
            <w:tcW w:w="3680" w:type="dxa"/>
            <w:vAlign w:val="bottom"/>
          </w:tcPr>
          <w:p>
            <w:pPr>
              <w:spacing w:after="0"/>
              <w:rPr>
                <w:sz w:val="20"/>
                <w:szCs w:val="20"/>
                <w:color w:val="auto"/>
              </w:rPr>
            </w:pPr>
            <w:r>
              <w:rPr>
                <w:rFonts w:ascii="Arial" w:cs="Arial" w:eastAsia="Arial" w:hAnsi="Arial"/>
                <w:sz w:val="19"/>
                <w:szCs w:val="19"/>
                <w:b w:val="1"/>
                <w:bCs w:val="1"/>
                <w:color w:val="231F20"/>
              </w:rPr>
              <w:t>Research and development expenses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317</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331</w:t>
            </w:r>
          </w:p>
        </w:tc>
      </w:tr>
      <w:tr>
        <w:trPr>
          <w:trHeight w:val="238"/>
        </w:trPr>
        <w:tc>
          <w:tcPr>
            <w:tcW w:w="368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420" w:type="dxa"/>
            <w:vAlign w:val="bottom"/>
          </w:tcPr>
          <w:p>
            <w:pPr>
              <w:jc w:val="right"/>
              <w:ind w:right="9"/>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3,143</w:t>
            </w:r>
          </w:p>
        </w:tc>
        <w:tc>
          <w:tcPr>
            <w:tcW w:w="26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2,665</w:t>
            </w: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F-30</w:t>
      </w:r>
    </w:p>
    <w:p>
      <w:pPr>
        <w:sectPr>
          <w:pgSz w:w="12240" w:h="15840" w:orient="portrait"/>
          <w:cols w:equalWidth="0" w:num="1">
            <w:col w:w="9360"/>
          </w:cols>
          <w:pgMar w:left="1440" w:top="1440" w:right="1440" w:bottom="390" w:gutter="0" w:footer="0" w:header="0"/>
          <w:type w:val="continuous"/>
        </w:sectPr>
      </w:pPr>
    </w:p>
    <w:bookmarkStart w:id="132" w:name="page133"/>
    <w:bookmarkEnd w:id="132"/>
    <w:p>
      <w:pPr>
        <w:spacing w:after="0" w:line="33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Total unrecognized stock-based compensation expense is expected to be amortized as follows:</w:t>
      </w:r>
    </w:p>
    <w:p>
      <w:pPr>
        <w:spacing w:after="0" w:line="142"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4520" w:type="dxa"/>
            <w:vAlign w:val="bottom"/>
          </w:tcPr>
          <w:p>
            <w:pPr>
              <w:spacing w:after="0"/>
              <w:rPr>
                <w:sz w:val="20"/>
                <w:szCs w:val="20"/>
                <w:color w:val="auto"/>
              </w:rPr>
            </w:pPr>
            <w:r>
              <w:rPr>
                <w:rFonts w:ascii="Arial" w:cs="Arial" w:eastAsia="Arial" w:hAnsi="Arial"/>
                <w:sz w:val="16"/>
                <w:szCs w:val="16"/>
                <w:b w:val="1"/>
                <w:bCs w:val="1"/>
                <w:color w:val="231F20"/>
              </w:rPr>
              <w:t>Fiscal Year</w:t>
            </w:r>
          </w:p>
        </w:tc>
        <w:tc>
          <w:tcPr>
            <w:tcW w:w="420" w:type="dxa"/>
            <w:vAlign w:val="bottom"/>
          </w:tcPr>
          <w:p>
            <w:pPr>
              <w:spacing w:after="0"/>
              <w:rPr>
                <w:sz w:val="16"/>
                <w:szCs w:val="16"/>
                <w:color w:val="auto"/>
              </w:rPr>
            </w:pPr>
          </w:p>
        </w:tc>
        <w:tc>
          <w:tcPr>
            <w:tcW w:w="880" w:type="dxa"/>
            <w:vAlign w:val="bottom"/>
          </w:tcPr>
          <w:p>
            <w:pPr>
              <w:jc w:val="right"/>
              <w:ind w:right="166"/>
              <w:spacing w:after="0"/>
              <w:rPr>
                <w:sz w:val="20"/>
                <w:szCs w:val="20"/>
                <w:color w:val="auto"/>
              </w:rPr>
            </w:pPr>
            <w:r>
              <w:rPr>
                <w:rFonts w:ascii="Arial" w:cs="Arial" w:eastAsia="Arial" w:hAnsi="Arial"/>
                <w:sz w:val="16"/>
                <w:szCs w:val="16"/>
                <w:b w:val="1"/>
                <w:bCs w:val="1"/>
                <w:color w:val="231F20"/>
                <w:w w:val="99"/>
              </w:rPr>
              <w:t>Amount</w:t>
            </w:r>
          </w:p>
        </w:tc>
      </w:tr>
      <w:tr>
        <w:trPr>
          <w:trHeight w:val="251"/>
        </w:trPr>
        <w:tc>
          <w:tcPr>
            <w:tcW w:w="452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4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1,880</w:t>
            </w:r>
          </w:p>
        </w:tc>
      </w:tr>
      <w:tr>
        <w:trPr>
          <w:trHeight w:val="238"/>
        </w:trPr>
        <w:tc>
          <w:tcPr>
            <w:tcW w:w="452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1,338</w:t>
            </w:r>
          </w:p>
        </w:tc>
      </w:tr>
      <w:tr>
        <w:trPr>
          <w:trHeight w:val="235"/>
        </w:trPr>
        <w:tc>
          <w:tcPr>
            <w:tcW w:w="452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1,102</w:t>
            </w:r>
          </w:p>
        </w:tc>
      </w:tr>
      <w:tr>
        <w:trPr>
          <w:trHeight w:val="238"/>
        </w:trPr>
        <w:tc>
          <w:tcPr>
            <w:tcW w:w="452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139</w:t>
            </w:r>
          </w:p>
        </w:tc>
      </w:tr>
      <w:tr>
        <w:trPr>
          <w:trHeight w:val="252"/>
        </w:trPr>
        <w:tc>
          <w:tcPr>
            <w:tcW w:w="4520" w:type="dxa"/>
            <w:vAlign w:val="bottom"/>
          </w:tcPr>
          <w:p>
            <w:pPr>
              <w:spacing w:after="0"/>
              <w:rPr>
                <w:sz w:val="20"/>
                <w:szCs w:val="20"/>
                <w:color w:val="auto"/>
              </w:rPr>
            </w:pPr>
            <w:r>
              <w:rPr>
                <w:rFonts w:ascii="Arial" w:cs="Arial" w:eastAsia="Arial" w:hAnsi="Arial"/>
                <w:sz w:val="19"/>
                <w:szCs w:val="19"/>
                <w:b w:val="1"/>
                <w:bCs w:val="1"/>
                <w:color w:val="231F20"/>
                <w:w w:val="88"/>
              </w:rPr>
              <w:t>Total unrecognized stock-based compensation expense</w:t>
            </w:r>
          </w:p>
        </w:tc>
        <w:tc>
          <w:tcPr>
            <w:tcW w:w="4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231F20"/>
              </w:rPr>
              <w:t>4,459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-782955</wp:posOffset>
            </wp:positionV>
            <wp:extent cx="4064000" cy="513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64000" cy="5130800"/>
                    </a:xfrm>
                    <a:prstGeom prst="rect">
                      <a:avLst/>
                    </a:prstGeom>
                    <a:noFill/>
                  </pic:spPr>
                </pic:pic>
              </a:graphicData>
            </a:graphic>
          </wp:anchor>
        </w:drawing>
      </w:r>
    </w:p>
    <w:p>
      <w:pPr>
        <w:spacing w:after="0" w:line="300"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The amounts included in this table are based on restricted stock units, performance stock units, and stock options outstanding at December 31, 2025 and assumes the requisite service period is fulfilled for all awards outstanding. Actual stock-based compensation expense in future periods may vary from those reflected in the table.</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15. Income Taxes</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For financial reporting purposes, loss before income taxes includes the following components:</w:t>
      </w:r>
    </w:p>
    <w:p>
      <w:pPr>
        <w:spacing w:after="0" w:line="127"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60" w:type="dxa"/>
            <w:vAlign w:val="bottom"/>
            <w:gridSpan w:val="3"/>
          </w:tcPr>
          <w:p>
            <w:pPr>
              <w:jc w:val="right"/>
              <w:ind w:right="68"/>
              <w:spacing w:after="0"/>
              <w:rPr>
                <w:sz w:val="20"/>
                <w:szCs w:val="20"/>
                <w:color w:val="auto"/>
              </w:rPr>
            </w:pPr>
            <w:r>
              <w:rPr>
                <w:rFonts w:ascii="Arial" w:cs="Arial" w:eastAsia="Arial" w:hAnsi="Arial"/>
                <w:sz w:val="16"/>
                <w:szCs w:val="16"/>
                <w:b w:val="1"/>
                <w:bCs w:val="1"/>
                <w:color w:val="231F20"/>
                <w:w w:val="86"/>
              </w:rPr>
              <w:t>Years Ended December 31,</w:t>
            </w:r>
          </w:p>
        </w:tc>
      </w:tr>
      <w:tr>
        <w:trPr>
          <w:trHeight w:val="194"/>
        </w:trPr>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40" w:type="dxa"/>
            <w:vAlign w:val="bottom"/>
          </w:tcPr>
          <w:p>
            <w:pPr>
              <w:jc w:val="right"/>
              <w:ind w:right="330"/>
              <w:spacing w:after="0"/>
              <w:rPr>
                <w:sz w:val="20"/>
                <w:szCs w:val="20"/>
                <w:color w:val="auto"/>
              </w:rPr>
            </w:pPr>
            <w:r>
              <w:rPr>
                <w:rFonts w:ascii="Arial" w:cs="Arial" w:eastAsia="Arial" w:hAnsi="Arial"/>
                <w:sz w:val="16"/>
                <w:szCs w:val="16"/>
                <w:b w:val="1"/>
                <w:bCs w:val="1"/>
                <w:color w:val="231F20"/>
              </w:rPr>
              <w:t>2025</w:t>
            </w:r>
          </w:p>
        </w:tc>
        <w:tc>
          <w:tcPr>
            <w:tcW w:w="24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6"/>
                <w:szCs w:val="16"/>
                <w:b w:val="1"/>
                <w:bCs w:val="1"/>
                <w:color w:val="231F20"/>
              </w:rPr>
              <w:t>2024</w:t>
            </w:r>
          </w:p>
        </w:tc>
      </w:tr>
      <w:tr>
        <w:trPr>
          <w:trHeight w:val="236"/>
        </w:trPr>
        <w:tc>
          <w:tcPr>
            <w:tcW w:w="2660" w:type="dxa"/>
            <w:vAlign w:val="bottom"/>
          </w:tcPr>
          <w:p>
            <w:pPr>
              <w:spacing w:after="0"/>
              <w:rPr>
                <w:sz w:val="20"/>
                <w:szCs w:val="20"/>
                <w:color w:val="auto"/>
              </w:rPr>
            </w:pPr>
            <w:r>
              <w:rPr>
                <w:rFonts w:ascii="Arial" w:cs="Arial" w:eastAsia="Arial" w:hAnsi="Arial"/>
                <w:sz w:val="19"/>
                <w:szCs w:val="19"/>
                <w:b w:val="1"/>
                <w:bCs w:val="1"/>
                <w:color w:val="231F20"/>
              </w:rPr>
              <w:t>United States</w:t>
            </w:r>
          </w:p>
        </w:tc>
        <w:tc>
          <w:tcPr>
            <w:tcW w:w="17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r>
        <w:trPr>
          <w:trHeight w:val="223"/>
        </w:trPr>
        <w:tc>
          <w:tcPr>
            <w:tcW w:w="2660" w:type="dxa"/>
            <w:vAlign w:val="bottom"/>
          </w:tcPr>
          <w:p>
            <w:pPr>
              <w:spacing w:after="0"/>
              <w:rPr>
                <w:sz w:val="20"/>
                <w:szCs w:val="20"/>
                <w:color w:val="auto"/>
              </w:rPr>
            </w:pPr>
            <w:r>
              <w:rPr>
                <w:rFonts w:ascii="Arial" w:cs="Arial" w:eastAsia="Arial" w:hAnsi="Arial"/>
                <w:sz w:val="19"/>
                <w:szCs w:val="19"/>
                <w:b w:val="1"/>
                <w:bCs w:val="1"/>
                <w:color w:val="231F20"/>
              </w:rPr>
              <w:t>Foreign</w:t>
            </w:r>
          </w:p>
        </w:tc>
        <w:tc>
          <w:tcPr>
            <w:tcW w:w="1720" w:type="dxa"/>
            <w:vAlign w:val="bottom"/>
          </w:tcPr>
          <w:p>
            <w:pPr>
              <w:spacing w:after="0"/>
              <w:rPr>
                <w:sz w:val="19"/>
                <w:szCs w:val="19"/>
                <w:color w:val="auto"/>
              </w:rPr>
            </w:pPr>
          </w:p>
        </w:tc>
        <w:tc>
          <w:tcPr>
            <w:tcW w:w="940" w:type="dxa"/>
            <w:vAlign w:val="bottom"/>
          </w:tcPr>
          <w:p>
            <w:pPr>
              <w:jc w:val="right"/>
              <w:ind w:right="30"/>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266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7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bl>
    <w:p>
      <w:pPr>
        <w:spacing w:after="0" w:line="32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31F20"/>
        </w:rPr>
        <w:t>The provision for income taxes for the years ended December 31, 2025 and 2024 consisted of the following:</w:t>
      </w:r>
    </w:p>
    <w:p>
      <w:pPr>
        <w:spacing w:after="0" w:line="147"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740" w:type="dxa"/>
            <w:vAlign w:val="bottom"/>
            <w:gridSpan w:val="3"/>
          </w:tcPr>
          <w:p>
            <w:pPr>
              <w:jc w:val="right"/>
              <w:ind w:right="65"/>
              <w:spacing w:after="0"/>
              <w:rPr>
                <w:sz w:val="20"/>
                <w:szCs w:val="20"/>
                <w:color w:val="auto"/>
              </w:rPr>
            </w:pPr>
            <w:r>
              <w:rPr>
                <w:rFonts w:ascii="Arial" w:cs="Arial" w:eastAsia="Arial" w:hAnsi="Arial"/>
                <w:sz w:val="16"/>
                <w:szCs w:val="16"/>
                <w:b w:val="1"/>
                <w:bCs w:val="1"/>
                <w:color w:val="231F20"/>
              </w:rPr>
              <w:t>Year Ended December 31,</w:t>
            </w:r>
          </w:p>
        </w:tc>
      </w:tr>
      <w:tr>
        <w:trPr>
          <w:trHeight w:val="192"/>
        </w:trPr>
        <w:tc>
          <w:tcPr>
            <w:tcW w:w="35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231F20"/>
              </w:rPr>
              <w:t>2025</w:t>
            </w:r>
          </w:p>
        </w:tc>
        <w:tc>
          <w:tcPr>
            <w:tcW w:w="620" w:type="dxa"/>
            <w:vAlign w:val="bottom"/>
          </w:tcPr>
          <w:p>
            <w:pPr>
              <w:spacing w:after="0"/>
              <w:rPr>
                <w:sz w:val="16"/>
                <w:szCs w:val="16"/>
                <w:color w:val="auto"/>
              </w:rPr>
            </w:pPr>
          </w:p>
        </w:tc>
        <w:tc>
          <w:tcPr>
            <w:tcW w:w="740" w:type="dxa"/>
            <w:vAlign w:val="bottom"/>
          </w:tcPr>
          <w:p>
            <w:pPr>
              <w:jc w:val="right"/>
              <w:ind w:right="225"/>
              <w:spacing w:after="0"/>
              <w:rPr>
                <w:sz w:val="20"/>
                <w:szCs w:val="20"/>
                <w:color w:val="auto"/>
              </w:rPr>
            </w:pPr>
            <w:r>
              <w:rPr>
                <w:rFonts w:ascii="Arial" w:cs="Arial" w:eastAsia="Arial" w:hAnsi="Arial"/>
                <w:sz w:val="16"/>
                <w:szCs w:val="16"/>
                <w:b w:val="1"/>
                <w:bCs w:val="1"/>
                <w:color w:val="231F20"/>
              </w:rPr>
              <w:t>2024</w:t>
            </w:r>
          </w:p>
        </w:tc>
      </w:tr>
      <w:tr>
        <w:trPr>
          <w:trHeight w:val="239"/>
        </w:trPr>
        <w:tc>
          <w:tcPr>
            <w:tcW w:w="3560" w:type="dxa"/>
            <w:vAlign w:val="bottom"/>
          </w:tcPr>
          <w:p>
            <w:pPr>
              <w:spacing w:after="0"/>
              <w:rPr>
                <w:sz w:val="20"/>
                <w:szCs w:val="20"/>
                <w:color w:val="auto"/>
              </w:rPr>
            </w:pPr>
            <w:r>
              <w:rPr>
                <w:rFonts w:ascii="Arial" w:cs="Arial" w:eastAsia="Arial" w:hAnsi="Arial"/>
                <w:sz w:val="19"/>
                <w:szCs w:val="19"/>
                <w:b w:val="1"/>
                <w:bCs w:val="1"/>
                <w:color w:val="231F20"/>
              </w:rPr>
              <w:t>Current income tax expense (benefit)</w:t>
            </w: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3560" w:type="dxa"/>
            <w:vAlign w:val="bottom"/>
          </w:tcPr>
          <w:p>
            <w:pPr>
              <w:ind w:left="100"/>
              <w:spacing w:after="0"/>
              <w:rPr>
                <w:sz w:val="20"/>
                <w:szCs w:val="20"/>
                <w:color w:val="auto"/>
              </w:rPr>
            </w:pPr>
            <w:r>
              <w:rPr>
                <w:rFonts w:ascii="Arial" w:cs="Arial" w:eastAsia="Arial" w:hAnsi="Arial"/>
                <w:sz w:val="19"/>
                <w:szCs w:val="19"/>
                <w:b w:val="1"/>
                <w:bCs w:val="1"/>
                <w:color w:val="231F20"/>
              </w:rPr>
              <w:t>Federal</w:t>
            </w:r>
          </w:p>
        </w:tc>
        <w:tc>
          <w:tcPr>
            <w:tcW w:w="1380" w:type="dxa"/>
            <w:vAlign w:val="bottom"/>
          </w:tcPr>
          <w:p>
            <w:pPr>
              <w:jc w:val="right"/>
              <w:ind w:right="512"/>
              <w:spacing w:after="0"/>
              <w:rPr>
                <w:sz w:val="20"/>
                <w:szCs w:val="20"/>
                <w:color w:val="auto"/>
              </w:rPr>
            </w:pPr>
            <w:r>
              <w:rPr>
                <w:rFonts w:ascii="Arial" w:cs="Arial" w:eastAsia="Arial" w:hAnsi="Arial"/>
                <w:sz w:val="19"/>
                <w:szCs w:val="19"/>
                <w:b w:val="1"/>
                <w:bCs w:val="1"/>
                <w:color w:val="231F20"/>
              </w:rPr>
              <w:t>$</w:t>
            </w:r>
          </w:p>
        </w:tc>
        <w:tc>
          <w:tcPr>
            <w:tcW w:w="620" w:type="dxa"/>
            <w:vAlign w:val="bottom"/>
          </w:tcPr>
          <w:p>
            <w:pPr>
              <w:ind w:left="60"/>
              <w:spacing w:after="0" w:line="223"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1"/>
        </w:trPr>
        <w:tc>
          <w:tcPr>
            <w:tcW w:w="3560" w:type="dxa"/>
            <w:vAlign w:val="bottom"/>
          </w:tcPr>
          <w:p>
            <w:pPr>
              <w:ind w:left="100"/>
              <w:spacing w:after="0"/>
              <w:rPr>
                <w:sz w:val="20"/>
                <w:szCs w:val="20"/>
                <w:color w:val="auto"/>
              </w:rPr>
            </w:pPr>
            <w:r>
              <w:rPr>
                <w:rFonts w:ascii="Arial" w:cs="Arial" w:eastAsia="Arial" w:hAnsi="Arial"/>
                <w:sz w:val="19"/>
                <w:szCs w:val="19"/>
                <w:b w:val="1"/>
                <w:bCs w:val="1"/>
                <w:color w:val="231F20"/>
              </w:rPr>
              <w:t>State</w:t>
            </w:r>
          </w:p>
        </w:tc>
        <w:tc>
          <w:tcPr>
            <w:tcW w:w="1380" w:type="dxa"/>
            <w:vAlign w:val="bottom"/>
          </w:tcPr>
          <w:p>
            <w:pPr>
              <w:spacing w:after="0"/>
              <w:rPr>
                <w:sz w:val="19"/>
                <w:szCs w:val="19"/>
                <w:color w:val="auto"/>
              </w:rPr>
            </w:pPr>
          </w:p>
        </w:tc>
        <w:tc>
          <w:tcPr>
            <w:tcW w:w="620" w:type="dxa"/>
            <w:vAlign w:val="bottom"/>
          </w:tcPr>
          <w:p>
            <w:pPr>
              <w:ind w:left="60"/>
              <w:spacing w:after="0" w:line="221"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1"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3560" w:type="dxa"/>
            <w:vAlign w:val="bottom"/>
          </w:tcPr>
          <w:p>
            <w:pPr>
              <w:ind w:left="100"/>
              <w:spacing w:after="0"/>
              <w:rPr>
                <w:sz w:val="20"/>
                <w:szCs w:val="20"/>
                <w:color w:val="auto"/>
              </w:rPr>
            </w:pPr>
            <w:r>
              <w:rPr>
                <w:rFonts w:ascii="Arial" w:cs="Arial" w:eastAsia="Arial" w:hAnsi="Arial"/>
                <w:sz w:val="19"/>
                <w:szCs w:val="19"/>
                <w:b w:val="1"/>
                <w:bCs w:val="1"/>
                <w:color w:val="231F20"/>
              </w:rPr>
              <w:t>Foreign</w:t>
            </w:r>
          </w:p>
        </w:tc>
        <w:tc>
          <w:tcPr>
            <w:tcW w:w="1380" w:type="dxa"/>
            <w:vAlign w:val="bottom"/>
          </w:tcPr>
          <w:p>
            <w:pPr>
              <w:spacing w:after="0"/>
              <w:rPr>
                <w:sz w:val="19"/>
                <w:szCs w:val="19"/>
                <w:color w:val="auto"/>
              </w:rPr>
            </w:pPr>
          </w:p>
        </w:tc>
        <w:tc>
          <w:tcPr>
            <w:tcW w:w="620" w:type="dxa"/>
            <w:vAlign w:val="bottom"/>
          </w:tcPr>
          <w:p>
            <w:pPr>
              <w:ind w:left="60"/>
              <w:spacing w:after="0" w:line="224"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560" w:type="dxa"/>
            <w:vAlign w:val="bottom"/>
          </w:tcPr>
          <w:p>
            <w:pPr>
              <w:ind w:left="200"/>
              <w:spacing w:after="0"/>
              <w:rPr>
                <w:sz w:val="20"/>
                <w:szCs w:val="20"/>
                <w:color w:val="auto"/>
              </w:rPr>
            </w:pPr>
            <w:r>
              <w:rPr>
                <w:rFonts w:ascii="Arial" w:cs="Arial" w:eastAsia="Arial" w:hAnsi="Arial"/>
                <w:sz w:val="19"/>
                <w:szCs w:val="19"/>
                <w:b w:val="1"/>
                <w:bCs w:val="1"/>
                <w:color w:val="231F20"/>
              </w:rPr>
              <w:t>Total current</w:t>
            </w:r>
          </w:p>
        </w:tc>
        <w:tc>
          <w:tcPr>
            <w:tcW w:w="1380" w:type="dxa"/>
            <w:vAlign w:val="bottom"/>
          </w:tcPr>
          <w:p>
            <w:pPr>
              <w:spacing w:after="0"/>
              <w:rPr>
                <w:sz w:val="20"/>
                <w:szCs w:val="20"/>
                <w:color w:val="auto"/>
              </w:rPr>
            </w:pP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560" w:type="dxa"/>
            <w:vAlign w:val="bottom"/>
          </w:tcPr>
          <w:p>
            <w:pPr>
              <w:spacing w:after="0"/>
              <w:rPr>
                <w:sz w:val="20"/>
                <w:szCs w:val="20"/>
                <w:color w:val="auto"/>
              </w:rPr>
            </w:pPr>
            <w:r>
              <w:rPr>
                <w:rFonts w:ascii="Arial" w:cs="Arial" w:eastAsia="Arial" w:hAnsi="Arial"/>
                <w:sz w:val="19"/>
                <w:szCs w:val="19"/>
                <w:b w:val="1"/>
                <w:bCs w:val="1"/>
                <w:color w:val="231F20"/>
              </w:rPr>
              <w:t>Deferred income tax (benefit)</w:t>
            </w: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3560" w:type="dxa"/>
            <w:vAlign w:val="bottom"/>
          </w:tcPr>
          <w:p>
            <w:pPr>
              <w:ind w:left="100"/>
              <w:spacing w:after="0"/>
              <w:rPr>
                <w:sz w:val="20"/>
                <w:szCs w:val="20"/>
                <w:color w:val="auto"/>
              </w:rPr>
            </w:pPr>
            <w:r>
              <w:rPr>
                <w:rFonts w:ascii="Arial" w:cs="Arial" w:eastAsia="Arial" w:hAnsi="Arial"/>
                <w:sz w:val="19"/>
                <w:szCs w:val="19"/>
                <w:b w:val="1"/>
                <w:bCs w:val="1"/>
                <w:color w:val="231F20"/>
              </w:rPr>
              <w:t>Federal</w:t>
            </w:r>
          </w:p>
        </w:tc>
        <w:tc>
          <w:tcPr>
            <w:tcW w:w="1380" w:type="dxa"/>
            <w:vAlign w:val="bottom"/>
          </w:tcPr>
          <w:p>
            <w:pPr>
              <w:spacing w:after="0"/>
              <w:rPr>
                <w:sz w:val="19"/>
                <w:szCs w:val="19"/>
                <w:color w:val="auto"/>
              </w:rPr>
            </w:pPr>
          </w:p>
        </w:tc>
        <w:tc>
          <w:tcPr>
            <w:tcW w:w="620" w:type="dxa"/>
            <w:vAlign w:val="bottom"/>
          </w:tcPr>
          <w:p>
            <w:pPr>
              <w:ind w:left="60"/>
              <w:spacing w:after="0" w:line="224"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3560" w:type="dxa"/>
            <w:vAlign w:val="bottom"/>
          </w:tcPr>
          <w:p>
            <w:pPr>
              <w:ind w:left="100"/>
              <w:spacing w:after="0"/>
              <w:rPr>
                <w:sz w:val="20"/>
                <w:szCs w:val="20"/>
                <w:color w:val="auto"/>
              </w:rPr>
            </w:pPr>
            <w:r>
              <w:rPr>
                <w:rFonts w:ascii="Arial" w:cs="Arial" w:eastAsia="Arial" w:hAnsi="Arial"/>
                <w:sz w:val="19"/>
                <w:szCs w:val="19"/>
                <w:b w:val="1"/>
                <w:bCs w:val="1"/>
                <w:color w:val="231F20"/>
              </w:rPr>
              <w:t>State</w:t>
            </w:r>
          </w:p>
        </w:tc>
        <w:tc>
          <w:tcPr>
            <w:tcW w:w="1380" w:type="dxa"/>
            <w:vAlign w:val="bottom"/>
          </w:tcPr>
          <w:p>
            <w:pPr>
              <w:spacing w:after="0"/>
              <w:rPr>
                <w:sz w:val="19"/>
                <w:szCs w:val="19"/>
                <w:color w:val="auto"/>
              </w:rPr>
            </w:pPr>
          </w:p>
        </w:tc>
        <w:tc>
          <w:tcPr>
            <w:tcW w:w="620" w:type="dxa"/>
            <w:vAlign w:val="bottom"/>
          </w:tcPr>
          <w:p>
            <w:pPr>
              <w:ind w:left="60"/>
              <w:spacing w:after="0" w:line="224"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3560" w:type="dxa"/>
            <w:vAlign w:val="bottom"/>
          </w:tcPr>
          <w:p>
            <w:pPr>
              <w:ind w:left="100"/>
              <w:spacing w:after="0"/>
              <w:rPr>
                <w:sz w:val="20"/>
                <w:szCs w:val="20"/>
                <w:color w:val="auto"/>
              </w:rPr>
            </w:pPr>
            <w:r>
              <w:rPr>
                <w:rFonts w:ascii="Arial" w:cs="Arial" w:eastAsia="Arial" w:hAnsi="Arial"/>
                <w:sz w:val="19"/>
                <w:szCs w:val="19"/>
                <w:b w:val="1"/>
                <w:bCs w:val="1"/>
                <w:color w:val="231F20"/>
              </w:rPr>
              <w:t>Foreign</w:t>
            </w:r>
          </w:p>
        </w:tc>
        <w:tc>
          <w:tcPr>
            <w:tcW w:w="1380" w:type="dxa"/>
            <w:vAlign w:val="bottom"/>
          </w:tcPr>
          <w:p>
            <w:pPr>
              <w:spacing w:after="0"/>
              <w:rPr>
                <w:sz w:val="19"/>
                <w:szCs w:val="19"/>
                <w:color w:val="auto"/>
              </w:rPr>
            </w:pPr>
          </w:p>
        </w:tc>
        <w:tc>
          <w:tcPr>
            <w:tcW w:w="620" w:type="dxa"/>
            <w:vAlign w:val="bottom"/>
          </w:tcPr>
          <w:p>
            <w:pPr>
              <w:ind w:left="60"/>
              <w:spacing w:after="0" w:line="224"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560" w:type="dxa"/>
            <w:vAlign w:val="bottom"/>
          </w:tcPr>
          <w:p>
            <w:pPr>
              <w:ind w:left="200"/>
              <w:spacing w:after="0"/>
              <w:rPr>
                <w:sz w:val="20"/>
                <w:szCs w:val="20"/>
                <w:color w:val="auto"/>
              </w:rPr>
            </w:pPr>
            <w:r>
              <w:rPr>
                <w:rFonts w:ascii="Arial" w:cs="Arial" w:eastAsia="Arial" w:hAnsi="Arial"/>
                <w:sz w:val="19"/>
                <w:szCs w:val="19"/>
                <w:b w:val="1"/>
                <w:bCs w:val="1"/>
                <w:color w:val="231F20"/>
              </w:rPr>
              <w:t>Total deferred</w:t>
            </w:r>
          </w:p>
        </w:tc>
        <w:tc>
          <w:tcPr>
            <w:tcW w:w="1380" w:type="dxa"/>
            <w:vAlign w:val="bottom"/>
          </w:tcPr>
          <w:p>
            <w:pPr>
              <w:spacing w:after="0"/>
              <w:rPr>
                <w:sz w:val="20"/>
                <w:szCs w:val="20"/>
                <w:color w:val="auto"/>
              </w:rPr>
            </w:pPr>
          </w:p>
        </w:tc>
        <w:tc>
          <w:tcPr>
            <w:tcW w:w="62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231F20"/>
              </w:rPr>
              <w:t></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3560" w:type="dxa"/>
            <w:vAlign w:val="bottom"/>
          </w:tcPr>
          <w:p>
            <w:pPr>
              <w:spacing w:after="0"/>
              <w:rPr>
                <w:sz w:val="20"/>
                <w:szCs w:val="20"/>
                <w:color w:val="auto"/>
              </w:rPr>
            </w:pPr>
            <w:r>
              <w:rPr>
                <w:rFonts w:ascii="Arial" w:cs="Arial" w:eastAsia="Arial" w:hAnsi="Arial"/>
                <w:sz w:val="19"/>
                <w:szCs w:val="19"/>
                <w:b w:val="1"/>
                <w:bCs w:val="1"/>
                <w:color w:val="231F20"/>
              </w:rPr>
              <w:t>Total provision</w:t>
            </w:r>
          </w:p>
        </w:tc>
        <w:tc>
          <w:tcPr>
            <w:tcW w:w="1380" w:type="dxa"/>
            <w:vAlign w:val="bottom"/>
          </w:tcPr>
          <w:p>
            <w:pPr>
              <w:jc w:val="right"/>
              <w:ind w:right="512"/>
              <w:spacing w:after="0"/>
              <w:rPr>
                <w:sz w:val="20"/>
                <w:szCs w:val="20"/>
                <w:color w:val="auto"/>
              </w:rPr>
            </w:pPr>
            <w:r>
              <w:rPr>
                <w:rFonts w:ascii="Arial" w:cs="Arial" w:eastAsia="Arial" w:hAnsi="Arial"/>
                <w:sz w:val="19"/>
                <w:szCs w:val="19"/>
                <w:b w:val="1"/>
                <w:bCs w:val="1"/>
                <w:color w:val="231F20"/>
              </w:rPr>
              <w:t>$</w:t>
            </w:r>
          </w:p>
        </w:tc>
        <w:tc>
          <w:tcPr>
            <w:tcW w:w="620" w:type="dxa"/>
            <w:vAlign w:val="bottom"/>
          </w:tcPr>
          <w:p>
            <w:pPr>
              <w:ind w:left="60"/>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bl>
    <w:p>
      <w:pPr>
        <w:spacing w:after="0" w:line="322" w:lineRule="exact"/>
        <w:rPr>
          <w:sz w:val="20"/>
          <w:szCs w:val="20"/>
          <w:color w:val="auto"/>
        </w:rPr>
      </w:pPr>
    </w:p>
    <w:p>
      <w:pPr>
        <w:ind w:left="140" w:right="140"/>
        <w:spacing w:after="0" w:line="219" w:lineRule="exact"/>
        <w:rPr>
          <w:sz w:val="20"/>
          <w:szCs w:val="20"/>
          <w:color w:val="auto"/>
        </w:rPr>
      </w:pPr>
      <w:r>
        <w:rPr>
          <w:rFonts w:ascii="Arial" w:cs="Arial" w:eastAsia="Arial" w:hAnsi="Arial"/>
          <w:sz w:val="16"/>
          <w:szCs w:val="16"/>
          <w:b w:val="1"/>
          <w:bCs w:val="1"/>
          <w:color w:val="231F20"/>
        </w:rPr>
        <w:t>The Company has elected to prospectively adopt ASU 2023-09, Income Taxes (Topic 740): Improvement to Income Tax Disclosures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ASU 2023-09</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during the year ended December 31, 2025. A reconciliation of the income tax</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F-31</w:t>
      </w:r>
    </w:p>
    <w:p>
      <w:pPr>
        <w:sectPr>
          <w:pgSz w:w="12240" w:h="15840" w:orient="portrait"/>
          <w:cols w:equalWidth="0" w:num="1">
            <w:col w:w="9360"/>
          </w:cols>
          <w:pgMar w:left="1440" w:top="1440" w:right="1440" w:bottom="390" w:gutter="0" w:footer="0" w:header="0"/>
          <w:type w:val="continuous"/>
        </w:sectPr>
      </w:pPr>
    </w:p>
    <w:bookmarkStart w:id="133" w:name="page134"/>
    <w:bookmarkEnd w:id="133"/>
    <w:p>
      <w:pPr>
        <w:spacing w:after="0" w:line="343" w:lineRule="exact"/>
        <w:rPr>
          <w:sz w:val="20"/>
          <w:szCs w:val="20"/>
          <w:color w:val="auto"/>
        </w:rPr>
      </w:pPr>
    </w:p>
    <w:p>
      <w:pPr>
        <w:ind w:left="140" w:right="140"/>
        <w:spacing w:after="0" w:line="239" w:lineRule="auto"/>
        <w:rPr>
          <w:sz w:val="20"/>
          <w:szCs w:val="20"/>
          <w:color w:val="auto"/>
        </w:rPr>
      </w:pPr>
      <w:r>
        <w:rPr>
          <w:rFonts w:ascii="Arial" w:cs="Arial" w:eastAsia="Arial" w:hAnsi="Arial"/>
          <w:sz w:val="19"/>
          <w:szCs w:val="19"/>
          <w:b w:val="1"/>
          <w:bCs w:val="1"/>
          <w:color w:val="231F20"/>
        </w:rPr>
        <w:t>provision computed using the U.S. statutory federal income tax rate compared to the income tax provision included in the statements of operations in accordance with ASU 2023-09 is as follows:</w:t>
      </w:r>
    </w:p>
    <w:p>
      <w:pPr>
        <w:spacing w:after="0" w:line="126" w:lineRule="exact"/>
        <w:rPr>
          <w:sz w:val="20"/>
          <w:szCs w:val="20"/>
          <w:color w:val="auto"/>
        </w:rPr>
      </w:pPr>
    </w:p>
    <w:p>
      <w:pPr>
        <w:ind w:left="5900"/>
        <w:spacing w:after="0"/>
        <w:rPr>
          <w:sz w:val="20"/>
          <w:szCs w:val="20"/>
          <w:color w:val="auto"/>
        </w:rPr>
      </w:pPr>
      <w:r>
        <w:rPr>
          <w:rFonts w:ascii="Arial" w:cs="Arial" w:eastAsia="Arial" w:hAnsi="Arial"/>
          <w:sz w:val="16"/>
          <w:szCs w:val="16"/>
          <w:b w:val="1"/>
          <w:bCs w:val="1"/>
          <w:color w:val="231F20"/>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-12700</wp:posOffset>
            </wp:positionV>
            <wp:extent cx="4639945" cy="49796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39945" cy="4979670"/>
                    </a:xfrm>
                    <a:prstGeom prst="rect">
                      <a:avLst/>
                    </a:prstGeom>
                    <a:noFill/>
                  </pic:spPr>
                </pic:pic>
              </a:graphicData>
            </a:graphic>
          </wp:anchor>
        </w:drawing>
      </w:r>
    </w:p>
    <w:p>
      <w:pPr>
        <w:spacing w:after="0" w:line="2" w:lineRule="exact"/>
        <w:rPr>
          <w:sz w:val="20"/>
          <w:szCs w:val="20"/>
          <w:color w:val="auto"/>
        </w:rPr>
      </w:pPr>
    </w:p>
    <w:p>
      <w:pPr>
        <w:ind w:left="6140"/>
        <w:spacing w:after="0"/>
        <w:tabs>
          <w:tab w:leader="none" w:pos="7300" w:val="left"/>
        </w:tabs>
        <w:rPr>
          <w:sz w:val="20"/>
          <w:szCs w:val="20"/>
          <w:color w:val="auto"/>
        </w:rPr>
      </w:pPr>
      <w:r>
        <w:rPr>
          <w:rFonts w:ascii="Arial" w:cs="Arial" w:eastAsia="Arial" w:hAnsi="Arial"/>
          <w:sz w:val="16"/>
          <w:szCs w:val="16"/>
          <w:b w:val="1"/>
          <w:bCs w:val="1"/>
          <w:color w:val="231F20"/>
        </w:rPr>
        <w:t>Amount</w:t>
      </w:r>
      <w:r>
        <w:rPr>
          <w:sz w:val="20"/>
          <w:szCs w:val="20"/>
          <w:color w:val="auto"/>
        </w:rPr>
        <w:tab/>
      </w:r>
      <w:r>
        <w:rPr>
          <w:rFonts w:ascii="Arial" w:cs="Arial" w:eastAsia="Arial" w:hAnsi="Arial"/>
          <w:sz w:val="16"/>
          <w:szCs w:val="16"/>
          <w:b w:val="1"/>
          <w:bCs w:val="1"/>
          <w:color w:val="231F20"/>
        </w:rPr>
        <w:t>Percent</w:t>
      </w:r>
    </w:p>
    <w:p>
      <w:pPr>
        <w:sectPr>
          <w:pgSz w:w="12240" w:h="15840" w:orient="portrait"/>
          <w:cols w:equalWidth="0" w:num="1">
            <w:col w:w="9360"/>
          </w:cols>
          <w:pgMar w:left="1440" w:top="1440" w:right="1440" w:bottom="390" w:gutter="0" w:footer="0" w:header="0"/>
        </w:sectPr>
      </w:pPr>
    </w:p>
    <w:p>
      <w:pPr>
        <w:spacing w:after="0" w:line="32"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U.S. federal statutory tax rate</w:t>
      </w:r>
    </w:p>
    <w:p>
      <w:pPr>
        <w:spacing w:after="0" w:line="24" w:lineRule="exact"/>
        <w:rPr>
          <w:sz w:val="20"/>
          <w:szCs w:val="20"/>
          <w:color w:val="auto"/>
        </w:rPr>
      </w:pPr>
    </w:p>
    <w:p>
      <w:pPr>
        <w:ind w:left="1040" w:right="340"/>
        <w:spacing w:after="0" w:line="238" w:lineRule="auto"/>
        <w:rPr>
          <w:sz w:val="20"/>
          <w:szCs w:val="20"/>
          <w:color w:val="auto"/>
        </w:rPr>
      </w:pPr>
      <w:r>
        <w:rPr>
          <w:rFonts w:ascii="Arial" w:cs="Arial" w:eastAsia="Arial" w:hAnsi="Arial"/>
          <w:sz w:val="19"/>
          <w:szCs w:val="19"/>
          <w:b w:val="1"/>
          <w:bCs w:val="1"/>
          <w:color w:val="231F20"/>
        </w:rPr>
        <w:t>State and local income taxes, net of federal income tax effect</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Foreign tax effects</w:t>
      </w:r>
    </w:p>
    <w:p>
      <w:pPr>
        <w:spacing w:after="0" w:line="24" w:lineRule="exact"/>
        <w:rPr>
          <w:sz w:val="20"/>
          <w:szCs w:val="20"/>
          <w:color w:val="auto"/>
        </w:rPr>
      </w:pPr>
    </w:p>
    <w:p>
      <w:pPr>
        <w:ind w:left="1040"/>
        <w:spacing w:after="0" w:line="239" w:lineRule="auto"/>
        <w:rPr>
          <w:sz w:val="20"/>
          <w:szCs w:val="20"/>
          <w:color w:val="auto"/>
        </w:rPr>
      </w:pPr>
      <w:r>
        <w:rPr>
          <w:rFonts w:ascii="Arial" w:cs="Arial" w:eastAsia="Arial" w:hAnsi="Arial"/>
          <w:sz w:val="19"/>
          <w:szCs w:val="19"/>
          <w:b w:val="1"/>
          <w:bCs w:val="1"/>
          <w:color w:val="231F20"/>
        </w:rPr>
        <w:t>Effect of changes in tax laws or rates enacted in the current period</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Effect of cross-border tax laws</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Tax credits</w:t>
      </w:r>
    </w:p>
    <w:p>
      <w:pPr>
        <w:spacing w:after="0" w:line="24" w:lineRule="exact"/>
        <w:rPr>
          <w:sz w:val="20"/>
          <w:szCs w:val="20"/>
          <w:color w:val="auto"/>
        </w:rPr>
      </w:pPr>
    </w:p>
    <w:p>
      <w:pPr>
        <w:ind w:left="1040" w:right="1300"/>
        <w:spacing w:after="0" w:line="257" w:lineRule="auto"/>
        <w:rPr>
          <w:sz w:val="20"/>
          <w:szCs w:val="20"/>
          <w:color w:val="auto"/>
        </w:rPr>
      </w:pPr>
      <w:r>
        <w:rPr>
          <w:rFonts w:ascii="Arial" w:cs="Arial" w:eastAsia="Arial" w:hAnsi="Arial"/>
          <w:sz w:val="19"/>
          <w:szCs w:val="19"/>
          <w:b w:val="1"/>
          <w:bCs w:val="1"/>
          <w:color w:val="231F20"/>
        </w:rPr>
        <w:t>Change in valuation allowance Nontaxable or nondeductible items Change in fair value of warrant liabilities Other</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Changes in unrecognized tax benefits</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Other</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231F20"/>
        </w:rPr>
        <w:t>Effective tax rate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500" w:val="left"/>
          <w:tab w:leader="none" w:pos="1660" w:val="left"/>
        </w:tabs>
        <w:rPr>
          <w:sz w:val="20"/>
          <w:szCs w:val="20"/>
          <w:color w:val="auto"/>
        </w:rPr>
      </w:pPr>
      <w:r>
        <w:rPr>
          <w:rFonts w:ascii="Arial" w:cs="Arial" w:eastAsia="Arial" w:hAnsi="Arial"/>
          <w:sz w:val="19"/>
          <w:szCs w:val="19"/>
          <w:b w:val="1"/>
          <w:bCs w:val="1"/>
          <w:color w:val="231F20"/>
        </w:rPr>
        <w:t>$</w:t>
      </w:r>
      <w:r>
        <w:rPr>
          <w:sz w:val="20"/>
          <w:szCs w:val="20"/>
          <w:color w:val="auto"/>
        </w:rPr>
        <w:tab/>
      </w:r>
      <w:r>
        <w:rPr>
          <w:rFonts w:ascii="Arial" w:cs="Arial" w:eastAsia="Arial" w:hAnsi="Arial"/>
          <w:sz w:val="19"/>
          <w:szCs w:val="19"/>
          <w:b w:val="1"/>
          <w:bCs w:val="1"/>
          <w:color w:val="231F20"/>
        </w:rPr>
        <w:t>(7,199)</w:t>
      </w:r>
      <w:r>
        <w:rPr>
          <w:sz w:val="20"/>
          <w:szCs w:val="20"/>
          <w:color w:val="auto"/>
        </w:rPr>
        <w:tab/>
      </w:r>
      <w:r>
        <w:rPr>
          <w:rFonts w:ascii="Arial" w:cs="Arial" w:eastAsia="Arial" w:hAnsi="Arial"/>
          <w:sz w:val="18"/>
          <w:szCs w:val="18"/>
          <w:b w:val="1"/>
          <w:bCs w:val="1"/>
          <w:color w:val="231F20"/>
        </w:rPr>
        <w:t>21.00%</w:t>
      </w:r>
    </w:p>
    <w:p>
      <w:pPr>
        <w:spacing w:after="0" w:line="229" w:lineRule="exact"/>
        <w:rPr>
          <w:sz w:val="20"/>
          <w:szCs w:val="20"/>
          <w:color w:val="auto"/>
        </w:rPr>
      </w:pPr>
    </w:p>
    <w:p>
      <w:pPr>
        <w:ind w:left="1780" w:hanging="950"/>
        <w:spacing w:after="0"/>
        <w:tabs>
          <w:tab w:leader="none" w:pos="178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7" w:lineRule="exact"/>
        <w:rPr>
          <w:rFonts w:ascii="PMingLiU" w:cs="PMingLiU" w:eastAsia="PMingLiU" w:hAnsi="PMingLiU"/>
          <w:sz w:val="19"/>
          <w:szCs w:val="19"/>
          <w:b w:val="1"/>
          <w:bCs w:val="1"/>
          <w:color w:val="231F20"/>
        </w:rPr>
      </w:pPr>
    </w:p>
    <w:p>
      <w:pPr>
        <w:ind w:left="1780" w:hanging="950"/>
        <w:spacing w:after="0"/>
        <w:tabs>
          <w:tab w:leader="none" w:pos="178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230" w:lineRule="exact"/>
        <w:rPr>
          <w:rFonts w:ascii="PMingLiU" w:cs="PMingLiU" w:eastAsia="PMingLiU" w:hAnsi="PMingLiU"/>
          <w:sz w:val="19"/>
          <w:szCs w:val="19"/>
          <w:b w:val="1"/>
          <w:bCs w:val="1"/>
          <w:color w:val="231F20"/>
        </w:rPr>
      </w:pPr>
    </w:p>
    <w:p>
      <w:pPr>
        <w:ind w:left="1780" w:hanging="950"/>
        <w:spacing w:after="0"/>
        <w:tabs>
          <w:tab w:leader="none" w:pos="178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4" w:lineRule="exact"/>
        <w:rPr>
          <w:rFonts w:ascii="PMingLiU" w:cs="PMingLiU" w:eastAsia="PMingLiU" w:hAnsi="PMingLiU"/>
          <w:sz w:val="19"/>
          <w:szCs w:val="19"/>
          <w:b w:val="1"/>
          <w:bCs w:val="1"/>
          <w:color w:val="231F20"/>
        </w:rPr>
      </w:pPr>
    </w:p>
    <w:p>
      <w:pPr>
        <w:ind w:left="1780" w:hanging="950"/>
        <w:spacing w:after="0"/>
        <w:tabs>
          <w:tab w:leader="none" w:pos="178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7" w:lineRule="exact"/>
        <w:rPr>
          <w:rFonts w:ascii="PMingLiU" w:cs="PMingLiU" w:eastAsia="PMingLiU" w:hAnsi="PMingLiU"/>
          <w:sz w:val="19"/>
          <w:szCs w:val="19"/>
          <w:b w:val="1"/>
          <w:bCs w:val="1"/>
          <w:color w:val="231F20"/>
        </w:rPr>
      </w:pPr>
    </w:p>
    <w:p>
      <w:pPr>
        <w:ind w:left="1780" w:hanging="950"/>
        <w:spacing w:after="0"/>
        <w:tabs>
          <w:tab w:leader="none" w:pos="178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19" w:lineRule="exact"/>
        <w:rPr>
          <w:rFonts w:ascii="PMingLiU" w:cs="PMingLiU" w:eastAsia="PMingLiU" w:hAnsi="PMingLiU"/>
          <w:sz w:val="19"/>
          <w:szCs w:val="19"/>
          <w:b w:val="1"/>
          <w:bCs w:val="1"/>
          <w:color w:val="231F20"/>
        </w:rPr>
      </w:pPr>
    </w:p>
    <w:p>
      <w:pPr>
        <w:ind w:left="580"/>
        <w:spacing w:after="0"/>
        <w:rPr>
          <w:rFonts w:ascii="PMingLiU" w:cs="PMingLiU" w:eastAsia="PMingLiU" w:hAnsi="PMingLiU"/>
          <w:sz w:val="19"/>
          <w:szCs w:val="19"/>
          <w:b w:val="1"/>
          <w:bCs w:val="1"/>
          <w:color w:val="231F20"/>
        </w:rPr>
      </w:pPr>
      <w:r>
        <w:rPr>
          <w:rFonts w:ascii="Arial" w:cs="Arial" w:eastAsia="Arial" w:hAnsi="Arial"/>
          <w:sz w:val="19"/>
          <w:szCs w:val="19"/>
          <w:b w:val="1"/>
          <w:bCs w:val="1"/>
          <w:color w:val="231F20"/>
        </w:rPr>
        <w:t>5,112</w:t>
      </w:r>
      <w:r>
        <w:rPr>
          <w:rFonts w:ascii="Arial" w:cs="Arial" w:eastAsia="Arial" w:hAnsi="Arial"/>
          <w:sz w:val="18"/>
          <w:szCs w:val="18"/>
          <w:b w:val="1"/>
          <w:bCs w:val="1"/>
          <w:color w:val="231F20"/>
        </w:rPr>
        <w:t>(14.92)%</w:t>
      </w:r>
    </w:p>
    <w:p>
      <w:pPr>
        <w:spacing w:after="0" w:line="254" w:lineRule="exact"/>
        <w:rPr>
          <w:sz w:val="20"/>
          <w:szCs w:val="20"/>
          <w:color w:val="auto"/>
        </w:rPr>
      </w:pPr>
    </w:p>
    <w:p>
      <w:pPr>
        <w:jc w:val="both"/>
        <w:ind w:left="580"/>
        <w:spacing w:after="0"/>
        <w:tabs>
          <w:tab w:leader="none" w:pos="1700" w:val="left"/>
        </w:tabs>
        <w:rPr>
          <w:sz w:val="20"/>
          <w:szCs w:val="20"/>
          <w:color w:val="auto"/>
        </w:rPr>
      </w:pPr>
      <w:r>
        <w:rPr>
          <w:rFonts w:ascii="Arial" w:cs="Arial" w:eastAsia="Arial" w:hAnsi="Arial"/>
          <w:sz w:val="19"/>
          <w:szCs w:val="19"/>
          <w:b w:val="1"/>
          <w:bCs w:val="1"/>
          <w:color w:val="231F20"/>
        </w:rPr>
        <w:t>2,171</w:t>
      </w:r>
      <w:r>
        <w:rPr>
          <w:sz w:val="20"/>
          <w:szCs w:val="20"/>
          <w:color w:val="auto"/>
        </w:rPr>
        <w:tab/>
      </w:r>
      <w:r>
        <w:rPr>
          <w:rFonts w:ascii="Arial" w:cs="Arial" w:eastAsia="Arial" w:hAnsi="Arial"/>
          <w:sz w:val="19"/>
          <w:szCs w:val="19"/>
          <w:b w:val="1"/>
          <w:bCs w:val="1"/>
          <w:color w:val="231F20"/>
        </w:rPr>
        <w:t>(6.33)%</w:t>
      </w:r>
    </w:p>
    <w:p>
      <w:pPr>
        <w:spacing w:after="0" w:line="17" w:lineRule="exact"/>
        <w:rPr>
          <w:sz w:val="20"/>
          <w:szCs w:val="20"/>
          <w:color w:val="auto"/>
        </w:rPr>
      </w:pPr>
    </w:p>
    <w:p>
      <w:pPr>
        <w:ind w:left="1780" w:hanging="1015"/>
        <w:spacing w:after="0"/>
        <w:tabs>
          <w:tab w:leader="none" w:pos="1780" w:val="left"/>
        </w:tabs>
        <w:numPr>
          <w:ilvl w:val="0"/>
          <w:numId w:val="70"/>
        </w:numPr>
        <w:rPr>
          <w:rFonts w:ascii="Arial" w:cs="Arial" w:eastAsia="Arial" w:hAnsi="Arial"/>
          <w:sz w:val="19"/>
          <w:szCs w:val="19"/>
          <w:b w:val="1"/>
          <w:bCs w:val="1"/>
          <w:color w:val="231F20"/>
        </w:rPr>
      </w:pPr>
      <w:r>
        <w:rPr>
          <w:rFonts w:ascii="Arial" w:cs="Arial" w:eastAsia="Arial" w:hAnsi="Arial"/>
          <w:sz w:val="19"/>
          <w:szCs w:val="19"/>
          <w:b w:val="1"/>
          <w:bCs w:val="1"/>
          <w:color w:val="231F20"/>
        </w:rPr>
        <w:t>0.25%</w:t>
      </w:r>
    </w:p>
    <w:p>
      <w:pPr>
        <w:spacing w:after="0" w:line="7" w:lineRule="exact"/>
        <w:rPr>
          <w:sz w:val="20"/>
          <w:szCs w:val="20"/>
          <w:color w:val="auto"/>
        </w:rPr>
      </w:pPr>
    </w:p>
    <w:p>
      <w:pPr>
        <w:ind w:left="1780" w:hanging="950"/>
        <w:spacing w:after="0"/>
        <w:tabs>
          <w:tab w:leader="none" w:pos="1780" w:val="left"/>
        </w:tabs>
        <w:numPr>
          <w:ilvl w:val="0"/>
          <w:numId w:val="7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7" w:lineRule="exact"/>
        <w:rPr>
          <w:rFonts w:ascii="PMingLiU" w:cs="PMingLiU" w:eastAsia="PMingLiU" w:hAnsi="PMingLiU"/>
          <w:sz w:val="19"/>
          <w:szCs w:val="19"/>
          <w:b w:val="1"/>
          <w:bCs w:val="1"/>
          <w:color w:val="231F20"/>
        </w:rPr>
      </w:pPr>
    </w:p>
    <w:p>
      <w:pPr>
        <w:ind w:left="1780" w:hanging="950"/>
        <w:spacing w:after="0"/>
        <w:tabs>
          <w:tab w:leader="none" w:pos="1780" w:val="left"/>
        </w:tabs>
        <w:numPr>
          <w:ilvl w:val="0"/>
          <w:numId w:val="71"/>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0.00%</w:t>
      </w:r>
    </w:p>
    <w:p>
      <w:pPr>
        <w:spacing w:after="0" w:line="19" w:lineRule="exact"/>
        <w:rPr>
          <w:sz w:val="20"/>
          <w:szCs w:val="20"/>
          <w:color w:val="auto"/>
        </w:rPr>
      </w:pPr>
    </w:p>
    <w:p>
      <w:pPr>
        <w:spacing w:after="0" w:line="231" w:lineRule="exact"/>
        <w:tabs>
          <w:tab w:leader="none" w:pos="800" w:val="left"/>
          <w:tab w:leader="none" w:pos="1700" w:val="left"/>
        </w:tabs>
        <w:rPr>
          <w:sz w:val="20"/>
          <w:szCs w:val="20"/>
          <w:color w:val="auto"/>
        </w:rPr>
      </w:pPr>
      <w:r>
        <w:rPr>
          <w:rFonts w:ascii="Arial" w:cs="Arial" w:eastAsia="Arial" w:hAnsi="Arial"/>
          <w:sz w:val="19"/>
          <w:szCs w:val="19"/>
          <w:b w:val="1"/>
          <w:bCs w:val="1"/>
          <w:color w:val="231F20"/>
        </w:rPr>
        <w:t>$</w:t>
      </w:r>
      <w:r>
        <w:rPr>
          <w:sz w:val="20"/>
          <w:szCs w:val="20"/>
          <w:color w:val="auto"/>
        </w:rPr>
        <w:tab/>
      </w:r>
      <w:r>
        <w:rPr>
          <w:rFonts w:ascii="PMingLiU" w:cs="PMingLiU" w:eastAsia="PMingLiU" w:hAnsi="PMingLiU"/>
          <w:sz w:val="19"/>
          <w:szCs w:val="19"/>
          <w:b w:val="1"/>
          <w:bCs w:val="1"/>
          <w:color w:val="231F20"/>
        </w:rPr>
        <w:t></w:t>
      </w:r>
      <w:r>
        <w:rPr>
          <w:sz w:val="20"/>
          <w:szCs w:val="20"/>
          <w:color w:val="auto"/>
        </w:rPr>
        <w:tab/>
      </w:r>
      <w:r>
        <w:rPr>
          <w:rFonts w:ascii="Arial" w:cs="Arial" w:eastAsia="Arial" w:hAnsi="Arial"/>
          <w:sz w:val="18"/>
          <w:szCs w:val="18"/>
          <w:b w:val="1"/>
          <w:bCs w:val="1"/>
          <w:color w:val="231F20"/>
        </w:rPr>
        <w:t>(0.00)%</w:t>
      </w:r>
    </w:p>
    <w:p>
      <w:pPr>
        <w:spacing w:after="0" w:line="200" w:lineRule="exact"/>
        <w:rPr>
          <w:sz w:val="20"/>
          <w:szCs w:val="20"/>
          <w:color w:val="auto"/>
        </w:rPr>
      </w:pPr>
    </w:p>
    <w:p>
      <w:pPr>
        <w:sectPr>
          <w:pgSz w:w="12240" w:h="15840" w:orient="portrait"/>
          <w:cols w:equalWidth="0" w:num="2">
            <w:col w:w="5640" w:space="260"/>
            <w:col w:w="3460"/>
          </w:cols>
          <w:pgMar w:left="1440" w:top="1440" w:right="1440" w:bottom="390" w:gutter="0" w:footer="0" w:header="0"/>
          <w:type w:val="continuous"/>
        </w:sectPr>
      </w:pPr>
    </w:p>
    <w:p>
      <w:pPr>
        <w:spacing w:after="0" w:line="76"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9"/>
          <w:szCs w:val="19"/>
          <w:b w:val="1"/>
          <w:bCs w:val="1"/>
          <w:color w:val="231F20"/>
        </w:rPr>
        <w:t>A reconciliation of the income tax provision computed using the U.S. statutory federal income tax rate compared to the income tax provision included in the statements of operations in accordance with guidance prior to ASU 2023-09 is as follows:</w:t>
      </w:r>
    </w:p>
    <w:p>
      <w:pPr>
        <w:spacing w:after="0" w:line="12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jc w:val="center"/>
              <w:ind w:right="108"/>
              <w:spacing w:after="0"/>
              <w:rPr>
                <w:sz w:val="20"/>
                <w:szCs w:val="20"/>
                <w:color w:val="auto"/>
              </w:rPr>
            </w:pPr>
            <w:r>
              <w:rPr>
                <w:rFonts w:ascii="Arial" w:cs="Arial" w:eastAsia="Arial" w:hAnsi="Arial"/>
                <w:sz w:val="16"/>
                <w:szCs w:val="16"/>
                <w:b w:val="1"/>
                <w:bCs w:val="1"/>
                <w:color w:val="231F20"/>
                <w:w w:val="90"/>
              </w:rPr>
              <w:t>Year Ended</w:t>
            </w:r>
          </w:p>
        </w:tc>
      </w:tr>
      <w:tr>
        <w:trPr>
          <w:trHeight w:val="180"/>
        </w:trPr>
        <w:tc>
          <w:tcPr>
            <w:tcW w:w="4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jc w:val="center"/>
              <w:ind w:right="88"/>
              <w:spacing w:after="0" w:line="180" w:lineRule="exact"/>
              <w:rPr>
                <w:sz w:val="20"/>
                <w:szCs w:val="20"/>
                <w:color w:val="auto"/>
              </w:rPr>
            </w:pPr>
            <w:r>
              <w:rPr>
                <w:rFonts w:ascii="Arial" w:cs="Arial" w:eastAsia="Arial" w:hAnsi="Arial"/>
                <w:sz w:val="16"/>
                <w:szCs w:val="16"/>
                <w:b w:val="1"/>
                <w:bCs w:val="1"/>
                <w:color w:val="231F20"/>
                <w:w w:val="86"/>
              </w:rPr>
              <w:t>December 31,</w:t>
            </w:r>
          </w:p>
        </w:tc>
      </w:tr>
      <w:tr>
        <w:trPr>
          <w:trHeight w:val="192"/>
        </w:trPr>
        <w:tc>
          <w:tcPr>
            <w:tcW w:w="4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231F20"/>
                <w:w w:val="84"/>
              </w:rPr>
              <w:t>2024</w:t>
            </w:r>
          </w:p>
        </w:tc>
      </w:tr>
      <w:tr>
        <w:trPr>
          <w:trHeight w:val="251"/>
        </w:trPr>
        <w:tc>
          <w:tcPr>
            <w:tcW w:w="4560" w:type="dxa"/>
            <w:vAlign w:val="bottom"/>
          </w:tcPr>
          <w:p>
            <w:pPr>
              <w:spacing w:after="0"/>
              <w:rPr>
                <w:sz w:val="20"/>
                <w:szCs w:val="20"/>
                <w:color w:val="auto"/>
              </w:rPr>
            </w:pPr>
            <w:r>
              <w:rPr>
                <w:rFonts w:ascii="Arial" w:cs="Arial" w:eastAsia="Arial" w:hAnsi="Arial"/>
                <w:sz w:val="19"/>
                <w:szCs w:val="19"/>
                <w:b w:val="1"/>
                <w:bCs w:val="1"/>
                <w:color w:val="231F20"/>
                <w:w w:val="98"/>
              </w:rPr>
              <w:t>Tax at U.S. statutory rate on income before income</w:t>
            </w: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3"/>
        </w:trPr>
        <w:tc>
          <w:tcPr>
            <w:tcW w:w="4560" w:type="dxa"/>
            <w:vAlign w:val="bottom"/>
          </w:tcPr>
          <w:p>
            <w:pPr>
              <w:ind w:left="140"/>
              <w:spacing w:after="0"/>
              <w:rPr>
                <w:sz w:val="20"/>
                <w:szCs w:val="20"/>
                <w:color w:val="auto"/>
              </w:rPr>
            </w:pPr>
            <w:r>
              <w:rPr>
                <w:rFonts w:ascii="Arial" w:cs="Arial" w:eastAsia="Arial" w:hAnsi="Arial"/>
                <w:sz w:val="19"/>
                <w:szCs w:val="19"/>
                <w:b w:val="1"/>
                <w:bCs w:val="1"/>
                <w:color w:val="231F20"/>
              </w:rPr>
              <w:t>taxes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(6,595)</w:t>
            </w:r>
          </w:p>
        </w:tc>
      </w:tr>
      <w:tr>
        <w:trPr>
          <w:trHeight w:val="235"/>
        </w:trPr>
        <w:tc>
          <w:tcPr>
            <w:tcW w:w="4560" w:type="dxa"/>
            <w:vAlign w:val="bottom"/>
          </w:tcPr>
          <w:p>
            <w:pPr>
              <w:spacing w:after="0"/>
              <w:rPr>
                <w:sz w:val="20"/>
                <w:szCs w:val="20"/>
                <w:color w:val="auto"/>
              </w:rPr>
            </w:pPr>
            <w:r>
              <w:rPr>
                <w:rFonts w:ascii="Arial" w:cs="Arial" w:eastAsia="Arial" w:hAnsi="Arial"/>
                <w:sz w:val="19"/>
                <w:szCs w:val="19"/>
                <w:b w:val="1"/>
                <w:bCs w:val="1"/>
                <w:color w:val="231F20"/>
              </w:rPr>
              <w:t>Change in valuation allowance</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2,404</w:t>
            </w:r>
          </w:p>
        </w:tc>
      </w:tr>
      <w:tr>
        <w:trPr>
          <w:trHeight w:val="238"/>
        </w:trPr>
        <w:tc>
          <w:tcPr>
            <w:tcW w:w="4560" w:type="dxa"/>
            <w:vAlign w:val="bottom"/>
          </w:tcPr>
          <w:p>
            <w:pPr>
              <w:spacing w:after="0"/>
              <w:rPr>
                <w:sz w:val="20"/>
                <w:szCs w:val="20"/>
                <w:color w:val="auto"/>
              </w:rPr>
            </w:pPr>
            <w:r>
              <w:rPr>
                <w:rFonts w:ascii="Arial" w:cs="Arial" w:eastAsia="Arial" w:hAnsi="Arial"/>
                <w:sz w:val="19"/>
                <w:szCs w:val="19"/>
                <w:b w:val="1"/>
                <w:bCs w:val="1"/>
                <w:color w:val="231F20"/>
              </w:rPr>
              <w:t>State taxes</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(503)</w:t>
            </w:r>
          </w:p>
        </w:tc>
      </w:tr>
      <w:tr>
        <w:trPr>
          <w:trHeight w:val="238"/>
        </w:trPr>
        <w:tc>
          <w:tcPr>
            <w:tcW w:w="4560" w:type="dxa"/>
            <w:vAlign w:val="bottom"/>
          </w:tcPr>
          <w:p>
            <w:pPr>
              <w:spacing w:after="0"/>
              <w:rPr>
                <w:sz w:val="20"/>
                <w:szCs w:val="20"/>
                <w:color w:val="auto"/>
              </w:rPr>
            </w:pPr>
            <w:r>
              <w:rPr>
                <w:rFonts w:ascii="Arial" w:cs="Arial" w:eastAsia="Arial" w:hAnsi="Arial"/>
                <w:sz w:val="19"/>
                <w:szCs w:val="19"/>
                <w:b w:val="1"/>
                <w:bCs w:val="1"/>
                <w:color w:val="231F20"/>
              </w:rPr>
              <w:t>Section 162(m)</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69</w:t>
            </w:r>
          </w:p>
        </w:tc>
      </w:tr>
      <w:tr>
        <w:trPr>
          <w:trHeight w:val="235"/>
        </w:trPr>
        <w:tc>
          <w:tcPr>
            <w:tcW w:w="4560" w:type="dxa"/>
            <w:vAlign w:val="bottom"/>
          </w:tcPr>
          <w:p>
            <w:pPr>
              <w:spacing w:after="0"/>
              <w:rPr>
                <w:sz w:val="20"/>
                <w:szCs w:val="20"/>
                <w:color w:val="auto"/>
              </w:rPr>
            </w:pPr>
            <w:r>
              <w:rPr>
                <w:rFonts w:ascii="Arial" w:cs="Arial" w:eastAsia="Arial" w:hAnsi="Arial"/>
                <w:sz w:val="19"/>
                <w:szCs w:val="19"/>
                <w:b w:val="1"/>
                <w:bCs w:val="1"/>
                <w:color w:val="231F20"/>
              </w:rPr>
              <w:t>Stock-based compensation</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93</w:t>
            </w:r>
          </w:p>
        </w:tc>
      </w:tr>
      <w:tr>
        <w:trPr>
          <w:trHeight w:val="238"/>
        </w:trPr>
        <w:tc>
          <w:tcPr>
            <w:tcW w:w="4560" w:type="dxa"/>
            <w:vAlign w:val="bottom"/>
          </w:tcPr>
          <w:p>
            <w:pPr>
              <w:spacing w:after="0"/>
              <w:rPr>
                <w:sz w:val="20"/>
                <w:szCs w:val="20"/>
                <w:color w:val="auto"/>
              </w:rPr>
            </w:pPr>
            <w:r>
              <w:rPr>
                <w:rFonts w:ascii="Arial" w:cs="Arial" w:eastAsia="Arial" w:hAnsi="Arial"/>
                <w:sz w:val="19"/>
                <w:szCs w:val="19"/>
                <w:b w:val="1"/>
                <w:bCs w:val="1"/>
                <w:color w:val="231F20"/>
              </w:rPr>
              <w:t>Deferred adjustment</w:t>
            </w:r>
          </w:p>
        </w:tc>
        <w:tc>
          <w:tcPr>
            <w:tcW w:w="700" w:type="dxa"/>
            <w:vAlign w:val="bottom"/>
          </w:tcPr>
          <w:p>
            <w:pPr>
              <w:spacing w:after="0"/>
              <w:rPr>
                <w:sz w:val="20"/>
                <w:szCs w:val="20"/>
                <w:color w:val="auto"/>
              </w:rPr>
            </w:pP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8"/>
        </w:trPr>
        <w:tc>
          <w:tcPr>
            <w:tcW w:w="4560" w:type="dxa"/>
            <w:vAlign w:val="bottom"/>
          </w:tcPr>
          <w:p>
            <w:pPr>
              <w:spacing w:after="0"/>
              <w:rPr>
                <w:sz w:val="20"/>
                <w:szCs w:val="20"/>
                <w:color w:val="auto"/>
              </w:rPr>
            </w:pPr>
            <w:r>
              <w:rPr>
                <w:rFonts w:ascii="Arial" w:cs="Arial" w:eastAsia="Arial" w:hAnsi="Arial"/>
                <w:sz w:val="19"/>
                <w:szCs w:val="19"/>
                <w:b w:val="1"/>
                <w:bCs w:val="1"/>
                <w:color w:val="231F20"/>
              </w:rPr>
              <w:t>Warrant expense</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4,494</w:t>
            </w:r>
          </w:p>
        </w:tc>
      </w:tr>
      <w:tr>
        <w:trPr>
          <w:trHeight w:val="235"/>
        </w:trPr>
        <w:tc>
          <w:tcPr>
            <w:tcW w:w="4560" w:type="dxa"/>
            <w:vAlign w:val="bottom"/>
          </w:tcPr>
          <w:p>
            <w:pPr>
              <w:spacing w:after="0"/>
              <w:rPr>
                <w:sz w:val="20"/>
                <w:szCs w:val="20"/>
                <w:color w:val="auto"/>
              </w:rPr>
            </w:pPr>
            <w:r>
              <w:rPr>
                <w:rFonts w:ascii="Arial" w:cs="Arial" w:eastAsia="Arial" w:hAnsi="Arial"/>
                <w:sz w:val="19"/>
                <w:szCs w:val="19"/>
                <w:b w:val="1"/>
                <w:bCs w:val="1"/>
                <w:color w:val="231F20"/>
              </w:rPr>
              <w:t>Other</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231F20"/>
              </w:rPr>
              <w:t>38</w:t>
            </w:r>
          </w:p>
        </w:tc>
      </w:tr>
      <w:tr>
        <w:trPr>
          <w:trHeight w:val="252"/>
        </w:trPr>
        <w:tc>
          <w:tcPr>
            <w:tcW w:w="456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bl>
    <w:p>
      <w:pPr>
        <w:spacing w:after="0" w:line="322" w:lineRule="exact"/>
        <w:rPr>
          <w:sz w:val="20"/>
          <w:szCs w:val="20"/>
          <w:color w:val="auto"/>
        </w:rPr>
      </w:pPr>
    </w:p>
    <w:p>
      <w:pPr>
        <w:ind w:left="140" w:right="140"/>
        <w:spacing w:after="0" w:line="329" w:lineRule="auto"/>
        <w:rPr>
          <w:sz w:val="20"/>
          <w:szCs w:val="20"/>
          <w:color w:val="auto"/>
        </w:rPr>
      </w:pPr>
      <w:r>
        <w:rPr>
          <w:rFonts w:ascii="Arial" w:cs="Arial" w:eastAsia="Arial" w:hAnsi="Arial"/>
          <w:sz w:val="16"/>
          <w:szCs w:val="16"/>
          <w:b w:val="1"/>
          <w:bCs w:val="1"/>
          <w:color w:val="231F20"/>
        </w:rPr>
        <w:t>Deferred tax assets and liabilities are determined based on the differences between financial reporting and income tax bases of assets and liabilities, as well as net operating loss carryforwards, and are measured using the enacted tax</w:t>
      </w:r>
    </w:p>
    <w:p>
      <w:pPr>
        <w:sectPr>
          <w:pgSz w:w="12240" w:h="15840" w:orient="portrait"/>
          <w:cols w:equalWidth="0" w:num="1">
            <w:col w:w="9360"/>
          </w:cols>
          <w:pgMar w:left="1440" w:top="1440" w:right="1440" w:bottom="3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F-32</w:t>
      </w:r>
    </w:p>
    <w:p>
      <w:pPr>
        <w:sectPr>
          <w:pgSz w:w="12240" w:h="15840" w:orient="portrait"/>
          <w:cols w:equalWidth="0" w:num="1">
            <w:col w:w="9360"/>
          </w:cols>
          <w:pgMar w:left="1440" w:top="1440" w:right="1440" w:bottom="390" w:gutter="0" w:footer="0" w:header="0"/>
          <w:type w:val="continuous"/>
        </w:sectPr>
      </w:pPr>
    </w:p>
    <w:bookmarkStart w:id="134" w:name="page135"/>
    <w:bookmarkEnd w:id="134"/>
    <w:p>
      <w:pPr>
        <w:spacing w:after="0" w:line="343"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rates and laws in effect when the differences are expected to reverse. The significant components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net deferred tax assets and liabilities are as follows:</w:t>
      </w:r>
    </w:p>
    <w:p>
      <w:pPr>
        <w:spacing w:after="0" w:line="128"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231F20"/>
                <w:w w:val="89"/>
              </w:rPr>
              <w:t>Year Ended December 31,</w:t>
            </w:r>
          </w:p>
        </w:tc>
      </w:tr>
      <w:tr>
        <w:trPr>
          <w:trHeight w:val="194"/>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45"/>
              <w:spacing w:after="0"/>
              <w:rPr>
                <w:sz w:val="20"/>
                <w:szCs w:val="20"/>
                <w:color w:val="auto"/>
              </w:rPr>
            </w:pPr>
            <w:r>
              <w:rPr>
                <w:rFonts w:ascii="Arial" w:cs="Arial" w:eastAsia="Arial" w:hAnsi="Arial"/>
                <w:sz w:val="16"/>
                <w:szCs w:val="16"/>
                <w:b w:val="1"/>
                <w:bCs w:val="1"/>
                <w:color w:val="231F20"/>
              </w:rPr>
              <w:t>2025</w:t>
            </w:r>
          </w:p>
        </w:tc>
        <w:tc>
          <w:tcPr>
            <w:tcW w:w="26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6"/>
                <w:szCs w:val="16"/>
                <w:b w:val="1"/>
                <w:bCs w:val="1"/>
                <w:color w:val="231F20"/>
              </w:rPr>
              <w:t>2024</w:t>
            </w:r>
          </w:p>
        </w:tc>
      </w:tr>
      <w:tr>
        <w:trPr>
          <w:trHeight w:val="236"/>
        </w:trPr>
        <w:tc>
          <w:tcPr>
            <w:tcW w:w="4140" w:type="dxa"/>
            <w:vAlign w:val="bottom"/>
          </w:tcPr>
          <w:p>
            <w:pPr>
              <w:spacing w:after="0"/>
              <w:rPr>
                <w:sz w:val="20"/>
                <w:szCs w:val="20"/>
                <w:color w:val="auto"/>
              </w:rPr>
            </w:pPr>
            <w:r>
              <w:rPr>
                <w:rFonts w:ascii="Arial" w:cs="Arial" w:eastAsia="Arial" w:hAnsi="Arial"/>
                <w:sz w:val="19"/>
                <w:szCs w:val="19"/>
                <w:b w:val="1"/>
                <w:bCs w:val="1"/>
                <w:color w:val="231F20"/>
              </w:rPr>
              <w:t>Deferred tax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Net operating loss carryforwards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5,888</w:t>
            </w:r>
          </w:p>
        </w:tc>
        <w:tc>
          <w:tcPr>
            <w:tcW w:w="26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2,686</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w w:val="95"/>
              </w:rPr>
              <w:t>Net operating loss carryforwards - Section 382</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limited</w:t>
            </w:r>
          </w:p>
        </w:tc>
        <w:tc>
          <w:tcPr>
            <w:tcW w:w="22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7,138</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6,686</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Intangible assets</w:t>
            </w:r>
          </w:p>
        </w:tc>
        <w:tc>
          <w:tcPr>
            <w:tcW w:w="22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5,667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6,155</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w w:val="95"/>
              </w:rPr>
              <w:t>Capitalization of research and experimentation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expenses</w:t>
            </w:r>
          </w:p>
        </w:tc>
        <w:tc>
          <w:tcPr>
            <w:tcW w:w="22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2,392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3,514</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Stock-based compensation</w:t>
            </w:r>
          </w:p>
        </w:tc>
        <w:tc>
          <w:tcPr>
            <w:tcW w:w="22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1,185</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950</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Acquisition-related costs</w:t>
            </w:r>
          </w:p>
        </w:tc>
        <w:tc>
          <w:tcPr>
            <w:tcW w:w="22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4,213</w:t>
            </w:r>
          </w:p>
        </w:tc>
        <w:tc>
          <w:tcPr>
            <w:tcW w:w="26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Other</w:t>
            </w:r>
          </w:p>
        </w:tc>
        <w:tc>
          <w:tcPr>
            <w:tcW w:w="22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1,650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1,646</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Total deferred tax assets</w:t>
            </w:r>
          </w:p>
        </w:tc>
        <w:tc>
          <w:tcPr>
            <w:tcW w:w="220" w:type="dxa"/>
            <w:vAlign w:val="bottom"/>
          </w:tcPr>
          <w:p>
            <w:pPr>
              <w:spacing w:after="0"/>
              <w:rPr>
                <w:sz w:val="20"/>
                <w:szCs w:val="20"/>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28,133</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21,637</w:t>
            </w:r>
          </w:p>
        </w:tc>
      </w:tr>
      <w:tr>
        <w:trPr>
          <w:trHeight w:val="223"/>
        </w:trPr>
        <w:tc>
          <w:tcPr>
            <w:tcW w:w="4140" w:type="dxa"/>
            <w:vAlign w:val="bottom"/>
          </w:tcPr>
          <w:p>
            <w:pPr>
              <w:spacing w:after="0"/>
              <w:rPr>
                <w:sz w:val="20"/>
                <w:szCs w:val="20"/>
                <w:color w:val="auto"/>
              </w:rPr>
            </w:pPr>
            <w:r>
              <w:rPr>
                <w:rFonts w:ascii="Arial" w:cs="Arial" w:eastAsia="Arial" w:hAnsi="Arial"/>
                <w:sz w:val="19"/>
                <w:szCs w:val="19"/>
                <w:b w:val="1"/>
                <w:bCs w:val="1"/>
                <w:color w:val="231F20"/>
              </w:rPr>
              <w:t>Valuation allowance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(26,142)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(20,275)</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w w:val="87"/>
              </w:rPr>
              <w:t>Total deferred tax assets, net of valuation allowance</w:t>
            </w:r>
          </w:p>
        </w:tc>
        <w:tc>
          <w:tcPr>
            <w:tcW w:w="220" w:type="dxa"/>
            <w:vAlign w:val="bottom"/>
          </w:tcPr>
          <w:p>
            <w:pPr>
              <w:spacing w:after="0"/>
              <w:rPr>
                <w:sz w:val="20"/>
                <w:szCs w:val="20"/>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b w:val="1"/>
                <w:bCs w:val="1"/>
                <w:color w:val="231F20"/>
              </w:rPr>
              <w:t>1,991</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1,362</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Deferred tax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Section 481(a) adjustment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(671)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(678)</w:t>
            </w:r>
          </w:p>
        </w:tc>
      </w:tr>
      <w:tr>
        <w:trPr>
          <w:trHeight w:val="223"/>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Other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(1,320)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(684)</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Total deferred tax liabilities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(1,991)</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231F20"/>
              </w:rPr>
              <w:t>(1,362)</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Net deferred tax assets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200" w:type="dxa"/>
            <w:vAlign w:val="bottom"/>
            <w:gridSpan w:val="2"/>
          </w:tcPr>
          <w:p>
            <w:pPr>
              <w:jc w:val="right"/>
              <w:ind w:right="23"/>
              <w:spacing w:after="0" w:line="231" w:lineRule="exact"/>
              <w:rPr>
                <w:sz w:val="20"/>
                <w:szCs w:val="20"/>
                <w:color w:val="auto"/>
              </w:rPr>
            </w:pP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-2739390</wp:posOffset>
            </wp:positionV>
            <wp:extent cx="4064000" cy="2782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64000" cy="2782570"/>
                    </a:xfrm>
                    <a:prstGeom prst="rect">
                      <a:avLst/>
                    </a:prstGeom>
                    <a:noFill/>
                  </pic:spPr>
                </pic:pic>
              </a:graphicData>
            </a:graphic>
          </wp:anchor>
        </w:drawing>
      </w:r>
    </w:p>
    <w:p>
      <w:pPr>
        <w:spacing w:after="0" w:line="29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Income taxes paid, net of refunds received were not material for the year ended December 31, 2025.</w:t>
      </w:r>
    </w:p>
    <w:p>
      <w:pPr>
        <w:spacing w:after="0" w:line="240"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9"/>
          <w:szCs w:val="19"/>
          <w:b w:val="1"/>
          <w:bCs w:val="1"/>
          <w:color w:val="231F20"/>
        </w:rPr>
        <w:t>The deferred tax assets associated with net operating losses included in the table above for the years ended December 31, 2025 and 2024 reflect the net operating losses the Company generated in previous years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federal and state income tax returns in addition to losses the Company expects to generate on its federal and state income tax returns.</w:t>
      </w:r>
    </w:p>
    <w:p>
      <w:pPr>
        <w:spacing w:after="0" w:line="244" w:lineRule="exact"/>
        <w:rPr>
          <w:sz w:val="20"/>
          <w:szCs w:val="20"/>
          <w:color w:val="auto"/>
        </w:rPr>
      </w:pPr>
    </w:p>
    <w:p>
      <w:pPr>
        <w:jc w:val="both"/>
        <w:ind w:left="140" w:right="140"/>
        <w:spacing w:after="0" w:line="278" w:lineRule="auto"/>
        <w:rPr>
          <w:sz w:val="20"/>
          <w:szCs w:val="20"/>
          <w:color w:val="auto"/>
        </w:rPr>
      </w:pPr>
      <w:r>
        <w:rPr>
          <w:rFonts w:ascii="Arial" w:cs="Arial" w:eastAsia="Arial" w:hAnsi="Arial"/>
          <w:sz w:val="17"/>
          <w:szCs w:val="17"/>
          <w:b w:val="1"/>
          <w:bCs w:val="1"/>
          <w:color w:val="231F20"/>
        </w:rPr>
        <w:t>As of December 31, 2025 and 2024, the Company maintained U.S. federal net operating loss carryforwards of $52,559 and $37,673, respectively. As of December 31, 2025 and 2024, the Company also maintained state net operating loss carryforwards of $36,052 and $26,204, respectively. The U.S. federal net operating losses generated during years ended December 31, 2025 and 2024 (and not Code Section 382 limited; see below) may only be utilized to offset 80% of taxable income annually and may be carried forward indefinitely. Certain of the state net operating loss carryforwards generated will begin expiring in the year 2028, if not utilized.</w:t>
      </w:r>
    </w:p>
    <w:p>
      <w:pPr>
        <w:spacing w:after="0" w:line="213"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Certain of our U.S. federal and state tax attributes are subject to change of ownership limitations provided by the Code and similar state provisions. In general, if the aggregate change in stock ownership of one or more stockholders or groups of stockholders owning at least 5% of a corporation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stock exceeds 50 percentage points (by value) over a rolling three-year period (a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Section 382 ownership change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utilization of such corporation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pre-change NOL and credit carryforwards are subject to an annual limitation. The Company completed a Code Section 382 study through December 31, 2023 and determined that a Section 382 ownership change occurred on May 18, 2023 in connection with the Private Placement. At the time, the Company was in a net unrealized built-in loss position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NUBIL</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The amount of pre-change NOL carryforwards which are subject to this limitation are $25,741.</w:t>
      </w:r>
    </w:p>
    <w:p>
      <w:pPr>
        <w:spacing w:after="0" w:line="24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As of December 31, 2025, the Company determined that it continued to be more likely than not that certain deferred tax assets would not be realized in the near future and maintained a $26,142 valuation allowance against deferred tax assets. The net change in total valuation allowance between the years ended December 31, 2025 and 2024 was an increase of $5,867 and the net change between the years ended December 31, 2024 and 2023 was an increase of $2,404.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determination was based on its review and analysis of all the available evidence as of the balance sheet date, both positive and negative.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F-33</w:t>
      </w:r>
    </w:p>
    <w:p>
      <w:pPr>
        <w:sectPr>
          <w:pgSz w:w="12240" w:h="15840" w:orient="portrait"/>
          <w:cols w:equalWidth="0" w:num="1">
            <w:col w:w="9360"/>
          </w:cols>
          <w:pgMar w:left="1440" w:top="1440" w:right="1440" w:bottom="390" w:gutter="0" w:footer="0" w:header="0"/>
          <w:type w:val="continuous"/>
        </w:sectPr>
      </w:pPr>
    </w:p>
    <w:bookmarkStart w:id="135" w:name="page136"/>
    <w:bookmarkEnd w:id="135"/>
    <w:p>
      <w:pPr>
        <w:spacing w:after="0" w:line="343" w:lineRule="exact"/>
        <w:rPr>
          <w:sz w:val="20"/>
          <w:szCs w:val="20"/>
          <w:color w:val="auto"/>
        </w:rPr>
      </w:pPr>
    </w:p>
    <w:p>
      <w:pPr>
        <w:jc w:val="both"/>
        <w:ind w:left="140" w:right="140"/>
        <w:spacing w:after="0" w:line="243" w:lineRule="auto"/>
        <w:rPr>
          <w:sz w:val="20"/>
          <w:szCs w:val="20"/>
          <w:color w:val="auto"/>
        </w:rPr>
      </w:pPr>
      <w:r>
        <w:rPr>
          <w:rFonts w:ascii="Arial" w:cs="Arial" w:eastAsia="Arial" w:hAnsi="Arial"/>
          <w:sz w:val="19"/>
          <w:szCs w:val="19"/>
          <w:b w:val="1"/>
          <w:bCs w:val="1"/>
          <w:color w:val="231F20"/>
        </w:rPr>
        <w:t>The uncertainty provisions of ASC 740 also require the Company to recognize the impact of a tax position in its financial statements only if the technical merits of that position indicate that the position is more likely than not of being sustained upon audit. During the years ended December 31, 2025 and 2024, the Company did not record a reserve for uncertain tax positions.</w:t>
      </w:r>
    </w:p>
    <w:p>
      <w:pPr>
        <w:spacing w:after="0" w:line="238"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6"/>
          <w:szCs w:val="16"/>
          <w:b w:val="1"/>
          <w:bCs w:val="1"/>
          <w:color w:val="231F20"/>
        </w:rPr>
        <w:t>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income tax returns for periods separate from the consolidation with PDL are subject to examination by U.S. federal, state and local tax authorities for tax years 2021 forward. The Company's separate state and local tax returns are generally not subject to examination by authorities for tax years prior to 2017; however, as we utilize our net operating loss carryforwards, prior years can be subject to examination from 2012 forward. The Company is not currently under examination in any significant tax jurisdictions. Interest and penalties associated with unrecognized tax benefits accrued on the balance sheet were $0 as of December 31, 2025 and 2024.</w:t>
      </w:r>
    </w:p>
    <w:p>
      <w:pPr>
        <w:spacing w:after="0" w:line="24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The 2017 Tax Cuts and Jobs Act required taxpayers to capitalize research and experimental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R&amp;E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expenditures effective for taxable years beginning after December 31, 2021. R&amp;E expenditures attributable to U.S.-based research were required to be amortized over a period of 5 years and R&amp;E expenditures attributable to research conducted outside of the U.S. were required to be amortized over a period of 15 years. On July 4, 2025, new U.S. tax legislation was signed into law (known as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One Big Beautiful Bill Act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which generally allows taxpayers to</w:t>
      </w:r>
    </w:p>
    <w:p>
      <w:pPr>
        <w:spacing w:after="0" w:line="12" w:lineRule="exact"/>
        <w:rPr>
          <w:sz w:val="20"/>
          <w:szCs w:val="20"/>
          <w:color w:val="auto"/>
        </w:rPr>
      </w:pPr>
    </w:p>
    <w:p>
      <w:pPr>
        <w:jc w:val="both"/>
        <w:ind w:left="140" w:right="140" w:firstLine="2"/>
        <w:spacing w:after="0" w:line="303" w:lineRule="auto"/>
        <w:tabs>
          <w:tab w:leader="none" w:pos="412" w:val="left"/>
        </w:tabs>
        <w:numPr>
          <w:ilvl w:val="0"/>
          <w:numId w:val="72"/>
        </w:numPr>
        <w:rPr>
          <w:rFonts w:ascii="Arial" w:cs="Arial" w:eastAsia="Arial" w:hAnsi="Arial"/>
          <w:sz w:val="16"/>
          <w:szCs w:val="16"/>
          <w:b w:val="1"/>
          <w:bCs w:val="1"/>
          <w:color w:val="231F20"/>
        </w:rPr>
      </w:pPr>
      <w:r>
        <w:rPr>
          <w:rFonts w:ascii="Arial" w:cs="Arial" w:eastAsia="Arial" w:hAnsi="Arial"/>
          <w:sz w:val="16"/>
          <w:szCs w:val="16"/>
          <w:b w:val="1"/>
          <w:bCs w:val="1"/>
          <w:color w:val="231F20"/>
        </w:rPr>
        <w:t>immediately deduct R&amp;E expenditures attributable to U.S.-based research paid or incurred in taxable years beginning after December 31, 2024 and (ii) elect to accelerate, over a period of one or two years, any unamortized R&amp;E expenditures attributable to U.S.-based research incurred in taxable years beginning after December 31, 2021 and before January 1, 2025. These tax law changes have not had a material impact on the financial statements.</w:t>
      </w:r>
    </w:p>
    <w:p>
      <w:pPr>
        <w:spacing w:after="0" w:line="30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16. Net Loss per Share</w:t>
      </w:r>
    </w:p>
    <w:p>
      <w:pPr>
        <w:spacing w:after="0" w:line="128"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9"/>
          <w:szCs w:val="19"/>
          <w:b w:val="1"/>
          <w:bCs w:val="1"/>
          <w:color w:val="231F20"/>
        </w:rPr>
        <w:t>The following is a reconciliation of the numerator (net loss) and the denominator (number of shares) used in the basic and diluted net loss per share calculations:</w:t>
      </w:r>
    </w:p>
    <w:p>
      <w:pPr>
        <w:spacing w:after="0" w:line="14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128"/>
              <w:spacing w:after="0"/>
              <w:rPr>
                <w:sz w:val="20"/>
                <w:szCs w:val="20"/>
                <w:color w:val="auto"/>
              </w:rPr>
            </w:pPr>
            <w:r>
              <w:rPr>
                <w:rFonts w:ascii="Arial" w:cs="Arial" w:eastAsia="Arial" w:hAnsi="Arial"/>
                <w:sz w:val="16"/>
                <w:szCs w:val="16"/>
                <w:b w:val="1"/>
                <w:bCs w:val="1"/>
                <w:color w:val="231F20"/>
                <w:w w:val="88"/>
              </w:rPr>
              <w:t>Year Ended December 31,</w:t>
            </w:r>
          </w:p>
        </w:tc>
      </w:tr>
      <w:tr>
        <w:trPr>
          <w:trHeight w:val="206"/>
        </w:trPr>
        <w:tc>
          <w:tcPr>
            <w:tcW w:w="3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50"/>
              <w:spacing w:after="0"/>
              <w:rPr>
                <w:sz w:val="20"/>
                <w:szCs w:val="20"/>
                <w:color w:val="auto"/>
              </w:rPr>
            </w:pPr>
            <w:r>
              <w:rPr>
                <w:rFonts w:ascii="Arial" w:cs="Arial" w:eastAsia="Arial" w:hAnsi="Arial"/>
                <w:sz w:val="16"/>
                <w:szCs w:val="16"/>
                <w:b w:val="1"/>
                <w:bCs w:val="1"/>
                <w:color w:val="231F20"/>
              </w:rPr>
              <w:t>2025</w:t>
            </w:r>
          </w:p>
        </w:tc>
        <w:tc>
          <w:tcPr>
            <w:tcW w:w="24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6"/>
                <w:szCs w:val="16"/>
                <w:b w:val="1"/>
                <w:bCs w:val="1"/>
                <w:color w:val="231F20"/>
              </w:rPr>
              <w:t>2024</w:t>
            </w:r>
          </w:p>
        </w:tc>
      </w:tr>
      <w:tr>
        <w:trPr>
          <w:trHeight w:val="250"/>
        </w:trPr>
        <w:tc>
          <w:tcPr>
            <w:tcW w:w="3980" w:type="dxa"/>
            <w:vAlign w:val="bottom"/>
          </w:tcPr>
          <w:p>
            <w:pPr>
              <w:spacing w:after="0"/>
              <w:rPr>
                <w:sz w:val="20"/>
                <w:szCs w:val="20"/>
                <w:color w:val="auto"/>
              </w:rPr>
            </w:pPr>
            <w:r>
              <w:rPr>
                <w:rFonts w:ascii="Arial" w:cs="Arial" w:eastAsia="Arial" w:hAnsi="Arial"/>
                <w:sz w:val="19"/>
                <w:szCs w:val="19"/>
                <w:b w:val="1"/>
                <w:bCs w:val="1"/>
                <w:color w:val="231F20"/>
                <w:w w:val="95"/>
              </w:rPr>
              <w:t>Net loss attributable to common stockholders</w:t>
            </w:r>
          </w:p>
        </w:tc>
        <w:tc>
          <w:tcPr>
            <w:tcW w:w="3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r>
        <w:trPr>
          <w:trHeight w:val="238"/>
        </w:trPr>
        <w:tc>
          <w:tcPr>
            <w:tcW w:w="3980" w:type="dxa"/>
            <w:vAlign w:val="bottom"/>
          </w:tcPr>
          <w:p>
            <w:pPr>
              <w:spacing w:after="0"/>
              <w:rPr>
                <w:sz w:val="20"/>
                <w:szCs w:val="20"/>
                <w:color w:val="auto"/>
              </w:rPr>
            </w:pPr>
            <w:r>
              <w:rPr>
                <w:rFonts w:ascii="Arial" w:cs="Arial" w:eastAsia="Arial" w:hAnsi="Arial"/>
                <w:sz w:val="19"/>
                <w:szCs w:val="19"/>
                <w:b w:val="1"/>
                <w:bCs w:val="1"/>
                <w:color w:val="231F20"/>
                <w:w w:val="91"/>
              </w:rPr>
              <w:t>Weighted average number of shares of common</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9"/>
                <w:szCs w:val="19"/>
                <w:b w:val="1"/>
                <w:bCs w:val="1"/>
                <w:color w:val="231F20"/>
              </w:rPr>
              <w:t>stock</w:t>
            </w:r>
          </w:p>
        </w:tc>
        <w:tc>
          <w:tcPr>
            <w:tcW w:w="38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9"/>
                <w:szCs w:val="19"/>
                <w:b w:val="1"/>
                <w:bCs w:val="1"/>
                <w:color w:val="231F20"/>
              </w:rPr>
              <w:t>11,958</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11,518</w:t>
            </w:r>
          </w:p>
        </w:tc>
      </w:tr>
      <w:tr>
        <w:trPr>
          <w:trHeight w:val="238"/>
        </w:trPr>
        <w:tc>
          <w:tcPr>
            <w:tcW w:w="3980" w:type="dxa"/>
            <w:vAlign w:val="bottom"/>
          </w:tcPr>
          <w:p>
            <w:pPr>
              <w:spacing w:after="0"/>
              <w:rPr>
                <w:sz w:val="20"/>
                <w:szCs w:val="20"/>
                <w:color w:val="auto"/>
              </w:rPr>
            </w:pPr>
            <w:r>
              <w:rPr>
                <w:rFonts w:ascii="Arial" w:cs="Arial" w:eastAsia="Arial" w:hAnsi="Arial"/>
                <w:sz w:val="19"/>
                <w:szCs w:val="19"/>
                <w:b w:val="1"/>
                <w:bCs w:val="1"/>
                <w:color w:val="231F20"/>
              </w:rPr>
              <w:t>Basic and diluted net loss per share</w:t>
            </w:r>
          </w:p>
        </w:tc>
        <w:tc>
          <w:tcPr>
            <w:tcW w:w="38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(2.87)</w:t>
            </w:r>
          </w:p>
        </w:tc>
        <w:tc>
          <w:tcPr>
            <w:tcW w:w="240" w:type="dxa"/>
            <w:vAlign w:val="bottom"/>
          </w:tcPr>
          <w:p>
            <w:pPr>
              <w:jc w:val="right"/>
              <w:ind w:right="3"/>
              <w:spacing w:after="0"/>
              <w:rPr>
                <w:sz w:val="20"/>
                <w:szCs w:val="20"/>
                <w:color w:val="auto"/>
              </w:rPr>
            </w:pPr>
            <w:r>
              <w:rPr>
                <w:rFonts w:ascii="Arial" w:cs="Arial" w:eastAsia="Arial" w:hAnsi="Arial"/>
                <w:sz w:val="19"/>
                <w:szCs w:val="19"/>
                <w:b w:val="1"/>
                <w:bCs w:val="1"/>
                <w:color w:val="231F20"/>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231F20"/>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-744855</wp:posOffset>
            </wp:positionV>
            <wp:extent cx="4064000" cy="2960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64000" cy="29603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40" w:right="140"/>
        <w:spacing w:after="0" w:line="220" w:lineRule="exact"/>
        <w:rPr>
          <w:sz w:val="20"/>
          <w:szCs w:val="20"/>
          <w:color w:val="auto"/>
        </w:rPr>
      </w:pPr>
      <w:r>
        <w:rPr>
          <w:rFonts w:ascii="Arial" w:cs="Arial" w:eastAsia="Arial" w:hAnsi="Arial"/>
          <w:sz w:val="19"/>
          <w:szCs w:val="19"/>
          <w:b w:val="1"/>
          <w:bCs w:val="1"/>
          <w:color w:val="231F20"/>
        </w:rPr>
        <w:t>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basic net loss per share attributable to common stockholders is computed by dividing the net loss attributable to common stockholders by the weighted-average number of shares of common stock outstanding during the period.</w:t>
      </w:r>
    </w:p>
    <w:p>
      <w:pPr>
        <w:spacing w:after="0" w:line="243"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b w:val="1"/>
          <w:bCs w:val="1"/>
          <w:color w:val="231F20"/>
        </w:rPr>
        <w:t>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periods presented because their effect was anti-dilutive:</w:t>
      </w:r>
    </w:p>
    <w:p>
      <w:pPr>
        <w:spacing w:after="0" w:line="57"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140" w:type="dxa"/>
            <w:vAlign w:val="bottom"/>
            <w:gridSpan w:val="2"/>
          </w:tcPr>
          <w:p>
            <w:pPr>
              <w:jc w:val="right"/>
              <w:ind w:right="47"/>
              <w:spacing w:after="0"/>
              <w:rPr>
                <w:sz w:val="20"/>
                <w:szCs w:val="20"/>
                <w:color w:val="auto"/>
              </w:rPr>
            </w:pPr>
            <w:r>
              <w:rPr>
                <w:rFonts w:ascii="Arial" w:cs="Arial" w:eastAsia="Arial" w:hAnsi="Arial"/>
                <w:sz w:val="16"/>
                <w:szCs w:val="16"/>
                <w:b w:val="1"/>
                <w:bCs w:val="1"/>
                <w:color w:val="231F20"/>
              </w:rPr>
              <w:t>Year Ended December 31,</w:t>
            </w:r>
          </w:p>
        </w:tc>
      </w:tr>
      <w:tr>
        <w:trPr>
          <w:trHeight w:val="194"/>
        </w:trPr>
        <w:tc>
          <w:tcPr>
            <w:tcW w:w="4160" w:type="dxa"/>
            <w:vAlign w:val="bottom"/>
          </w:tcPr>
          <w:p>
            <w:pPr>
              <w:spacing w:after="0"/>
              <w:rPr>
                <w:sz w:val="16"/>
                <w:szCs w:val="16"/>
                <w:color w:val="auto"/>
              </w:rPr>
            </w:pPr>
          </w:p>
        </w:tc>
        <w:tc>
          <w:tcPr>
            <w:tcW w:w="1280" w:type="dxa"/>
            <w:vAlign w:val="bottom"/>
          </w:tcPr>
          <w:p>
            <w:pPr>
              <w:jc w:val="right"/>
              <w:ind w:right="449"/>
              <w:spacing w:after="0"/>
              <w:rPr>
                <w:sz w:val="20"/>
                <w:szCs w:val="20"/>
                <w:color w:val="auto"/>
              </w:rPr>
            </w:pPr>
            <w:r>
              <w:rPr>
                <w:rFonts w:ascii="Arial" w:cs="Arial" w:eastAsia="Arial" w:hAnsi="Arial"/>
                <w:sz w:val="16"/>
                <w:szCs w:val="16"/>
                <w:b w:val="1"/>
                <w:bCs w:val="1"/>
                <w:color w:val="231F20"/>
              </w:rPr>
              <w:t>2025</w:t>
            </w:r>
          </w:p>
        </w:tc>
        <w:tc>
          <w:tcPr>
            <w:tcW w:w="860" w:type="dxa"/>
            <w:vAlign w:val="bottom"/>
          </w:tcPr>
          <w:p>
            <w:pPr>
              <w:jc w:val="right"/>
              <w:ind w:right="227"/>
              <w:spacing w:after="0"/>
              <w:rPr>
                <w:sz w:val="20"/>
                <w:szCs w:val="20"/>
                <w:color w:val="auto"/>
              </w:rPr>
            </w:pPr>
            <w:r>
              <w:rPr>
                <w:rFonts w:ascii="Arial" w:cs="Arial" w:eastAsia="Arial" w:hAnsi="Arial"/>
                <w:sz w:val="16"/>
                <w:szCs w:val="16"/>
                <w:b w:val="1"/>
                <w:bCs w:val="1"/>
                <w:color w:val="231F20"/>
              </w:rPr>
              <w:t>2024</w:t>
            </w:r>
          </w:p>
        </w:tc>
      </w:tr>
      <w:tr>
        <w:trPr>
          <w:trHeight w:val="236"/>
        </w:trPr>
        <w:tc>
          <w:tcPr>
            <w:tcW w:w="4160" w:type="dxa"/>
            <w:vAlign w:val="bottom"/>
          </w:tcPr>
          <w:p>
            <w:pPr>
              <w:spacing w:after="0"/>
              <w:rPr>
                <w:sz w:val="20"/>
                <w:szCs w:val="20"/>
                <w:color w:val="auto"/>
              </w:rPr>
            </w:pPr>
            <w:r>
              <w:rPr>
                <w:rFonts w:ascii="Arial" w:cs="Arial" w:eastAsia="Arial" w:hAnsi="Arial"/>
                <w:sz w:val="19"/>
                <w:szCs w:val="19"/>
                <w:b w:val="1"/>
                <w:bCs w:val="1"/>
                <w:color w:val="231F20"/>
                <w:w w:val="92"/>
              </w:rPr>
              <w:t>Series A Redeemable Convertible Preferred Stock</w:t>
            </w:r>
          </w:p>
        </w:tc>
        <w:tc>
          <w:tcPr>
            <w:tcW w:w="1280" w:type="dxa"/>
            <w:vAlign w:val="bottom"/>
          </w:tcPr>
          <w:p>
            <w:pPr>
              <w:jc w:val="right"/>
              <w:ind w:right="149"/>
              <w:spacing w:after="0"/>
              <w:rPr>
                <w:sz w:val="20"/>
                <w:szCs w:val="20"/>
                <w:color w:val="auto"/>
              </w:rPr>
            </w:pPr>
            <w:r>
              <w:rPr>
                <w:rFonts w:ascii="Arial" w:cs="Arial" w:eastAsia="Arial" w:hAnsi="Arial"/>
                <w:sz w:val="19"/>
                <w:szCs w:val="19"/>
                <w:b w:val="1"/>
                <w:bCs w:val="1"/>
                <w:color w:val="231F20"/>
              </w:rPr>
              <w:t>7,940</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7,940</w:t>
            </w:r>
          </w:p>
        </w:tc>
      </w:tr>
      <w:tr>
        <w:trPr>
          <w:trHeight w:val="223"/>
        </w:trPr>
        <w:tc>
          <w:tcPr>
            <w:tcW w:w="4160" w:type="dxa"/>
            <w:vAlign w:val="bottom"/>
          </w:tcPr>
          <w:p>
            <w:pPr>
              <w:spacing w:after="0"/>
              <w:rPr>
                <w:sz w:val="20"/>
                <w:szCs w:val="20"/>
                <w:color w:val="auto"/>
              </w:rPr>
            </w:pPr>
            <w:r>
              <w:rPr>
                <w:rFonts w:ascii="Arial" w:cs="Arial" w:eastAsia="Arial" w:hAnsi="Arial"/>
                <w:sz w:val="19"/>
                <w:szCs w:val="19"/>
                <w:b w:val="1"/>
                <w:bCs w:val="1"/>
                <w:color w:val="231F20"/>
              </w:rPr>
              <w:t>Series A Warrants and Series B Warrants</w:t>
            </w:r>
          </w:p>
        </w:tc>
        <w:tc>
          <w:tcPr>
            <w:tcW w:w="1280" w:type="dxa"/>
            <w:vAlign w:val="bottom"/>
          </w:tcPr>
          <w:p>
            <w:pPr>
              <w:jc w:val="right"/>
              <w:ind w:right="149"/>
              <w:spacing w:after="0"/>
              <w:rPr>
                <w:sz w:val="20"/>
                <w:szCs w:val="20"/>
                <w:color w:val="auto"/>
              </w:rPr>
            </w:pPr>
            <w:r>
              <w:rPr>
                <w:rFonts w:ascii="Arial" w:cs="Arial" w:eastAsia="Arial" w:hAnsi="Arial"/>
                <w:sz w:val="19"/>
                <w:szCs w:val="19"/>
                <w:b w:val="1"/>
                <w:bCs w:val="1"/>
                <w:color w:val="231F20"/>
              </w:rPr>
              <w:t>4,367</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4,367</w:t>
            </w:r>
          </w:p>
        </w:tc>
      </w:tr>
      <w:tr>
        <w:trPr>
          <w:trHeight w:val="223"/>
        </w:trPr>
        <w:tc>
          <w:tcPr>
            <w:tcW w:w="4160" w:type="dxa"/>
            <w:vAlign w:val="bottom"/>
          </w:tcPr>
          <w:p>
            <w:pPr>
              <w:spacing w:after="0"/>
              <w:rPr>
                <w:sz w:val="20"/>
                <w:szCs w:val="20"/>
                <w:color w:val="auto"/>
              </w:rPr>
            </w:pPr>
            <w:r>
              <w:rPr>
                <w:rFonts w:ascii="Arial" w:cs="Arial" w:eastAsia="Arial" w:hAnsi="Arial"/>
                <w:sz w:val="19"/>
                <w:szCs w:val="19"/>
                <w:b w:val="1"/>
                <w:bCs w:val="1"/>
                <w:color w:val="231F20"/>
              </w:rPr>
              <w:t>Restricted stock units</w:t>
            </w:r>
          </w:p>
        </w:tc>
        <w:tc>
          <w:tcPr>
            <w:tcW w:w="1280" w:type="dxa"/>
            <w:vAlign w:val="bottom"/>
          </w:tcPr>
          <w:p>
            <w:pPr>
              <w:jc w:val="right"/>
              <w:ind w:right="149"/>
              <w:spacing w:after="0"/>
              <w:rPr>
                <w:sz w:val="20"/>
                <w:szCs w:val="20"/>
                <w:color w:val="auto"/>
              </w:rPr>
            </w:pPr>
            <w:r>
              <w:rPr>
                <w:rFonts w:ascii="Arial" w:cs="Arial" w:eastAsia="Arial" w:hAnsi="Arial"/>
                <w:sz w:val="19"/>
                <w:szCs w:val="19"/>
                <w:b w:val="1"/>
                <w:bCs w:val="1"/>
                <w:color w:val="231F20"/>
              </w:rPr>
              <w:t>949</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797</w:t>
            </w:r>
          </w:p>
        </w:tc>
      </w:tr>
      <w:tr>
        <w:trPr>
          <w:trHeight w:val="223"/>
        </w:trPr>
        <w:tc>
          <w:tcPr>
            <w:tcW w:w="4160" w:type="dxa"/>
            <w:vAlign w:val="bottom"/>
          </w:tcPr>
          <w:p>
            <w:pPr>
              <w:spacing w:after="0"/>
              <w:rPr>
                <w:sz w:val="20"/>
                <w:szCs w:val="20"/>
                <w:color w:val="auto"/>
              </w:rPr>
            </w:pPr>
            <w:r>
              <w:rPr>
                <w:rFonts w:ascii="Arial" w:cs="Arial" w:eastAsia="Arial" w:hAnsi="Arial"/>
                <w:sz w:val="19"/>
                <w:szCs w:val="19"/>
                <w:b w:val="1"/>
                <w:bCs w:val="1"/>
                <w:color w:val="231F20"/>
              </w:rPr>
              <w:t>Outstanding stock options</w:t>
            </w:r>
          </w:p>
        </w:tc>
        <w:tc>
          <w:tcPr>
            <w:tcW w:w="1280" w:type="dxa"/>
            <w:vAlign w:val="bottom"/>
          </w:tcPr>
          <w:p>
            <w:pPr>
              <w:jc w:val="right"/>
              <w:ind w:right="149"/>
              <w:spacing w:after="0"/>
              <w:rPr>
                <w:sz w:val="20"/>
                <w:szCs w:val="20"/>
                <w:color w:val="auto"/>
              </w:rPr>
            </w:pPr>
            <w:r>
              <w:rPr>
                <w:rFonts w:ascii="Arial" w:cs="Arial" w:eastAsia="Arial" w:hAnsi="Arial"/>
                <w:sz w:val="19"/>
                <w:szCs w:val="19"/>
                <w:b w:val="1"/>
                <w:bCs w:val="1"/>
                <w:color w:val="231F20"/>
              </w:rPr>
              <w:t>1,809</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1,845</w:t>
            </w:r>
          </w:p>
        </w:tc>
      </w:tr>
    </w:tbl>
    <w:p>
      <w:pPr>
        <w:spacing w:after="0" w:line="200" w:lineRule="exact"/>
        <w:rPr>
          <w:sz w:val="20"/>
          <w:szCs w:val="20"/>
          <w:color w:val="auto"/>
        </w:rPr>
      </w:pP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F-34</w:t>
      </w:r>
    </w:p>
    <w:p>
      <w:pPr>
        <w:sectPr>
          <w:pgSz w:w="12240" w:h="15840" w:orient="portrait"/>
          <w:cols w:equalWidth="0" w:num="1">
            <w:col w:w="9360"/>
          </w:cols>
          <w:pgMar w:left="1440" w:top="1440" w:right="1440" w:bottom="390" w:gutter="0" w:footer="0" w:header="0"/>
          <w:type w:val="continuous"/>
        </w:sectPr>
      </w:pPr>
    </w:p>
    <w:bookmarkStart w:id="136" w:name="page137"/>
    <w:bookmarkEnd w:id="136"/>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31F20"/>
        </w:rPr>
        <w:t>The anti-dilutive weighted-average shares excluded from the diluted loss per share calculations were:</w:t>
      </w:r>
    </w:p>
    <w:p>
      <w:pPr>
        <w:spacing w:after="0" w:line="13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120" w:type="dxa"/>
            <w:vAlign w:val="bottom"/>
            <w:gridSpan w:val="2"/>
          </w:tcPr>
          <w:p>
            <w:pPr>
              <w:jc w:val="right"/>
              <w:ind w:right="26"/>
              <w:spacing w:after="0"/>
              <w:rPr>
                <w:sz w:val="20"/>
                <w:szCs w:val="20"/>
                <w:color w:val="auto"/>
              </w:rPr>
            </w:pPr>
            <w:r>
              <w:rPr>
                <w:rFonts w:ascii="Arial" w:cs="Arial" w:eastAsia="Arial" w:hAnsi="Arial"/>
                <w:sz w:val="16"/>
                <w:szCs w:val="16"/>
                <w:b w:val="1"/>
                <w:bCs w:val="1"/>
                <w:color w:val="231F20"/>
              </w:rPr>
              <w:t>Year Ended December 31,</w:t>
            </w:r>
          </w:p>
        </w:tc>
      </w:tr>
      <w:tr>
        <w:trPr>
          <w:trHeight w:val="206"/>
        </w:trPr>
        <w:tc>
          <w:tcPr>
            <w:tcW w:w="4160" w:type="dxa"/>
            <w:vAlign w:val="bottom"/>
          </w:tcPr>
          <w:p>
            <w:pPr>
              <w:spacing w:after="0"/>
              <w:rPr>
                <w:sz w:val="17"/>
                <w:szCs w:val="17"/>
                <w:color w:val="auto"/>
              </w:rPr>
            </w:pPr>
          </w:p>
        </w:tc>
        <w:tc>
          <w:tcPr>
            <w:tcW w:w="1280" w:type="dxa"/>
            <w:vAlign w:val="bottom"/>
          </w:tcPr>
          <w:p>
            <w:pPr>
              <w:jc w:val="right"/>
              <w:ind w:right="448"/>
              <w:spacing w:after="0"/>
              <w:rPr>
                <w:sz w:val="20"/>
                <w:szCs w:val="20"/>
                <w:color w:val="auto"/>
              </w:rPr>
            </w:pPr>
            <w:r>
              <w:rPr>
                <w:rFonts w:ascii="Arial" w:cs="Arial" w:eastAsia="Arial" w:hAnsi="Arial"/>
                <w:sz w:val="16"/>
                <w:szCs w:val="16"/>
                <w:b w:val="1"/>
                <w:bCs w:val="1"/>
                <w:color w:val="231F20"/>
              </w:rPr>
              <w:t>2025</w:t>
            </w:r>
          </w:p>
        </w:tc>
        <w:tc>
          <w:tcPr>
            <w:tcW w:w="840" w:type="dxa"/>
            <w:vAlign w:val="bottom"/>
          </w:tcPr>
          <w:p>
            <w:pPr>
              <w:jc w:val="right"/>
              <w:ind w:right="206"/>
              <w:spacing w:after="0"/>
              <w:rPr>
                <w:sz w:val="20"/>
                <w:szCs w:val="20"/>
                <w:color w:val="auto"/>
              </w:rPr>
            </w:pPr>
            <w:r>
              <w:rPr>
                <w:rFonts w:ascii="Arial" w:cs="Arial" w:eastAsia="Arial" w:hAnsi="Arial"/>
                <w:sz w:val="16"/>
                <w:szCs w:val="16"/>
                <w:b w:val="1"/>
                <w:bCs w:val="1"/>
                <w:color w:val="231F20"/>
              </w:rPr>
              <w:t>2024</w:t>
            </w:r>
          </w:p>
        </w:tc>
      </w:tr>
      <w:tr>
        <w:trPr>
          <w:trHeight w:val="250"/>
        </w:trPr>
        <w:tc>
          <w:tcPr>
            <w:tcW w:w="4160" w:type="dxa"/>
            <w:vAlign w:val="bottom"/>
          </w:tcPr>
          <w:p>
            <w:pPr>
              <w:spacing w:after="0"/>
              <w:rPr>
                <w:sz w:val="20"/>
                <w:szCs w:val="20"/>
                <w:color w:val="auto"/>
              </w:rPr>
            </w:pPr>
            <w:r>
              <w:rPr>
                <w:rFonts w:ascii="Arial" w:cs="Arial" w:eastAsia="Arial" w:hAnsi="Arial"/>
                <w:sz w:val="19"/>
                <w:szCs w:val="19"/>
                <w:b w:val="1"/>
                <w:bCs w:val="1"/>
                <w:color w:val="231F20"/>
                <w:w w:val="92"/>
              </w:rPr>
              <w:t>Series A Redeemable Convertible Preferred Stock</w:t>
            </w:r>
          </w:p>
        </w:tc>
        <w:tc>
          <w:tcPr>
            <w:tcW w:w="1280" w:type="dxa"/>
            <w:vAlign w:val="bottom"/>
          </w:tcPr>
          <w:p>
            <w:pPr>
              <w:jc w:val="right"/>
              <w:ind w:right="148"/>
              <w:spacing w:after="0"/>
              <w:rPr>
                <w:sz w:val="20"/>
                <w:szCs w:val="20"/>
                <w:color w:val="auto"/>
              </w:rPr>
            </w:pPr>
            <w:r>
              <w:rPr>
                <w:rFonts w:ascii="Arial" w:cs="Arial" w:eastAsia="Arial" w:hAnsi="Arial"/>
                <w:sz w:val="19"/>
                <w:szCs w:val="19"/>
                <w:b w:val="1"/>
                <w:bCs w:val="1"/>
                <w:color w:val="231F20"/>
              </w:rPr>
              <w:t>7,940</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7,940</w:t>
            </w: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Series A Warrants</w:t>
            </w:r>
          </w:p>
        </w:tc>
        <w:tc>
          <w:tcPr>
            <w:tcW w:w="1280" w:type="dxa"/>
            <w:vAlign w:val="bottom"/>
          </w:tcPr>
          <w:p>
            <w:pPr>
              <w:jc w:val="right"/>
              <w:ind w:right="148"/>
              <w:spacing w:after="0"/>
              <w:rPr>
                <w:sz w:val="20"/>
                <w:szCs w:val="20"/>
                <w:color w:val="auto"/>
              </w:rPr>
            </w:pPr>
            <w:r>
              <w:rPr>
                <w:rFonts w:ascii="Arial" w:cs="Arial" w:eastAsia="Arial" w:hAnsi="Arial"/>
                <w:sz w:val="19"/>
                <w:szCs w:val="19"/>
                <w:b w:val="1"/>
                <w:bCs w:val="1"/>
                <w:color w:val="231F20"/>
              </w:rPr>
              <w:t>1,748</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1,073</w:t>
            </w:r>
          </w:p>
        </w:tc>
      </w:tr>
      <w:tr>
        <w:trPr>
          <w:trHeight w:val="235"/>
        </w:trPr>
        <w:tc>
          <w:tcPr>
            <w:tcW w:w="4160" w:type="dxa"/>
            <w:vAlign w:val="bottom"/>
          </w:tcPr>
          <w:p>
            <w:pPr>
              <w:spacing w:after="0"/>
              <w:rPr>
                <w:sz w:val="20"/>
                <w:szCs w:val="20"/>
                <w:color w:val="auto"/>
              </w:rPr>
            </w:pPr>
            <w:r>
              <w:rPr>
                <w:rFonts w:ascii="Arial" w:cs="Arial" w:eastAsia="Arial" w:hAnsi="Arial"/>
                <w:sz w:val="19"/>
                <w:szCs w:val="19"/>
                <w:b w:val="1"/>
                <w:bCs w:val="1"/>
                <w:color w:val="231F20"/>
              </w:rPr>
              <w:t>Series B Warrants</w:t>
            </w:r>
          </w:p>
        </w:tc>
        <w:tc>
          <w:tcPr>
            <w:tcW w:w="1280" w:type="dxa"/>
            <w:vAlign w:val="bottom"/>
          </w:tcPr>
          <w:p>
            <w:pPr>
              <w:jc w:val="right"/>
              <w:ind w:right="148"/>
              <w:spacing w:after="0"/>
              <w:rPr>
                <w:sz w:val="20"/>
                <w:szCs w:val="20"/>
                <w:color w:val="auto"/>
              </w:rPr>
            </w:pPr>
            <w:r>
              <w:rPr>
                <w:rFonts w:ascii="Arial" w:cs="Arial" w:eastAsia="Arial" w:hAnsi="Arial"/>
                <w:sz w:val="19"/>
                <w:szCs w:val="19"/>
                <w:b w:val="1"/>
                <w:bCs w:val="1"/>
                <w:color w:val="231F20"/>
              </w:rPr>
              <w:t>1,639</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795</w:t>
            </w:r>
          </w:p>
        </w:tc>
      </w:tr>
      <w:tr>
        <w:trPr>
          <w:trHeight w:val="238"/>
        </w:trPr>
        <w:tc>
          <w:tcPr>
            <w:tcW w:w="4160" w:type="dxa"/>
            <w:vAlign w:val="bottom"/>
          </w:tcPr>
          <w:p>
            <w:pPr>
              <w:spacing w:after="0"/>
              <w:rPr>
                <w:sz w:val="20"/>
                <w:szCs w:val="20"/>
                <w:color w:val="auto"/>
              </w:rPr>
            </w:pPr>
            <w:r>
              <w:rPr>
                <w:rFonts w:ascii="Arial" w:cs="Arial" w:eastAsia="Arial" w:hAnsi="Arial"/>
                <w:sz w:val="19"/>
                <w:szCs w:val="19"/>
                <w:b w:val="1"/>
                <w:bCs w:val="1"/>
                <w:color w:val="231F20"/>
              </w:rPr>
              <w:t>Restricted stock units</w:t>
            </w:r>
          </w:p>
        </w:tc>
        <w:tc>
          <w:tcPr>
            <w:tcW w:w="1280" w:type="dxa"/>
            <w:vAlign w:val="bottom"/>
          </w:tcPr>
          <w:p>
            <w:pPr>
              <w:jc w:val="right"/>
              <w:ind w:right="148"/>
              <w:spacing w:after="0"/>
              <w:rPr>
                <w:sz w:val="20"/>
                <w:szCs w:val="20"/>
                <w:color w:val="auto"/>
              </w:rPr>
            </w:pPr>
            <w:r>
              <w:rPr>
                <w:rFonts w:ascii="Arial" w:cs="Arial" w:eastAsia="Arial" w:hAnsi="Arial"/>
                <w:sz w:val="19"/>
                <w:szCs w:val="19"/>
                <w:b w:val="1"/>
                <w:bCs w:val="1"/>
                <w:color w:val="231F20"/>
              </w:rPr>
              <w:t>500</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394</w:t>
            </w:r>
          </w:p>
        </w:tc>
      </w:tr>
      <w:tr>
        <w:trPr>
          <w:trHeight w:val="235"/>
        </w:trPr>
        <w:tc>
          <w:tcPr>
            <w:tcW w:w="4160" w:type="dxa"/>
            <w:vAlign w:val="bottom"/>
          </w:tcPr>
          <w:p>
            <w:pPr>
              <w:spacing w:after="0"/>
              <w:rPr>
                <w:sz w:val="20"/>
                <w:szCs w:val="20"/>
                <w:color w:val="auto"/>
              </w:rPr>
            </w:pPr>
            <w:r>
              <w:rPr>
                <w:rFonts w:ascii="Arial" w:cs="Arial" w:eastAsia="Arial" w:hAnsi="Arial"/>
                <w:sz w:val="19"/>
                <w:szCs w:val="19"/>
                <w:b w:val="1"/>
                <w:bCs w:val="1"/>
                <w:color w:val="231F20"/>
              </w:rPr>
              <w:t>Outstanding stock options</w:t>
            </w:r>
          </w:p>
        </w:tc>
        <w:tc>
          <w:tcPr>
            <w:tcW w:w="1280" w:type="dxa"/>
            <w:vAlign w:val="bottom"/>
          </w:tcPr>
          <w:p>
            <w:pPr>
              <w:jc w:val="right"/>
              <w:ind w:right="148"/>
              <w:spacing w:after="0"/>
              <w:rPr>
                <w:sz w:val="20"/>
                <w:szCs w:val="20"/>
                <w:color w:val="auto"/>
              </w:rPr>
            </w:pPr>
            <w:r>
              <w:rPr>
                <w:rFonts w:ascii="Arial" w:cs="Arial" w:eastAsia="Arial" w:hAnsi="Arial"/>
                <w:sz w:val="19"/>
                <w:szCs w:val="19"/>
                <w:b w:val="1"/>
                <w:bCs w:val="1"/>
                <w:color w:val="231F20"/>
              </w:rPr>
              <w:t>1,000</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1,260</w:t>
            </w:r>
          </w:p>
        </w:tc>
      </w:tr>
      <w:tr>
        <w:trPr>
          <w:trHeight w:val="252"/>
        </w:trPr>
        <w:tc>
          <w:tcPr>
            <w:tcW w:w="416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280" w:type="dxa"/>
            <w:vAlign w:val="bottom"/>
          </w:tcPr>
          <w:p>
            <w:pPr>
              <w:jc w:val="right"/>
              <w:ind w:right="148"/>
              <w:spacing w:after="0"/>
              <w:rPr>
                <w:sz w:val="20"/>
                <w:szCs w:val="20"/>
                <w:color w:val="auto"/>
              </w:rPr>
            </w:pPr>
            <w:r>
              <w:rPr>
                <w:rFonts w:ascii="Arial" w:cs="Arial" w:eastAsia="Arial" w:hAnsi="Arial"/>
                <w:sz w:val="19"/>
                <w:szCs w:val="19"/>
                <w:b w:val="1"/>
                <w:bCs w:val="1"/>
                <w:color w:val="231F20"/>
              </w:rPr>
              <w:t>12,827</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231F20"/>
              </w:rPr>
              <w:t>11,462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-1062990</wp:posOffset>
            </wp:positionV>
            <wp:extent cx="4639945" cy="57873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39945" cy="578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17. Segment Information</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8"/>
          <w:szCs w:val="18"/>
          <w:b w:val="1"/>
          <w:bCs w:val="1"/>
          <w:color w:val="231F20"/>
        </w:rPr>
        <w:t>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loss to assess segment performance and allocate resources by comparing actual results to budget. The measure of segment assets is reported on the balance sheet as total consolidated assets. As of December 31, 2025 and 2024, 99% and 98% of long-lived assets were in the United States, respectively. Revenue is attributed to a geographic region based on the location of the customer, refer to Note 3, Revenue from Contracts with Customers.</w:t>
      </w:r>
    </w:p>
    <w:p>
      <w:pPr>
        <w:spacing w:after="0" w:line="24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A reconciliation of significant segment expenses to net loss is below:</w:t>
      </w:r>
    </w:p>
    <w:p>
      <w:pPr>
        <w:spacing w:after="0" w:line="206"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gridSpan w:val="3"/>
          </w:tcPr>
          <w:p>
            <w:pPr>
              <w:jc w:val="right"/>
              <w:ind w:right="264"/>
              <w:spacing w:after="0"/>
              <w:rPr>
                <w:sz w:val="20"/>
                <w:szCs w:val="20"/>
                <w:color w:val="auto"/>
              </w:rPr>
            </w:pPr>
            <w:r>
              <w:rPr>
                <w:rFonts w:ascii="Arial" w:cs="Arial" w:eastAsia="Arial" w:hAnsi="Arial"/>
                <w:sz w:val="16"/>
                <w:szCs w:val="16"/>
                <w:b w:val="1"/>
                <w:bCs w:val="1"/>
                <w:color w:val="231F20"/>
                <w:w w:val="91"/>
              </w:rPr>
              <w:t>Year Ended December 31,</w:t>
            </w:r>
          </w:p>
        </w:tc>
      </w:tr>
      <w:tr>
        <w:trPr>
          <w:trHeight w:val="206"/>
        </w:trPr>
        <w:tc>
          <w:tcPr>
            <w:tcW w:w="4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jc w:val="right"/>
              <w:ind w:right="405"/>
              <w:spacing w:after="0"/>
              <w:rPr>
                <w:sz w:val="20"/>
                <w:szCs w:val="20"/>
                <w:color w:val="auto"/>
              </w:rPr>
            </w:pPr>
            <w:r>
              <w:rPr>
                <w:rFonts w:ascii="Arial" w:cs="Arial" w:eastAsia="Arial" w:hAnsi="Arial"/>
                <w:sz w:val="16"/>
                <w:szCs w:val="16"/>
                <w:b w:val="1"/>
                <w:bCs w:val="1"/>
                <w:color w:val="231F20"/>
              </w:rPr>
              <w:t>2025</w:t>
            </w:r>
          </w:p>
        </w:tc>
        <w:tc>
          <w:tcPr>
            <w:tcW w:w="280" w:type="dxa"/>
            <w:vAlign w:val="bottom"/>
          </w:tcPr>
          <w:p>
            <w:pPr>
              <w:spacing w:after="0"/>
              <w:rPr>
                <w:sz w:val="17"/>
                <w:szCs w:val="17"/>
                <w:color w:val="auto"/>
              </w:rPr>
            </w:pPr>
          </w:p>
        </w:tc>
        <w:tc>
          <w:tcPr>
            <w:tcW w:w="900" w:type="dxa"/>
            <w:vAlign w:val="bottom"/>
          </w:tcPr>
          <w:p>
            <w:pPr>
              <w:jc w:val="right"/>
              <w:ind w:right="344"/>
              <w:spacing w:after="0"/>
              <w:rPr>
                <w:sz w:val="20"/>
                <w:szCs w:val="20"/>
                <w:color w:val="auto"/>
              </w:rPr>
            </w:pPr>
            <w:r>
              <w:rPr>
                <w:rFonts w:ascii="Arial" w:cs="Arial" w:eastAsia="Arial" w:hAnsi="Arial"/>
                <w:sz w:val="16"/>
                <w:szCs w:val="16"/>
                <w:b w:val="1"/>
                <w:bCs w:val="1"/>
                <w:color w:val="231F20"/>
              </w:rPr>
              <w:t>2024</w:t>
            </w:r>
          </w:p>
        </w:tc>
      </w:tr>
      <w:tr>
        <w:trPr>
          <w:trHeight w:val="251"/>
        </w:trPr>
        <w:tc>
          <w:tcPr>
            <w:tcW w:w="4140" w:type="dxa"/>
            <w:vAlign w:val="bottom"/>
          </w:tcPr>
          <w:p>
            <w:pPr>
              <w:spacing w:after="0"/>
              <w:rPr>
                <w:sz w:val="20"/>
                <w:szCs w:val="20"/>
                <w:color w:val="auto"/>
              </w:rPr>
            </w:pPr>
            <w:r>
              <w:rPr>
                <w:rFonts w:ascii="Arial" w:cs="Arial" w:eastAsia="Arial" w:hAnsi="Arial"/>
                <w:sz w:val="19"/>
                <w:szCs w:val="19"/>
                <w:b w:val="1"/>
                <w:bCs w:val="1"/>
                <w:color w:val="231F20"/>
              </w:rPr>
              <w:t>Revenue</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58,435</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53,494</w:t>
            </w:r>
          </w:p>
        </w:tc>
      </w:tr>
      <w:tr>
        <w:trPr>
          <w:trHeight w:val="238"/>
        </w:trPr>
        <w:tc>
          <w:tcPr>
            <w:tcW w:w="4140" w:type="dxa"/>
            <w:vAlign w:val="bottom"/>
          </w:tcPr>
          <w:p>
            <w:pPr>
              <w:spacing w:after="0"/>
              <w:rPr>
                <w:sz w:val="20"/>
                <w:szCs w:val="20"/>
                <w:color w:val="auto"/>
              </w:rPr>
            </w:pPr>
            <w:r>
              <w:rPr>
                <w:rFonts w:ascii="Arial" w:cs="Arial" w:eastAsia="Arial" w:hAnsi="Arial"/>
                <w:sz w:val="19"/>
                <w:szCs w:val="19"/>
                <w:b w:val="1"/>
                <w:bCs w:val="1"/>
                <w:color w:val="231F20"/>
              </w:rPr>
              <w:t>Less: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Personnel expense</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27,416</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25,056</w:t>
            </w:r>
          </w:p>
        </w:tc>
      </w:tr>
      <w:tr>
        <w:trPr>
          <w:trHeight w:val="250"/>
        </w:trPr>
        <w:tc>
          <w:tcPr>
            <w:tcW w:w="4140" w:type="dxa"/>
            <w:vAlign w:val="bottom"/>
          </w:tcPr>
          <w:p>
            <w:pPr>
              <w:ind w:left="100"/>
              <w:spacing w:after="0" w:line="250" w:lineRule="exact"/>
              <w:rPr>
                <w:sz w:val="20"/>
                <w:szCs w:val="20"/>
                <w:color w:val="auto"/>
              </w:rPr>
            </w:pPr>
            <w:r>
              <w:rPr>
                <w:rFonts w:ascii="Arial" w:cs="Arial" w:eastAsia="Arial" w:hAnsi="Arial"/>
                <w:sz w:val="19"/>
                <w:szCs w:val="19"/>
                <w:b w:val="1"/>
                <w:bCs w:val="1"/>
                <w:color w:val="231F20"/>
              </w:rPr>
              <w:t>Other cost of revenue</w:t>
            </w:r>
            <w:r>
              <w:rPr>
                <w:rFonts w:ascii="Arial" w:cs="Arial" w:eastAsia="Arial" w:hAnsi="Arial"/>
                <w:sz w:val="25"/>
                <w:szCs w:val="25"/>
                <w:b w:val="1"/>
                <w:bCs w:val="1"/>
                <w:color w:val="231F20"/>
                <w:vertAlign w:val="superscript"/>
              </w:rPr>
              <w:t>1</w:t>
            </w:r>
          </w:p>
        </w:tc>
        <w:tc>
          <w:tcPr>
            <w:tcW w:w="940" w:type="dxa"/>
            <w:vAlign w:val="bottom"/>
          </w:tcPr>
          <w:p>
            <w:pPr>
              <w:spacing w:after="0"/>
              <w:rPr>
                <w:sz w:val="21"/>
                <w:szCs w:val="21"/>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17,703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16,028</w:t>
            </w:r>
          </w:p>
        </w:tc>
      </w:tr>
      <w:tr>
        <w:trPr>
          <w:trHeight w:val="238"/>
        </w:trPr>
        <w:tc>
          <w:tcPr>
            <w:tcW w:w="4140" w:type="dxa"/>
            <w:vAlign w:val="bottom"/>
          </w:tcPr>
          <w:p>
            <w:pPr>
              <w:ind w:left="100"/>
              <w:spacing w:after="0" w:line="238" w:lineRule="exact"/>
              <w:rPr>
                <w:sz w:val="20"/>
                <w:szCs w:val="20"/>
                <w:color w:val="auto"/>
              </w:rPr>
            </w:pPr>
            <w:r>
              <w:rPr>
                <w:rFonts w:ascii="Arial" w:cs="Arial" w:eastAsia="Arial" w:hAnsi="Arial"/>
                <w:sz w:val="19"/>
                <w:szCs w:val="19"/>
                <w:b w:val="1"/>
                <w:bCs w:val="1"/>
                <w:color w:val="231F20"/>
              </w:rPr>
              <w:t>Other research and development expense</w:t>
            </w:r>
            <w:r>
              <w:rPr>
                <w:rFonts w:ascii="Arial" w:cs="Arial" w:eastAsia="Arial" w:hAnsi="Arial"/>
                <w:sz w:val="25"/>
                <w:szCs w:val="25"/>
                <w:b w:val="1"/>
                <w:bCs w:val="1"/>
                <w:color w:val="231F20"/>
                <w:vertAlign w:val="superscript"/>
              </w:rPr>
              <w:t>1</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1,530</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1,244</w:t>
            </w:r>
          </w:p>
        </w:tc>
      </w:tr>
      <w:tr>
        <w:trPr>
          <w:trHeight w:val="238"/>
        </w:trPr>
        <w:tc>
          <w:tcPr>
            <w:tcW w:w="4140" w:type="dxa"/>
            <w:vAlign w:val="bottom"/>
          </w:tcPr>
          <w:p>
            <w:pPr>
              <w:ind w:left="100"/>
              <w:spacing w:after="0" w:line="238" w:lineRule="exact"/>
              <w:rPr>
                <w:sz w:val="20"/>
                <w:szCs w:val="20"/>
                <w:color w:val="auto"/>
              </w:rPr>
            </w:pPr>
            <w:r>
              <w:rPr>
                <w:rFonts w:ascii="Arial" w:cs="Arial" w:eastAsia="Arial" w:hAnsi="Arial"/>
                <w:sz w:val="19"/>
                <w:szCs w:val="19"/>
                <w:b w:val="1"/>
                <w:bCs w:val="1"/>
                <w:color w:val="231F20"/>
              </w:rPr>
              <w:t>Other sales and marketing expense</w:t>
            </w:r>
            <w:r>
              <w:rPr>
                <w:rFonts w:ascii="Arial" w:cs="Arial" w:eastAsia="Arial" w:hAnsi="Arial"/>
                <w:sz w:val="25"/>
                <w:szCs w:val="25"/>
                <w:b w:val="1"/>
                <w:bCs w:val="1"/>
                <w:color w:val="231F20"/>
                <w:vertAlign w:val="superscript"/>
              </w:rPr>
              <w:t>1</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5,052</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4,492</w:t>
            </w:r>
          </w:p>
        </w:tc>
      </w:tr>
      <w:tr>
        <w:trPr>
          <w:trHeight w:val="245"/>
        </w:trPr>
        <w:tc>
          <w:tcPr>
            <w:tcW w:w="4140" w:type="dxa"/>
            <w:vAlign w:val="bottom"/>
          </w:tcPr>
          <w:p>
            <w:pPr>
              <w:ind w:left="100"/>
              <w:spacing w:after="0" w:line="245" w:lineRule="exact"/>
              <w:rPr>
                <w:sz w:val="20"/>
                <w:szCs w:val="20"/>
                <w:color w:val="auto"/>
              </w:rPr>
            </w:pPr>
            <w:r>
              <w:rPr>
                <w:rFonts w:ascii="Arial" w:cs="Arial" w:eastAsia="Arial" w:hAnsi="Arial"/>
                <w:sz w:val="19"/>
                <w:szCs w:val="19"/>
                <w:b w:val="1"/>
                <w:bCs w:val="1"/>
                <w:color w:val="231F20"/>
              </w:rPr>
              <w:t>Other general and administrative expense</w:t>
            </w:r>
            <w:r>
              <w:rPr>
                <w:rFonts w:ascii="Arial" w:cs="Arial" w:eastAsia="Arial" w:hAnsi="Arial"/>
                <w:sz w:val="25"/>
                <w:szCs w:val="25"/>
                <w:b w:val="1"/>
                <w:bCs w:val="1"/>
                <w:color w:val="231F20"/>
                <w:vertAlign w:val="superscript"/>
              </w:rPr>
              <w:t>1</w:t>
            </w:r>
          </w:p>
        </w:tc>
        <w:tc>
          <w:tcPr>
            <w:tcW w:w="940" w:type="dxa"/>
            <w:vAlign w:val="bottom"/>
          </w:tcPr>
          <w:p>
            <w:pPr>
              <w:spacing w:after="0"/>
              <w:rPr>
                <w:sz w:val="21"/>
                <w:szCs w:val="21"/>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6,551</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7,022</w:t>
            </w:r>
          </w:p>
        </w:tc>
      </w:tr>
      <w:tr>
        <w:trPr>
          <w:trHeight w:val="213"/>
        </w:trPr>
        <w:tc>
          <w:tcPr>
            <w:tcW w:w="4140" w:type="dxa"/>
            <w:vAlign w:val="bottom"/>
          </w:tcPr>
          <w:p>
            <w:pPr>
              <w:ind w:left="100"/>
              <w:spacing w:after="0" w:line="214" w:lineRule="exact"/>
              <w:rPr>
                <w:sz w:val="20"/>
                <w:szCs w:val="20"/>
                <w:color w:val="auto"/>
              </w:rPr>
            </w:pPr>
            <w:r>
              <w:rPr>
                <w:rFonts w:ascii="Arial" w:cs="Arial" w:eastAsia="Arial" w:hAnsi="Arial"/>
                <w:sz w:val="19"/>
                <w:szCs w:val="19"/>
                <w:b w:val="1"/>
                <w:bCs w:val="1"/>
                <w:color w:val="231F20"/>
              </w:rPr>
              <w:t>Stock-based compensation expense</w:t>
            </w:r>
          </w:p>
        </w:tc>
        <w:tc>
          <w:tcPr>
            <w:tcW w:w="940" w:type="dxa"/>
            <w:vAlign w:val="bottom"/>
          </w:tcPr>
          <w:p>
            <w:pPr>
              <w:spacing w:after="0"/>
              <w:rPr>
                <w:sz w:val="18"/>
                <w:szCs w:val="18"/>
                <w:color w:val="auto"/>
              </w:rPr>
            </w:pPr>
          </w:p>
        </w:tc>
        <w:tc>
          <w:tcPr>
            <w:tcW w:w="1000" w:type="dxa"/>
            <w:vAlign w:val="bottom"/>
          </w:tcPr>
          <w:p>
            <w:pPr>
              <w:jc w:val="right"/>
              <w:ind w:right="45"/>
              <w:spacing w:after="0" w:line="214" w:lineRule="exact"/>
              <w:rPr>
                <w:sz w:val="20"/>
                <w:szCs w:val="20"/>
                <w:color w:val="auto"/>
              </w:rPr>
            </w:pPr>
            <w:r>
              <w:rPr>
                <w:rFonts w:ascii="Arial" w:cs="Arial" w:eastAsia="Arial" w:hAnsi="Arial"/>
                <w:sz w:val="19"/>
                <w:szCs w:val="19"/>
                <w:b w:val="1"/>
                <w:bCs w:val="1"/>
                <w:color w:val="231F20"/>
              </w:rPr>
              <w:t>3,118</w:t>
            </w:r>
          </w:p>
        </w:tc>
        <w:tc>
          <w:tcPr>
            <w:tcW w:w="28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2,657</w:t>
            </w:r>
          </w:p>
        </w:tc>
      </w:tr>
      <w:tr>
        <w:trPr>
          <w:trHeight w:val="235"/>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Change in fair value of warrant liabilities</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10,338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21,399</w:t>
            </w:r>
          </w:p>
        </w:tc>
      </w:tr>
      <w:tr>
        <w:trPr>
          <w:trHeight w:val="238"/>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Acquisition-related costs</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17,141</w:t>
            </w:r>
          </w:p>
        </w:tc>
        <w:tc>
          <w:tcPr>
            <w:tcW w:w="280" w:type="dxa"/>
            <w:vAlign w:val="bottom"/>
          </w:tcPr>
          <w:p>
            <w:pPr>
              <w:spacing w:after="0"/>
              <w:rPr>
                <w:sz w:val="20"/>
                <w:szCs w:val="20"/>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35"/>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Impairment of intangible assets</w:t>
            </w:r>
          </w:p>
        </w:tc>
        <w:tc>
          <w:tcPr>
            <w:tcW w:w="940" w:type="dxa"/>
            <w:vAlign w:val="bottom"/>
          </w:tcPr>
          <w:p>
            <w:pPr>
              <w:spacing w:after="0"/>
              <w:rPr>
                <w:sz w:val="20"/>
                <w:szCs w:val="20"/>
                <w:color w:val="auto"/>
              </w:rPr>
            </w:pPr>
          </w:p>
        </w:tc>
        <w:tc>
          <w:tcPr>
            <w:tcW w:w="1000" w:type="dxa"/>
            <w:vAlign w:val="bottom"/>
          </w:tcPr>
          <w:p>
            <w:pPr>
              <w:jc w:val="right"/>
              <w:ind w:right="45"/>
              <w:spacing w:after="0" w:line="228"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3,729</w:t>
            </w:r>
          </w:p>
        </w:tc>
      </w:tr>
      <w:tr>
        <w:trPr>
          <w:trHeight w:val="238"/>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Depreciation expense</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3,581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2,961</w:t>
            </w:r>
          </w:p>
        </w:tc>
      </w:tr>
      <w:tr>
        <w:trPr>
          <w:trHeight w:val="238"/>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Amortization expense</w:t>
            </w:r>
          </w:p>
        </w:tc>
        <w:tc>
          <w:tcPr>
            <w:tcW w:w="940" w:type="dxa"/>
            <w:vAlign w:val="bottom"/>
          </w:tcPr>
          <w:p>
            <w:pPr>
              <w:spacing w:after="0"/>
              <w:rPr>
                <w:sz w:val="20"/>
                <w:szCs w:val="20"/>
                <w:color w:val="auto"/>
              </w:rPr>
            </w:pPr>
          </w:p>
        </w:tc>
        <w:tc>
          <w:tcPr>
            <w:tcW w:w="1000" w:type="dxa"/>
            <w:vAlign w:val="bottom"/>
          </w:tcPr>
          <w:p>
            <w:pPr>
              <w:jc w:val="right"/>
              <w:ind w:right="45"/>
              <w:spacing w:after="0"/>
              <w:rPr>
                <w:sz w:val="20"/>
                <w:szCs w:val="20"/>
                <w:color w:val="auto"/>
              </w:rPr>
            </w:pPr>
            <w:r>
              <w:rPr>
                <w:rFonts w:ascii="Arial" w:cs="Arial" w:eastAsia="Arial" w:hAnsi="Arial"/>
                <w:sz w:val="19"/>
                <w:szCs w:val="19"/>
                <w:b w:val="1"/>
                <w:bCs w:val="1"/>
                <w:color w:val="231F20"/>
              </w:rPr>
              <w:t>921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970</w:t>
            </w:r>
          </w:p>
        </w:tc>
      </w:tr>
      <w:tr>
        <w:trPr>
          <w:trHeight w:val="235"/>
        </w:trPr>
        <w:tc>
          <w:tcPr>
            <w:tcW w:w="4140" w:type="dxa"/>
            <w:vAlign w:val="bottom"/>
          </w:tcPr>
          <w:p>
            <w:pPr>
              <w:ind w:left="100"/>
              <w:spacing w:after="0"/>
              <w:rPr>
                <w:sz w:val="20"/>
                <w:szCs w:val="20"/>
                <w:color w:val="auto"/>
              </w:rPr>
            </w:pPr>
            <w:r>
              <w:rPr>
                <w:rFonts w:ascii="Arial" w:cs="Arial" w:eastAsia="Arial" w:hAnsi="Arial"/>
                <w:sz w:val="19"/>
                <w:szCs w:val="19"/>
                <w:b w:val="1"/>
                <w:bCs w:val="1"/>
                <w:color w:val="231F20"/>
              </w:rPr>
              <w:t>Other income, net</w:t>
            </w:r>
          </w:p>
        </w:tc>
        <w:tc>
          <w:tcPr>
            <w:tcW w:w="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(636)</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(660)</w:t>
            </w:r>
          </w:p>
        </w:tc>
      </w:tr>
      <w:tr>
        <w:trPr>
          <w:trHeight w:val="252"/>
        </w:trPr>
        <w:tc>
          <w:tcPr>
            <w:tcW w:w="414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(34,280)</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231F20"/>
              </w:rPr>
              <w:t>(31,404)</w:t>
            </w:r>
          </w:p>
        </w:tc>
      </w:tr>
    </w:tbl>
    <w:p>
      <w:pPr>
        <w:spacing w:after="0" w:line="188" w:lineRule="exact"/>
        <w:rPr>
          <w:sz w:val="20"/>
          <w:szCs w:val="20"/>
          <w:color w:val="auto"/>
        </w:rPr>
      </w:pPr>
    </w:p>
    <w:p>
      <w:pPr>
        <w:ind w:left="140" w:right="920" w:firstLine="2"/>
        <w:spacing w:after="0" w:line="222" w:lineRule="auto"/>
        <w:tabs>
          <w:tab w:leader="none" w:pos="298" w:val="left"/>
        </w:tabs>
        <w:numPr>
          <w:ilvl w:val="0"/>
          <w:numId w:val="73"/>
        </w:numPr>
        <w:rPr>
          <w:rFonts w:ascii="Arial" w:cs="Arial" w:eastAsia="Arial" w:hAnsi="Arial"/>
          <w:sz w:val="23"/>
          <w:szCs w:val="23"/>
          <w:b w:val="1"/>
          <w:bCs w:val="1"/>
          <w:color w:val="231F20"/>
          <w:vertAlign w:val="superscript"/>
        </w:rPr>
      </w:pPr>
      <w:r>
        <w:rPr>
          <w:rFonts w:ascii="Arial" w:cs="Arial" w:eastAsia="Arial" w:hAnsi="Arial"/>
          <w:sz w:val="18"/>
          <w:szCs w:val="18"/>
          <w:b w:val="1"/>
          <w:bCs w:val="1"/>
          <w:color w:val="231F20"/>
        </w:rPr>
        <w:t>The Company deducts personnel expense, stock-based compensation expense, depreciation expense, and amortization expense from GAAP expenses to arrive at other costs and expenses.</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Note 18. Subsequent Events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Supreme Court Tariff Ruling</w:t>
      </w:r>
    </w:p>
    <w:p>
      <w:pPr>
        <w:spacing w:after="0" w:line="125" w:lineRule="exact"/>
        <w:rPr>
          <w:sz w:val="20"/>
          <w:szCs w:val="20"/>
          <w:color w:val="auto"/>
        </w:rPr>
      </w:pPr>
    </w:p>
    <w:p>
      <w:pPr>
        <w:jc w:val="both"/>
        <w:ind w:left="140" w:right="140"/>
        <w:spacing w:after="0" w:line="221" w:lineRule="exact"/>
        <w:rPr>
          <w:sz w:val="20"/>
          <w:szCs w:val="20"/>
          <w:color w:val="auto"/>
        </w:rPr>
      </w:pPr>
      <w:r>
        <w:rPr>
          <w:rFonts w:ascii="Arial" w:cs="Arial" w:eastAsia="Arial" w:hAnsi="Arial"/>
          <w:sz w:val="16"/>
          <w:szCs w:val="16"/>
          <w:b w:val="1"/>
          <w:bCs w:val="1"/>
          <w:color w:val="231F20"/>
        </w:rPr>
        <w:t>In February 2026, the Supreme Court of the U.S. issued a ruling striking down certain tariffs previously imposed under the International Emergency Economic Powers Act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IEEPA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The ultimate availability, timing, and amount of any potential refunds of such tariffs remain highly uncertain and are subject to further legal, regulatory, and administrative developments. The U.S. presidential administration subsequently invoked additional tariffs under other laws resulting in a rapidly changing tariff environment. At this time the Company cannot reasonably estimate</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F-35</w:t>
      </w:r>
    </w:p>
    <w:p>
      <w:pPr>
        <w:sectPr>
          <w:pgSz w:w="12240" w:h="15840" w:orient="portrait"/>
          <w:cols w:equalWidth="0" w:num="1">
            <w:col w:w="9360"/>
          </w:cols>
          <w:pgMar w:left="1440" w:top="1440" w:right="1440" w:bottom="390" w:gutter="0" w:footer="0" w:header="0"/>
          <w:type w:val="continuous"/>
        </w:sectPr>
      </w:pPr>
    </w:p>
    <w:bookmarkStart w:id="137" w:name="page138"/>
    <w:bookmarkEnd w:id="137"/>
    <w:p>
      <w:pPr>
        <w:spacing w:after="0" w:line="343" w:lineRule="exact"/>
        <w:rPr>
          <w:sz w:val="20"/>
          <w:szCs w:val="20"/>
          <w:color w:val="auto"/>
        </w:rPr>
      </w:pPr>
    </w:p>
    <w:p>
      <w:pPr>
        <w:jc w:val="both"/>
        <w:ind w:left="140" w:right="140"/>
        <w:spacing w:after="0" w:line="218" w:lineRule="exact"/>
        <w:rPr>
          <w:sz w:val="20"/>
          <w:szCs w:val="20"/>
          <w:color w:val="auto"/>
        </w:rPr>
      </w:pPr>
      <w:r>
        <w:rPr>
          <w:rFonts w:ascii="Arial" w:cs="Arial" w:eastAsia="Arial" w:hAnsi="Arial"/>
          <w:sz w:val="19"/>
          <w:szCs w:val="19"/>
          <w:b w:val="1"/>
          <w:bCs w:val="1"/>
          <w:color w:val="231F20"/>
        </w:rPr>
        <w:t>the total financial impact of this ruling, however it, and any additional tariffs, may materially affect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future results of operations and cash flows.</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Priority Credit Line Agreement</w:t>
      </w:r>
    </w:p>
    <w:p>
      <w:pPr>
        <w:spacing w:after="0" w:line="125" w:lineRule="exact"/>
        <w:rPr>
          <w:sz w:val="20"/>
          <w:szCs w:val="20"/>
          <w:color w:val="auto"/>
        </w:rPr>
      </w:pPr>
    </w:p>
    <w:p>
      <w:pPr>
        <w:jc w:val="both"/>
        <w:ind w:left="140" w:right="140"/>
        <w:spacing w:after="0" w:line="223" w:lineRule="exact"/>
        <w:rPr>
          <w:sz w:val="20"/>
          <w:szCs w:val="20"/>
          <w:color w:val="auto"/>
        </w:rPr>
      </w:pPr>
      <w:r>
        <w:rPr>
          <w:rFonts w:ascii="Arial" w:cs="Arial" w:eastAsia="Arial" w:hAnsi="Arial"/>
          <w:sz w:val="17"/>
          <w:szCs w:val="17"/>
          <w:b w:val="1"/>
          <w:bCs w:val="1"/>
          <w:color w:val="231F20"/>
        </w:rPr>
        <w:t xml:space="preserve">In March 2026, the Company entered into a Priority Credit Line Agreement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PCL Agreement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with Wells Fargo Bank, N.A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Wells Fargo</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The PCL Agreement provides for a revolving, non-purpose margin credit facility, secured by a first-priority lien on a designated brokerage account maintained at Wells Fargo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Collateral Account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Based on the collateral value in the Collateral Account, the Company is permitted to borrow 90-95% of the Collateral Account value under the PCL Agreement. Borrowings under the PCL Agreement bear interest, at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Termination of Merger Agreement</w:t>
      </w:r>
    </w:p>
    <w:p>
      <w:pPr>
        <w:spacing w:after="0" w:line="125" w:lineRule="exact"/>
        <w:rPr>
          <w:sz w:val="20"/>
          <w:szCs w:val="20"/>
          <w:color w:val="auto"/>
        </w:rPr>
      </w:pPr>
    </w:p>
    <w:p>
      <w:pPr>
        <w:jc w:val="both"/>
        <w:ind w:left="140" w:right="140"/>
        <w:spacing w:after="0" w:line="222" w:lineRule="exact"/>
        <w:rPr>
          <w:sz w:val="20"/>
          <w:szCs w:val="20"/>
          <w:color w:val="auto"/>
        </w:rPr>
      </w:pPr>
      <w:r>
        <w:rPr>
          <w:rFonts w:ascii="Arial" w:cs="Arial" w:eastAsia="Arial" w:hAnsi="Arial"/>
          <w:sz w:val="17"/>
          <w:szCs w:val="17"/>
          <w:b w:val="1"/>
          <w:bCs w:val="1"/>
          <w:color w:val="231F20"/>
        </w:rPr>
        <w:t xml:space="preserve">On March 16, 2026, the Company entered into a Termination and Mutual Release Agreement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Termination Agreement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with Alcon and Merger Sub, pursuant to which the parties agreed that the Merger Agreement was terminated, effective immediately. Pursuant to the Termination Agreement, Alcon agreed that the Company will retain the Merger Deposit of $10,000, which is classified as a current liability on the balance sheet at December 31, 2025. The parties also agreed to release each other from claims, demands, damages, actions, causes of action and liability relating to or arising out of the Merger Agreement and the transactions contemplated therein or thereby. The Merger Deposit will be recorded as Other Income for the three months ending March 31, 2026. At December 31, 2025, the Company had incurred acquisition-related costs of approximately $17,141, of which $13,806 was classified as accounts payable and $180 was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$4,300. Furthermore, during the three months ending March 31, 2026, $5,000 of accounts payable will be reclassified from current to long-term based upon extended payment terms provided by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acquisition advisers.</w:t>
      </w:r>
    </w:p>
    <w:p>
      <w:pPr>
        <w:sectPr>
          <w:pgSz w:w="12240" w:h="15840" w:orient="portrait"/>
          <w:cols w:equalWidth="0" w:num="1">
            <w:col w:w="9360"/>
          </w:cols>
          <w:pgMar w:left="1440"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F-36</w:t>
      </w:r>
    </w:p>
    <w:p>
      <w:pPr>
        <w:sectPr>
          <w:pgSz w:w="12240" w:h="15840" w:orient="portrait"/>
          <w:cols w:equalWidth="0" w:num="1">
            <w:col w:w="9360"/>
          </w:cols>
          <w:pgMar w:left="1440" w:top="1440" w:right="1440" w:bottom="390" w:gutter="0" w:footer="0" w:header="0"/>
          <w:type w:val="continuous"/>
        </w:sectPr>
      </w:pPr>
    </w:p>
    <w:bookmarkStart w:id="138" w:name="page139"/>
    <w:bookmarkEnd w:id="13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100330</wp:posOffset>
            </wp:positionH>
            <wp:positionV relativeFrom="page">
              <wp:posOffset>100330</wp:posOffset>
            </wp:positionV>
            <wp:extent cx="7570470" cy="9856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70470" cy="985647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o"/>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lowerRoman"/>
      <w:start w:val="3"/>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lowerRoman"/>
      <w:start w:val="2"/>
    </w:lvl>
  </w:abstractNum>
  <w:abstractNum w:abstractNumId="48">
    <w:nsid w:val="10233C99"/>
    <w:multiLevelType w:val="hybridMultilevel"/>
    <w:lvl w:ilvl="0">
      <w:lvlJc w:val="left"/>
      <w:lvlText w:val="(%1)"/>
      <w:numFmt w:val="decimal"/>
      <w:start w:val="3"/>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211"/>
    </w:lvl>
  </w:abstractNum>
  <w:abstractNum w:abstractNumId="53">
    <w:nsid w:val="579BE4F1"/>
    <w:multiLevelType w:val="hybridMultilevel"/>
    <w:lvl w:ilvl="0">
      <w:lvlJc w:val="left"/>
      <w:lvlText w:val="(%1)"/>
      <w:numFmt w:val="decimal"/>
      <w:start w:val="341"/>
    </w:lvl>
  </w:abstractNum>
  <w:abstractNum w:abstractNumId="54">
    <w:nsid w:val="310C50B3"/>
    <w:multiLevelType w:val="hybridMultilevel"/>
    <w:lvl w:ilvl="0">
      <w:lvlJc w:val="left"/>
      <w:lvlText w:val="(%1)"/>
      <w:numFmt w:val="decimal"/>
      <w:start w:val="511"/>
    </w:lvl>
  </w:abstractNum>
  <w:abstractNum w:abstractNumId="55">
    <w:nsid w:val="5FF87E05"/>
    <w:multiLevelType w:val="hybridMultilevel"/>
    <w:lvl w:ilvl="0">
      <w:lvlJc w:val="left"/>
      <w:lvlText w:val="(%1)"/>
      <w:numFmt w:val="decimal"/>
      <w:start w:val="49"/>
    </w:lvl>
  </w:abstractNum>
  <w:abstractNum w:abstractNumId="56">
    <w:nsid w:val="2F305DEF"/>
    <w:multiLevelType w:val="hybridMultilevel"/>
    <w:lvl w:ilvl="0">
      <w:lvlJc w:val="left"/>
      <w:lvlText w:val="(%1)"/>
      <w:numFmt w:val="decimal"/>
      <w:start w:val="83"/>
    </w:lvl>
  </w:abstractNum>
  <w:abstractNum w:abstractNumId="57">
    <w:nsid w:val="25A70BF7"/>
    <w:multiLevelType w:val="hybridMultilevel"/>
    <w:lvl w:ilvl="0">
      <w:lvlJc w:val="left"/>
      <w:lvlText w:val="(%1)"/>
      <w:numFmt w:val="decimal"/>
      <w:start w:val="425"/>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3"/>
      <w:numFmt w:val="bullet"/>
      <w:start w:val="1"/>
    </w:lvl>
  </w:abstractNum>
  <w:abstractNum w:abstractNumId="61">
    <w:nsid w:val="1381823A"/>
    <w:multiLevelType w:val="hybridMultilevel"/>
    <w:lvl w:ilvl="0">
      <w:lvlJc w:val="left"/>
      <w:lvlText w:val="1"/>
      <w:numFmt w:val="bullet"/>
      <w:start w:val="1"/>
    </w:lvl>
  </w:abstractNum>
  <w:abstractNum w:abstractNumId="62">
    <w:nsid w:val="5DB70AE5"/>
    <w:multiLevelType w:val="hybridMultilevel"/>
    <w:lvl w:ilvl="0">
      <w:lvlJc w:val="left"/>
      <w:lvlText w:val="1"/>
      <w:numFmt w:val="bullet"/>
      <w:start w:val="1"/>
    </w:lvl>
  </w:abstractNum>
  <w:abstractNum w:abstractNumId="63">
    <w:nsid w:val="100F8FCA"/>
    <w:multiLevelType w:val="hybridMultilevel"/>
    <w:lvl w:ilvl="0">
      <w:lvlJc w:val="left"/>
      <w:lvlText w:val="1"/>
      <w:numFmt w:val="bullet"/>
      <w:start w:val="1"/>
    </w:lvl>
  </w:abstractNum>
  <w:abstractNum w:abstractNumId="64">
    <w:nsid w:val="6590700B"/>
    <w:multiLevelType w:val="hybridMultilevel"/>
    <w:lvl w:ilvl="0">
      <w:lvlJc w:val="left"/>
      <w:lvlText w:val="2"/>
      <w:numFmt w:val="bullet"/>
      <w:start w:val="1"/>
    </w:lvl>
  </w:abstractNum>
  <w:abstractNum w:abstractNumId="65">
    <w:nsid w:val="15014ACB"/>
    <w:multiLevelType w:val="hybridMultilevel"/>
    <w:lvl w:ilvl="0">
      <w:lvlJc w:val="left"/>
      <w:lvlText w:val="3"/>
      <w:numFmt w:val="bullet"/>
      <w:start w:val="1"/>
    </w:lvl>
  </w:abstractNum>
  <w:abstractNum w:abstractNumId="66">
    <w:nsid w:val="5F5E7FD0"/>
    <w:multiLevelType w:val="hybridMultilevel"/>
    <w:lvl w:ilvl="0">
      <w:lvlJc w:val="left"/>
      <w:lvlText w:val="4"/>
      <w:numFmt w:val="bullet"/>
      <w:start w:val="1"/>
    </w:lvl>
  </w:abstractNum>
  <w:abstractNum w:abstractNumId="67">
    <w:nsid w:val="98A3148"/>
    <w:multiLevelType w:val="hybridMultilevel"/>
    <w:lvl w:ilvl="0">
      <w:lvlJc w:val="left"/>
      <w:lvlText w:val="5"/>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84"/>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2026-06-23T15:46:30Z</dcterms:created>
  <dcterms:modified xsi:type="dcterms:W3CDTF">2026-06-23T15:46:30Z</dcterms:modified>
</cp:coreProperties>
</file>