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51231.htm"/>
      <w:bookmarkStart w:id="1" w:name="kslnsr2025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(Mark One)</w:t>
      </w:r>
    </w:p>
    <w:tbl>
      <w:tblPr>
        <w:tblW w:w="7007" w:type="dxa"/>
        <w:jc w:val="left"/>
        <w:tblInd w:w="0" w:type="dxa"/>
        <w:tblLayout w:type="fixed"/>
        <w:tblCellMar>
          <w:top w:w="28" w:type="dxa"/>
          <w:left w:w="28" w:type="dxa"/>
          <w:bottom w:w="28" w:type="dxa"/>
          <w:right w:w="28" w:type="dxa"/>
        </w:tblCellMar>
      </w:tblPr>
      <w:tblGrid>
        <w:gridCol w:w="331"/>
        <w:gridCol w:w="6676"/>
      </w:tblGrid>
      <w:tr>
        <w:trPr/>
        <w:tc>
          <w:tcPr>
            <w:tcW w:w="331"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jc w:val="center"/>
        <w:rPr>
          <w:rFonts w:ascii="Times New Roman" w:hAnsi="Times New Roman"/>
          <w:b/>
          <w:color w:val="000000"/>
          <w:sz w:val="18"/>
        </w:rPr>
      </w:pPr>
      <w:r>
        <w:rPr>
          <w:rFonts w:ascii="Times New Roman" w:hAnsi="Times New Roman"/>
          <w:b/>
          <w:color w:val="000000"/>
          <w:sz w:val="18"/>
        </w:rPr>
        <w:t>or</w:t>
      </w:r>
    </w:p>
    <w:tbl>
      <w:tblPr>
        <w:tblW w:w="7232" w:type="dxa"/>
        <w:jc w:val="left"/>
        <w:tblInd w:w="0" w:type="dxa"/>
        <w:tblLayout w:type="fixed"/>
        <w:tblCellMar>
          <w:top w:w="28" w:type="dxa"/>
          <w:left w:w="28" w:type="dxa"/>
          <w:bottom w:w="28" w:type="dxa"/>
          <w:right w:w="28" w:type="dxa"/>
        </w:tblCellMar>
      </w:tblPr>
      <w:tblGrid>
        <w:gridCol w:w="331"/>
        <w:gridCol w:w="6901"/>
      </w:tblGrid>
      <w:tr>
        <w:trPr/>
        <w:tc>
          <w:tcPr>
            <w:tcW w:w="331"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9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001-39473</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LENSAR,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6962" w:type="dxa"/>
        <w:jc w:val="left"/>
        <w:tblInd w:w="0" w:type="dxa"/>
        <w:tblLayout w:type="fixed"/>
        <w:tblCellMar>
          <w:top w:w="28" w:type="dxa"/>
          <w:left w:w="28" w:type="dxa"/>
          <w:bottom w:w="28" w:type="dxa"/>
          <w:right w:w="28" w:type="dxa"/>
        </w:tblCellMar>
      </w:tblPr>
      <w:tblGrid>
        <w:gridCol w:w="4291"/>
        <w:gridCol w:w="2671"/>
      </w:tblGrid>
      <w:tr>
        <w:trPr/>
        <w:tc>
          <w:tcPr>
            <w:tcW w:w="429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32-0125724</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center"/>
        <w:rPr>
          <w:rFonts w:ascii="Times New Roman" w:hAnsi="Times New Roman"/>
          <w:b/>
          <w:color w:val="000000"/>
          <w:sz w:val="18"/>
        </w:rPr>
      </w:pPr>
      <w:r>
        <w:rPr>
          <w:rFonts w:ascii="Times New Roman" w:hAnsi="Times New Roman"/>
          <w:b/>
          <w:color w:val="000000"/>
          <w:sz w:val="18"/>
        </w:rPr>
        <w:t>2800 Discovery Drive</w:t>
      </w:r>
    </w:p>
    <w:p>
      <w:pPr>
        <w:pStyle w:val="TextBody"/>
        <w:bidi w:val="0"/>
        <w:jc w:val="center"/>
        <w:rPr>
          <w:rFonts w:ascii="Times New Roman" w:hAnsi="Times New Roman"/>
          <w:sz w:val="20"/>
        </w:rPr>
      </w:pPr>
      <w:r>
        <w:rPr>
          <w:rFonts w:ascii="Times New Roman" w:hAnsi="Times New Roman"/>
          <w:b/>
          <w:color w:val="000000"/>
          <w:sz w:val="18"/>
        </w:rPr>
        <w:t>Orlando, Florida</w:t>
      </w:r>
      <w:r>
        <w:rPr>
          <w:rFonts w:ascii="Times New Roman" w:hAnsi="Times New Roman"/>
          <w:color w:val="000000"/>
          <w:sz w:val="20"/>
        </w:rPr>
        <w:t xml:space="preserve"> </w:t>
      </w:r>
      <w:r>
        <w:rPr>
          <w:rFonts w:ascii="Times New Roman" w:hAnsi="Times New Roman"/>
          <w:b/>
          <w:color w:val="000000"/>
          <w:sz w:val="18"/>
        </w:rPr>
        <w:t>32826</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(888) 536-7271</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tbl>
      <w:tblPr>
        <w:tblW w:w="6760" w:type="dxa"/>
        <w:jc w:val="left"/>
        <w:tblInd w:w="0" w:type="dxa"/>
        <w:tblLayout w:type="fixed"/>
        <w:tblCellMar>
          <w:top w:w="28" w:type="dxa"/>
          <w:left w:w="28" w:type="dxa"/>
          <w:bottom w:w="28" w:type="dxa"/>
          <w:right w:w="28" w:type="dxa"/>
        </w:tblCellMar>
      </w:tblPr>
      <w:tblGrid>
        <w:gridCol w:w="3061"/>
        <w:gridCol w:w="146"/>
        <w:gridCol w:w="706"/>
        <w:gridCol w:w="146"/>
        <w:gridCol w:w="270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LNSR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Securities registered pursuant to Section 12(g) of the Act: None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if the registrant is a well</w:t>
        <w:noBreakHyphen/>
        <w:t xml:space="preserve">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w:t>
      </w:r>
      <w:r>
        <w:rPr>
          <w:rFonts w:ascii="Times New Roman" w:hAnsi="Times New Roman"/>
          <w:color w:val="000000"/>
          <w:sz w:val="20"/>
        </w:rPr>
        <w:t xml:space="preserve"> </w:t>
      </w:r>
      <w:r>
        <w:rPr>
          <w:rFonts w:ascii="Times New Roman" w:hAnsi="Times New Roman"/>
          <w:color w:val="000000"/>
          <w:sz w:val="16"/>
        </w:rPr>
        <w:t xml:space="preserve">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quarter, the approximate market value of the registrant's common stock held by non-affiliates was $113.3</w:t>
      </w:r>
      <w:r>
        <w:rPr>
          <w:rFonts w:ascii="Times New Roman" w:hAnsi="Times New Roman"/>
          <w:color w:val="000000"/>
          <w:sz w:val="20"/>
        </w:rPr>
        <w:t xml:space="preserve"> </w:t>
      </w:r>
      <w:r>
        <w:rPr>
          <w:rFonts w:ascii="Times New Roman" w:hAnsi="Times New Roman"/>
          <w:color w:val="000000"/>
          <w:sz w:val="16"/>
        </w:rPr>
        <w:t>million. As of February 28, 2026, there were 12,095,631</w:t>
      </w:r>
      <w:r>
        <w:rPr>
          <w:rFonts w:ascii="Times New Roman" w:hAnsi="Times New Roman"/>
          <w:color w:val="000000"/>
          <w:sz w:val="20"/>
        </w:rPr>
        <w:t xml:space="preserve"> </w:t>
      </w:r>
      <w:r>
        <w:rPr>
          <w:rFonts w:ascii="Times New Roman" w:hAnsi="Times New Roman"/>
          <w:color w:val="000000"/>
          <w:sz w:val="16"/>
        </w:rPr>
        <w:t>shares of the registrant’s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for its 2026 annual meeting of stockholders, which the registrant intends to file pursuant to Regulation 14A with the Securities and Exchange Commission not later than 120 days after the registrant’s fiscal year ended December 31, 2025, are incorporated by reference into Part III of this Annual Report on Form 10-K.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98"/>
        <w:gridCol w:w="8865"/>
        <w:gridCol w:w="542"/>
      </w:tblGrid>
      <w:tr>
        <w:trPr/>
        <w:tc>
          <w:tcPr>
            <w:tcW w:w="798" w:type="dxa"/>
            <w:tcBorders/>
            <w:vAlign w:val="center"/>
          </w:tcPr>
          <w:p>
            <w:pPr>
              <w:pStyle w:val="TableContents"/>
              <w:bidi w:val="0"/>
              <w:spacing w:before="0" w:after="283"/>
              <w:jc w:val="left"/>
              <w:rPr>
                <w:sz w:val="4"/>
                <w:szCs w:val="4"/>
              </w:rPr>
            </w:pPr>
            <w:r>
              <w:rPr>
                <w:sz w:val="4"/>
                <w:szCs w:val="4"/>
              </w:rPr>
            </w:r>
          </w:p>
        </w:tc>
        <w:tc>
          <w:tcPr>
            <w:tcW w:w="886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forwardlooking_statements">
              <w:r>
                <w:rPr>
                  <w:rStyle w:val="InternetLink"/>
                  <w:rFonts w:ascii="Times New Roman" w:hAnsi="Times New Roman"/>
                  <w:color w:val="0000FF"/>
                  <w:sz w:val="20"/>
                  <w:u w:val="single"/>
                </w:rPr>
                <w:t>Forward-Looking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trademarks_trade_names">
              <w:r>
                <w:rPr>
                  <w:rStyle w:val="InternetLink"/>
                  <w:rFonts w:ascii="Times New Roman" w:hAnsi="Times New Roman"/>
                  <w:color w:val="0000FF"/>
                  <w:sz w:val="20"/>
                  <w:u w:val="single"/>
                </w:rPr>
                <w:t>Trademarks and Trade Names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market_industry_data_forecasts">
              <w:r>
                <w:rPr>
                  <w:rStyle w:val="InternetLink"/>
                  <w:rFonts w:ascii="Times New Roman" w:hAnsi="Times New Roman"/>
                  <w:color w:val="0000FF"/>
                  <w:sz w:val="20"/>
                  <w:u w:val="single"/>
                </w:rPr>
                <w:t>Market and Industry Data and Forecasts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9c_discosure_foreign_jurisdictions">
              <w:r>
                <w:rPr>
                  <w:rStyle w:val="InternetLink"/>
                  <w:rFonts w:ascii="Times New Roman" w:hAnsi="Times New Roman"/>
                  <w:color w:val="0000FF"/>
                  <w:sz w:val="20"/>
                  <w:u w:val="single"/>
                </w:rPr>
                <w:t>Disclosure Regarding Foreign Jurisdictions that Prevent Inspections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65"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 w:name="forwardlooking_statements"/>
      <w:bookmarkEnd w:id="2"/>
      <w:r>
        <w:rPr>
          <w:rFonts w:ascii="Times New Roman" w:hAnsi="Times New Roman"/>
          <w:b/>
          <w:caps/>
          <w:color w:val="000000"/>
          <w:sz w:val="20"/>
        </w:rPr>
        <w:t>FORWARD-LOOKING STATEMENTS</w:t>
      </w:r>
    </w:p>
    <w:p>
      <w:pPr>
        <w:pStyle w:val="TextBody"/>
        <w:bidi w:val="0"/>
        <w:spacing w:before="200" w:after="283"/>
        <w:jc w:val="both"/>
        <w:rPr>
          <w:rFonts w:ascii="Times New Roman" w:hAnsi="Times New Roman"/>
          <w:sz w:val="20"/>
        </w:rPr>
      </w:pPr>
      <w:r>
        <w:rPr>
          <w:rFonts w:ascii="Times New Roman" w:hAnsi="Times New Roman"/>
          <w:color w:val="000000"/>
          <w:sz w:val="20"/>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without limitation statements regarding the impact of the termination of the Merger Agreement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w:t>
      </w:r>
      <w:r>
        <w:rPr>
          <w:rFonts w:ascii="Times New Roman" w:hAnsi="Times New Roman"/>
          <w:color w:val="000000"/>
          <w:sz w:val="13"/>
        </w:rPr>
        <w:t>®</w:t>
      </w:r>
      <w:r>
        <w:rPr>
          <w:rFonts w:ascii="Times New Roman" w:hAnsi="Times New Roman"/>
          <w:color w:val="000000"/>
          <w:sz w:val="20"/>
        </w:rPr>
        <w:t xml:space="preserve">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Part II, Item 7. “Management’s Discussion and Analysis of Financial Condition and Results of Operations” in this Annual Report. These risks and uncertainties include, but are not limited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anticipated effects of the termination of the Merger Agreement (as defined below) on the value of our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outcome of any legal proceedings that may be instituted against us and others relating to the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history of operating losses and ability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receive and maintain regulatory clearance or certification of and successfully commercialize the ALLY System and to maintain our LENSAR Laser System (“LLS”) (collectively the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to our business, financial condition, results of operations and our suppliers and distributors as a result of global macroeconomic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willingness of patients to pay the price difference for our products compared to a standard cataract procedure covered by Medicare or other insurance;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grow our U.S. sales and marketing organization or maintain or grow an effective network of international distributors;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and our ability to raise additional funds on acceptable terms, or at all;</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compete against competitors that have longer operating histories, more established products and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address the numerous risks associated with marketing, selling and leasing our products in markets outside the United States;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exposure to the credit risk of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accurately forecast customer demand and manage our inventory levels;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of product liability suits brought against us;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related to government regulation applicable to our products and operations;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related to our intellectual property and other intellectual property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stated or the context requires otherwise, references to “LENSAR,” the “Company,” “we,” “us,” and “our,” refer to LENSAR, Inc.</w:t>
      </w:r>
    </w:p>
    <w:p>
      <w:pPr>
        <w:pStyle w:val="Heading2"/>
        <w:bidi w:val="0"/>
        <w:spacing w:before="200" w:after="283"/>
        <w:jc w:val="center"/>
        <w:rPr>
          <w:rFonts w:ascii="Times New Roman" w:hAnsi="Times New Roman"/>
          <w:color w:val="000000"/>
          <w:sz w:val="20"/>
        </w:rPr>
      </w:pPr>
      <w:bookmarkStart w:id="3" w:name="trademarks_trade_names"/>
      <w:bookmarkEnd w:id="3"/>
      <w:r>
        <w:rPr>
          <w:rFonts w:ascii="Times New Roman" w:hAnsi="Times New Roman"/>
          <w:color w:val="000000"/>
          <w:sz w:val="20"/>
        </w:rPr>
        <w:t>TRADEMARKS AND TRADE NAMES</w:t>
      </w:r>
    </w:p>
    <w:p>
      <w:pPr>
        <w:pStyle w:val="Heading2"/>
        <w:bidi w:val="0"/>
        <w:spacing w:before="200" w:after="283"/>
        <w:jc w:val="both"/>
        <w:rPr>
          <w:rFonts w:ascii="Times New Roman" w:hAnsi="Times New Roman"/>
          <w:b w:val="false"/>
          <w:color w:val="000000"/>
          <w:sz w:val="20"/>
        </w:rPr>
      </w:pPr>
      <w:r>
        <w:rPr>
          <w:rFonts w:ascii="Times New Roman" w:hAnsi="Times New Roman"/>
          <w:b w:val="false"/>
          <w:color w:val="000000"/>
          <w:sz w:val="20"/>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ALLY Robotic Laser Cataract Surgery, Robotic Laser Cataract Surgery, and the Robotic Laser Cataract Surgery logo, each of which is considered a trademark. All other company names, product names, trade names and trademarks included in this Annual Report are trademarks, registered trademarks or trade names of their respective owners.</w:t>
      </w:r>
    </w:p>
    <w:p>
      <w:pPr>
        <w:pStyle w:val="TextBody"/>
        <w:bidi w:val="0"/>
        <w:spacing w:before="200" w:after="283"/>
        <w:jc w:val="center"/>
        <w:rPr>
          <w:rFonts w:ascii="Times New Roman" w:hAnsi="Times New Roman"/>
          <w:b/>
          <w:caps/>
          <w:color w:val="000000"/>
          <w:sz w:val="20"/>
        </w:rPr>
      </w:pPr>
      <w:bookmarkStart w:id="4" w:name="market_industry_data_forecasts"/>
      <w:bookmarkEnd w:id="4"/>
      <w:r>
        <w:rPr>
          <w:rFonts w:ascii="Times New Roman" w:hAnsi="Times New Roman"/>
          <w:b/>
          <w:caps/>
          <w:color w:val="000000"/>
          <w:sz w:val="20"/>
        </w:rPr>
        <w:t>MARKET AND INDUSTRY DATA AND FORECASTS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this Annual Report, we present certain market and industry data and statistics. This information is based on third-party sources, which we believe to be reliable. We have not independently verified data from these sources and cannot guarantee their accuracy or completeness. While we are not aware of any misstatements regarding industry data provided herein, our estimates involve risks and uncertainties and are subject to change based upon various factors, including those discussed in this Annual Report under “Forward-Looking Statements” and Part I, Item 1A. “Risk Factors.” Additionally, some data in this Annual Report is based on our good faith estimates, which are derived from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knowledge of the industry and independent sources. Similarly, we believe our internal research is reliable, however, such research has not been verified by any independent sources.</w:t>
      </w:r>
    </w:p>
    <w:p>
      <w:pPr>
        <w:pStyle w:val="Heading2"/>
        <w:bidi w:val="0"/>
        <w:spacing w:before="200" w:after="283"/>
        <w:jc w:val="center"/>
        <w:rPr>
          <w:rFonts w:ascii="Times New Roman" w:hAnsi="Times New Roman"/>
          <w:color w:val="000000"/>
          <w:sz w:val="20"/>
        </w:rPr>
      </w:pPr>
      <w:bookmarkStart w:id="5" w:name="risk_factor_summary"/>
      <w:bookmarkEnd w:id="5"/>
      <w:r>
        <w:rPr>
          <w:rFonts w:ascii="Times New Roman" w:hAnsi="Times New Roman"/>
          <w:color w:val="000000"/>
          <w:sz w:val="20"/>
        </w:rPr>
        <w:t>RISK FACTOR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announcement of the termination of the Merger Agreement could negatively impact our business, financial condition, results of operations or our stock price.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shareholder litigation related to the termination of the Merger Agreement, which could result in payment of damages.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and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part_i"/>
      <w:bookmarkEnd w:id="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00" w:after="283"/>
        <w:jc w:val="both"/>
        <w:rPr>
          <w:rFonts w:ascii="Times New Roman" w:hAnsi="Times New Roman"/>
          <w:b/>
          <w:color w:val="000000"/>
          <w:sz w:val="20"/>
        </w:rPr>
      </w:pPr>
      <w:bookmarkStart w:id="7" w:name="item_1_business"/>
      <w:bookmarkEnd w:id="7"/>
      <w:r>
        <w:rPr>
          <w:rFonts w:ascii="Times New Roman" w:hAnsi="Times New Roman"/>
          <w:b/>
          <w:color w:val="000000"/>
          <w:sz w:val="20"/>
        </w:rPr>
        <w:t>Item 1. Business</w:t>
      </w:r>
    </w:p>
    <w:p>
      <w:pPr>
        <w:pStyle w:val="TextBody"/>
        <w:bidi w:val="0"/>
        <w:spacing w:before="120" w:after="283"/>
        <w:jc w:val="both"/>
        <w:rPr>
          <w:rFonts w:ascii="Times New Roman" w:hAnsi="Times New Roman"/>
          <w:sz w:val="20"/>
        </w:rPr>
      </w:pPr>
      <w:r>
        <w:rPr>
          <w:rFonts w:ascii="Times New Roman" w:hAnsi="Times New Roman"/>
          <w:color w:val="000000"/>
          <w:sz w:val="20"/>
        </w:rPr>
        <w:t>We are a commercial-stage medical device company focused on designing, developing and marketing advanced laser systems for the treatment of cataracts and the management of pre-existing or surgically induced corneal astigmatism. Our current systems, the LENSAR Laser System, or LLS, and ALLY Robotic Cataract Laser System</w:t>
      </w:r>
      <w:r>
        <w:rPr>
          <w:rFonts w:ascii="Times New Roman" w:hAnsi="Times New Roman"/>
          <w:color w:val="000000"/>
          <w:sz w:val="13"/>
        </w:rPr>
        <w:t>®</w:t>
      </w:r>
      <w:r>
        <w:rPr>
          <w:rFonts w:ascii="Times New Roman" w:hAnsi="Times New Roman"/>
          <w:color w:val="000000"/>
          <w:sz w:val="20"/>
        </w:rPr>
        <w:t>, or ALLY System, or collectively, the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laser systems that can be quickly and efficiently integrated into a surgeon’s existing practice, is easy to use and provides surgeons the ability to deliver improved visual outcomes with enhanced precision and the ability to do so consistently. The ALLY System combines all of the features from our LLS with a dual-modality laser, integrated in a small, compact cataract treatment system that is designed to allow surgeons to perform sterile cataract surgery in a single operating room. This system is designed to be a significant medical advancement and provide improved efficiency and financial benefit to a surgeon’s practice and to ambulatory surgery centers, or ASCs. The ALLY System received clearance from the U.S. Food and Drug Administration, or FDA, in June 2022, and we executed a controlled and targeted initial launch of the ALLY System in August 2022. The ALLY System is available to all U.S. and EU cataract surgeons and has also received regulatory clearance in India, Taiwan, as well as certain other countries.</w:t>
      </w:r>
    </w:p>
    <w:p>
      <w:pPr>
        <w:pStyle w:val="TextBody"/>
        <w:bidi w:val="0"/>
        <w:spacing w:before="360" w:after="283"/>
        <w:jc w:val="both"/>
        <w:rPr>
          <w:rFonts w:ascii="Times New Roman" w:hAnsi="Times New Roman"/>
          <w:sz w:val="20"/>
        </w:rPr>
      </w:pPr>
      <w:r>
        <w:rPr>
          <w:rFonts w:ascii="Times New Roman" w:hAnsi="Times New Roman"/>
          <w:b/>
          <w:color w:val="000000"/>
          <w:sz w:val="20"/>
        </w:rPr>
        <w:t>Market Overview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market for the treatment of cataracts is characterized by large patient populations with increases driven by the aging population and the availability of new technologies, such as laser systems used during cataract surgery and an influx of new, innovative intraocular lenses, or IOLs, which can improve visual outcomes post-operatively. Cataract surgery is one of the highest volume surgical procedures in the world, and according to the American Academy of Ophthalmology, or AAO, the most common procedure performed by the ophthalmic surgeon. According to the 2025 Cataract Surgical Equipment Market Report, global estimated cataract surgery and refractive lens exchange surgical procedures (cataract surgery) are expected to grow from 33.1 million in 2025 to 39.6 million in 2030. In the United States, cataract surgery is expected to increase from almost 5.1 million procedures in 2025 to approximately 5.9 million in 2030. However, in 2025, only 1 million of the global cataract surgeries were performed using a laser. This is expected to grow to an estimated 1.2 million of the global cataract procedures in 2030. There are approximately 9,419 ophthalmic surgeons in the United States focused on performing cataract procedures.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Cataracts and Cataract Surgery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cataract occurs when the normally clear lens of the eye becomes cloudy or opaque, causing a decrease in vision. The clouding of this lens caused by a cataract can cause blurring and distortion of vision, colors that seem faded, glare or halos from lights at night, diminished vision and double vision. Cataracts typically affect both eyes, but it is not uncommon for a cataract in one eye to advance more rapidly. In most cases, the cataract is a naturally occurring process that is age-related, although it can also be caused by heredity, an injury to the eye or after surgery for another eye problem, such as glaucoma. Currently, the only way to treat cataracts is to surgically remove the natural lens of the eye.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Traditional cataract surgeries are performed by a surgeon using a metal or diamond blade to perform the corneal incisions to enter the eye, and a bent needle to perform the anterior capsulorhexis to provide the surgeon access to the nucleus of the cataract for fragmentation and subsequent removal. Over the last decade, laser systems have been developed to assist surgeons in performing or facilitating these aspects of the cataract procedure, including assessing and fragmenting the cataract. In either case, cataract nucleus disassembly and removal is achieved using a process with ultrasound called phacoemulsification. Currently, Medicare and most commercial third-party payors only cover the cost of traditional cataract surgery and the placement of a monofocal IOL, which may not produce the targeted visual outcome. To achieve their targeted visual outcome, patients may elect to have an advanced procedure that involves use of a laser system and/or implantation of a premium IOL, and/or addresses their pre-existing astigmatism in which case the patient is responsible for the cost differential between the amount reimbursed by a third-party payor and the cost of the advanced procedure.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majority of patients suffering from cataracts also present with visually significant astigmatism. Astigmatism is an imperfection in the symmetry of the cornea, creating a different, additional focal plane in a specific axis within the cornea. This causes a distortion of the light as it converges on the retina and causes blurry vision. In 2025, Market Scope referenced data from a clinical study of 6,000 patients performed by Warren Hill, MD that estimates that approximately 70 – 90% of cataract patients present with addressable astigmatism prior to cataract surgery. To reduce the need for prescription distance or reading glasses following cataract surgery, it is important that little or no astigmatism remain. Conventionally, residual post-operative astigmatism has been targeted at less than or equal to 0.5 diopters, the unit measure of the refractive power of a lens. Surgeons may attempt to address low to moderate magnitudes of astigmatism using a procedure called limbal relaxing incisions, or LRIs, or arcuate incisions, or AIs. LRIs or AIs are performed by making two small incisions on the cornea, usually 180 degrees apart that are intended to return the cornea to a rounder, symmetrical shape. Corneal incisions used by surgeons as a means to manage astigmatism that are performed with a laser are referred to as AIs. More recently, and where the magnitude of astigmatism is higher, toric IOLs may be used to both correct the patient’s near or far vision and address any pre-existing astigmatism.</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Use of a laser during cataract surgery. </w:t>
      </w:r>
      <w:r>
        <w:rPr>
          <w:rFonts w:ascii="Times New Roman" w:hAnsi="Times New Roman"/>
          <w:color w:val="000000"/>
          <w:sz w:val="20"/>
        </w:rPr>
        <w:t xml:space="preserve">In the last 10 to 15 years, special laser systems have been developed to assist surgeons in performing or facilitating the various aspects of cataract procedures. The use of a laser during cataract surgery allows the surgeon to use advanced imaging techniques to design a precise surgical plan and a femtosecond laser, the same type of laser engine used to cut the flaps in LASIK corrective procedures, to make the AIs and perform the capsulorhexis. The intent is to create an incision with a specific location, depth and length that can be performed exactly without the variable of surgeon experience or the individual variances in the anatomy of the patient. The laser can also be used to soften and fragment the nucleus of the cataract before phacoemulsification, which can reduce the amount of phacoemulsification energy required to break up and remove the cataract and reduce the chance of certain complications. After phacoemulsification, the surgeon replaces the natural lens with an IOL and the incision is closed without the need for suture. </w:t>
      </w:r>
    </w:p>
    <w:p>
      <w:pPr>
        <w:pStyle w:val="TextBody"/>
        <w:bidi w:val="0"/>
        <w:spacing w:before="360" w:after="283"/>
        <w:jc w:val="both"/>
        <w:rPr>
          <w:rFonts w:ascii="Times New Roman" w:hAnsi="Times New Roman"/>
          <w:sz w:val="20"/>
        </w:rPr>
      </w:pPr>
      <w:r>
        <w:rPr>
          <w:rFonts w:ascii="Times New Roman" w:hAnsi="Times New Roman"/>
          <w:b/>
          <w:i/>
          <w:color w:val="000000"/>
          <w:sz w:val="20"/>
        </w:rPr>
        <w:t>The Transition to Advanced Refractive Cataract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Currently, Medicare and most commercial third-party payors only cover the cost of treating the medical condition of the cataract, which can be accomplished with traditional cataract surgery and the placement of a monofocal IOL. Standard or traditional cataract surgery does not specifically address the outcomes associated with astigmatism and presbyopia, which may be addressed in an advanced refractive procedure involving the use of a laser during cataract surgery for cataract removal and implantation of a premium IOL. However, since the advantages of these advanced refractive cataract procedures are not deemed medically necessary, patients seeking either or both alternatives must pay the difference between the reimbursed amount and the cost of the advanced procedure that includes implantation of a premium IOL.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these advanced procedures that include implantation of a premium IOL offer physicians and patients additional benefits and improved outcomes that justify the additional cost. For example, some of the benefits of using a laser during cataract surgery include: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Improved accuracy</w:t>
      </w:r>
      <w:r>
        <w:rPr>
          <w:rFonts w:ascii="Times New Roman" w:hAnsi="Times New Roman"/>
          <w:color w:val="000000"/>
          <w:sz w:val="20"/>
        </w:rPr>
        <w:t xml:space="preserve">. Most laser systems cleared for the treatment of cataracts contain imaging tools that assist the surgeon in modeling the eye and developing a surgical plan for the procedure, including the precise placement and location of the capsulorhexis and identifying the axis of astigmatism in each patient. After the surgeon has developed and chosen the plan to proceed, the system itself can make the appropriate capsulotomy, including the incisions prescribed in the plan, without reliance on the surgeon’s manual capabilities to size, shape and locate the capsulorhexis, and appropriately place the AIs to minimize any further inducement of astigmatism. This is intended to optimize reproducibility and precision in the optimal placement of the capsulorhexis or location of the AIs, customized to each patient and IOL selection.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Reproducibility</w:t>
      </w:r>
      <w:r>
        <w:rPr>
          <w:rFonts w:ascii="Times New Roman" w:hAnsi="Times New Roman"/>
          <w:color w:val="000000"/>
          <w:sz w:val="20"/>
        </w:rPr>
        <w:t xml:space="preserve">. Studies have shown that laser capsulotomies are consistently more round and more precise in sizing to enable better centering and capsulorhexis overlap of the IOL and that IOL positioning is an important factor in determining visual outcomes minimizing the variances associated with manual techniques.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Reduced complications and quicker visual recovery</w:t>
      </w:r>
      <w:r>
        <w:rPr>
          <w:rFonts w:ascii="Times New Roman" w:hAnsi="Times New Roman"/>
          <w:color w:val="000000"/>
          <w:sz w:val="20"/>
        </w:rPr>
        <w:t>. By using a laser to soften and fragment the cataract before phacoemulsification, less phacoemulsification energy is required to emulsify and remove the cataract. This may make the procedure safer to the inner eye and reduce the chance of complications, such as cystoid macular edema, or swelling of the eye. Use of the laser also creates less endothelial cell loss than phacoemulsification alone, contributing to clearer corneas and quicker visual recovery after surgery.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Typically, patients undergoing an advanced refractive cataract procedure are paying a significant portion of the cost of the surgery out of pocket. As a result, they have heightened expectations for their visual outcomes, normally targeting vision correction within 0.5 diopters of their predicted refractive outcome, sometimes referred to as best uncorrected visual acuity. We believe these procedures and outcomes must appropriately address and manage the correction of the patient’s pre-existing astigmatism. Pre-existing astigmatism is frequently not being addressed in the preoperative surgical planning and more frequently is not part of the treatment. In many cases, we believe the failure to manage the astigmatism in such a large percentage of patients is due to the lack of useful technology in surgery. For example, research indicates that for each 1 degree that a toric IOL is off axis, its ability to reduce astigmatism is decreased by approximately 3.3%. To that end, very small errors in the measurements, calculations and treatments used in the cataract procedure can significantly decrease its effectiveness in achieving the targeted visual outcome. We believe this lack of precision can be attributed to one or more of the following limitations of procedures performed with competing laser systems: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Imaging that requires manual inputs</w:t>
      </w:r>
      <w:r>
        <w:rPr>
          <w:rFonts w:ascii="Times New Roman" w:hAnsi="Times New Roman"/>
          <w:color w:val="000000"/>
          <w:sz w:val="20"/>
        </w:rPr>
        <w:t>. Prior to performing a cataract surgery with most existing laser systems, the surgeon must manually identify and locate the pupil and anterior capsule to place the cursors necessary to perform the capsulorhexis. The result is more likely to be a capsulorhexis that likely is marginally better than a manual surgery by being more concentric and rounder but still reduces the accuracy and reproducibility of the laser to provide useful treatment for a surgeon. In addition, several competing laser systems do not measure automatically for lens tilt and adjust the laser treatment accordingly when fragmenting the natural lens</w:t>
      </w:r>
      <w:r>
        <w:rPr>
          <w:rFonts w:ascii="Times New Roman" w:hAnsi="Times New Roman"/>
          <w:b/>
          <w:i/>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Inaccuracies that appear when managing astigmatism. </w:t>
      </w:r>
      <w:r>
        <w:rPr>
          <w:rFonts w:ascii="Times New Roman" w:hAnsi="Times New Roman"/>
          <w:color w:val="000000"/>
          <w:sz w:val="20"/>
        </w:rPr>
        <w:t xml:space="preserve">Once the surgeon performs the appropriate calculations to determine the surgical plan, he or she will mark the eye with an ink marker to identify the proper steep axis of astigmatism used to accurately align the toric, trifocal or toric multifocal IOL. The reliability of these manual marks can be impacted by events as minor as manually transposing data from the office to the surgical record, the thickness of the marker or bleeding of the ink used when mixed with fluids. The accuracy is also impacted by the natural rotation of the patient’s eye when they move from the seated position when the measurements are taken, to a supine position for surgery. This rotation varies per patient, and the manual marking to orient the eye has to be started when the patient is seated and requires other markers before the ink marker. This can increase the cumulative effect of “stackable error,” contributing to a lack of precision in aligning the IOL.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Inability to integrate with preoperative devices to guide surgical treatment. </w:t>
      </w:r>
      <w:r>
        <w:rPr>
          <w:rFonts w:ascii="Times New Roman" w:hAnsi="Times New Roman"/>
          <w:color w:val="000000"/>
          <w:sz w:val="20"/>
        </w:rPr>
        <w:t xml:space="preserve">Surgeons use a variety of different devices such as corneal topographers and imaging to obtain the preoperative measurements and data needed to develop the treatment plan. Most competing laser systems are unable to integrate with many of these devices, leaving surgeons to manually input, set up, and develop the laser treatment plan.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Deficient cataract density imaging system. </w:t>
      </w:r>
      <w:r>
        <w:rPr>
          <w:rFonts w:ascii="Times New Roman" w:hAnsi="Times New Roman"/>
          <w:color w:val="000000"/>
          <w:sz w:val="20"/>
        </w:rPr>
        <w:t>Cataracts come in varying densities and lens compositions. These can range from soft, which are more easily removed with less energy, to very hard, which require much more energy, care and time during the phacoemulsification procedure. Many competing laser systems’ imaging does not provide useful data and cataract grading systems designed to assist the surgeon in choosing the optimal tissue specific treatments utilizing only the energies and fragmentation necessary to reduce the amount of phacoemulsification required, contributing to less cell loss and quicker visual recoveries.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we believe a significant opportunity exists for laser systems that can improve surgeon precision and assist in achieving targeted visual outcomes in patients with astigmatism.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inability to achieve the targeted visual outcome is largely due to a failure to appropriately address corneal astigmatism even when using competing laser systems. We believe this lack of precision can be attributed to several limitations of competing laser devices, including imaging systems that require manual inputs, inaccuracies that result from reliance on manually transposing data and manually marking the eye for treatment, and competing systems’ inability to use iris registration to integrate with preoperative devices. In addition, these devices may not have the ability to precisely, and in a reproducible basis through the imaging and measurement technology determine the location on optical axis or pupil center based on the surgeon's choice to place the anterior capsulorhexis. This can affect the outcomes due to less certain effective lens position with the IOL implantation. Competing devices also lack a cataract density imaging system, which allows the surgeon to customize the fragmentation and energy settings based on each individual patient’s cataract.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developed our Systems to provide an alternative laser cataract treatment tool that allows the surgeon to better address astigmatism and improve visual outcomes. Our Systems incorporate a range of proprietary technology features that are designed to provide surgeons the following key benefits: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Optimizing Surgeon and Robotic Interaction</w:t>
      </w:r>
      <w:r>
        <w:rPr>
          <w:rFonts w:ascii="Times New Roman" w:hAnsi="Times New Roman"/>
          <w:i/>
          <w:color w:val="000000"/>
          <w:sz w:val="20"/>
        </w:rPr>
        <w:t>.</w:t>
      </w:r>
      <w:r>
        <w:rPr>
          <w:color w:val="000000"/>
        </w:rPr>
        <w:t xml:space="preserve"> </w:t>
      </w:r>
      <w:r>
        <w:rPr>
          <w:rFonts w:ascii="Times New Roman" w:hAnsi="Times New Roman"/>
          <w:color w:val="000000"/>
          <w:sz w:val="20"/>
        </w:rPr>
        <w:t>Robotic intelligence and precision to help guide and optimize every step of the cataract procedure.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Superior docking</w:t>
      </w:r>
      <w:r>
        <w:rPr>
          <w:rFonts w:ascii="Times New Roman" w:hAnsi="Times New Roman"/>
          <w:color w:val="000000"/>
          <w:sz w:val="20"/>
        </w:rPr>
        <w:t>. The system’s robotics is designed to optimize patient engagement to enhance patient comfort and recovery.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Robotic imaging</w:t>
      </w:r>
      <w:r>
        <w:rPr>
          <w:rFonts w:ascii="Times New Roman" w:hAnsi="Times New Roman"/>
          <w:color w:val="000000"/>
          <w:sz w:val="20"/>
        </w:rPr>
        <w:t xml:space="preserve">. Our robotic imaging and processing technology collects a broad spectrum of biometric data and then reconstructs and presents a precise, three-dimensional model based on AI of each individual patient’s eye that is used to develop and implement the surgeon’s procedure plan.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Robotic treatment planning</w:t>
      </w:r>
      <w:r>
        <w:rPr>
          <w:rFonts w:ascii="Times New Roman" w:hAnsi="Times New Roman"/>
          <w:color w:val="000000"/>
          <w:sz w:val="20"/>
        </w:rPr>
        <w:t xml:space="preserve">. Using robotic imaging, our system develops and recommends a treatment plan designed to automate and perform various critical steps in the cataract procedure with the goal of providing surgeons with the confidence to perform these advanced procedures that include implantation of a premium IOL.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Robotic precision and reproducibility</w:t>
      </w:r>
      <w:r>
        <w:rPr>
          <w:rFonts w:ascii="Times New Roman" w:hAnsi="Times New Roman"/>
          <w:color w:val="000000"/>
          <w:sz w:val="20"/>
        </w:rPr>
        <w:t xml:space="preserve">. The system has multiple robotic features specifically designed to enable precise placement and centration of the IOL in patients in a consistent and reproducible manner that is not possible in manual cataract surgery or using competing laser systems.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Efficient design</w:t>
      </w:r>
      <w:r>
        <w:rPr>
          <w:rFonts w:ascii="Times New Roman" w:hAnsi="Times New Roman"/>
          <w:color w:val="000000"/>
          <w:sz w:val="20"/>
        </w:rPr>
        <w:t>. We designed the ergonomics of the system and its wireless capabilities to enable the system to integrate seamlessly into a surgeon’s existing surgical environment. According to Market Scope’s 2025 annual survey, over 75% of U.S. cataract surgeons, indicated the importance of data transfer between diagnostic devices as ‘required’ to ‘nice to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cumulative effect of these technologies are advanced laser systems that can be quickly integrated into a surgeon’s existing practice and is easy to use. The Systems System provide surgeons the ability to deliver improved outcomes when addressing astigmatism in connection with cataract removal and to perform the surgery with enhanced precision and reproducibility.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artificial intelligence, AI, specifically machine learning, and automated decision-making technologies, including proprietary AI machine learning algorithms and models, collectively, AI Technologies, throughout our business. For example, we use AI Technologies in our ALLY System to register and analyze patients’ eyes and determine eye surface and cataract density, which is designed to helps optimize laser patterns and energy settings in cataract procedures, with the goal of minimizing the overall energy delivered in the eye for quicker visual recovery and better patient outcomes. We are in varying stages of development in relation to our products and internal business processes involving AI Technologies.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continuous innovation and continue to develop, and further refine, our proprietary, next-generation robotic laser, the ALLY System. Our ALLY System is designed to combine our current core laser technology features with enhanced capabilities into a single small unit that allows surgeons to perform a robotic laser assisted cataract procedure in an operating room. The ALLY System’s enhanced features include the ability to perform laser procedures much faster, as well as enabling broader applications due to it being the only commercial robotic laser incorporating a dual-modality laser.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South Korea, as well as certain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almost all cataract procedures, whether manual or those using a laser, involve the use of a phacoemulsification system to fracture and remove the cataract. For most surgeons that also use a laser during cataract surgery, the laser system is stationed in a separate room from the phacoemulsification system, as the size of most operating rooms will not accommodate placement of all the other necessary equipment, and these two critical pieces of equipment operate independently. This configuration results in significant interruption in the patient flow, by requiring the patient to be moved from one room to the next during the course of the procedure.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designed our ALLY System to have a small footprint, allowing it to be placed in any operating room or in-office surgery suite, to allow the surgeon to switch seamlessly and quickly between cataract laser and the surgeon’s existing phacoemulsification device without moving patients from room-to-room. Importantly, this system was designed with the ergonomics in-mind to be used in the operating room or the in-office surgical suite. The footprint is significantly smaller than current laser systems and only slightly larger than stand-alone phacoemulsification systems. The additional enhancements to our existing laser technology that are incorporated into our ALLY System include a more versatile laser that uses pulse characteristics designed for tissue specific targeting with significantly faster speeds in different applications. Based on studies with ALLY System users, this system provides significant surgical workflow time savings and financial benefit to a surgeon’s practice and ASC or hospital.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several converging marketplace factors will encourage adoption of our ALLY System. These include: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advent of many new types of advanced IOLs with complex optics, developed to correct near and distance vision with astigmatism, and the ability of the ALLY System to assist surgeons in optimizing the accurate positioning using any of these lenses to correct astigmatism for better visual outcomes;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continued pressure to improve efficiencies driven by the reduction of reimbursement in standard cataract surgery cases coupled with the ability to provide better patient visual outcomes, which we believe will motivate surgeons and patients to seek refractive outcome-based patient-pay procedures;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COVID-19 pandemic increased awareness of efficiencies associated with faster patient throughput, less movement from having to use two rooms to complete an advanced cataract procedure, fewer patient encounters to plan, treat and to complete the advanced cataract procedure, placing the system in the ASC, operating room or in-office surgical suite. Early data suggests performing a sterile robotic laser cataract surgery procedure using the ALLY System resulted in up to 17-minute time savings for the surgeon, up to 19-minute time savings for the surgical staff, and up to 51-minute savings for the patient, allowing surgeons to shorten their surgery day or treat more patients.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According to the 2025 Cataract Surgical Equipment Market Report, there were an estimated 2,085 cataract laser systems installed at the end of 2025, of which 1,960 were in markets that we service. The number of total cataract laser systems installed is expected to grow to over 2,475 devices by 2030. </w:t>
      </w:r>
    </w:p>
    <w:p>
      <w:pPr>
        <w:pStyle w:val="TextBody"/>
        <w:bidi w:val="0"/>
        <w:jc w:val="both"/>
        <w:rPr>
          <w:rFonts w:ascii="Times New Roman" w:hAnsi="Times New Roman"/>
          <w:color w:val="000000"/>
          <w:sz w:val="20"/>
        </w:rPr>
      </w:pPr>
      <w:r>
        <w:rPr>
          <w:rFonts w:ascii="Times New Roman" w:hAnsi="Times New Roman"/>
          <w:color w:val="000000"/>
          <w:sz w:val="20"/>
        </w:rPr>
        <w:t>To help encourage and facilitate this transition to our ALLY System, we are focused on reducing the cost of the system without compromising the capabilities or performance of the laser. With that in mind, the ALLY System was designed to offer more functionality and better performance than other laser systems. We believe the ALLY System's surgical efficiencies and combined functions could help drive broader penetration into the cataract surgery market and could potentially create a paradigm shift in the treatment of cataracts and management of astigmatism in cataract surgery. The overall cost of the ALLY System, may, however, increase due to, among other factors, pricing increases in component parts for our systems resulting from inflationary pressures and macroeconomic conditions.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Our Strengths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attribute our current and anticipated future success to the following factors: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Disruptive technology platform providing improved visual outcomes. </w:t>
      </w:r>
      <w:r>
        <w:rPr>
          <w:rFonts w:ascii="Times New Roman" w:hAnsi="Times New Roman"/>
          <w:color w:val="000000"/>
          <w:sz w:val="20"/>
        </w:rPr>
        <w:t xml:space="preserve">Our systems were built specifically for laser refractive cataract surgery. Central to our systems is our propriety robotic imaging technology, which begins by using Scheimpflug imaging to scan the anterior segment of the eye, collecting a broad spectrum of biometric data. The system then uses a process called wave-tracing to take a series of two-dimensional images derived from the imaging and scanning and, through precision processing of this biometric data using AI, reconstructs a three-dimensional model of each individual patient’s eye. The system identifies relevant anatomy and specific measurements within the eye, then recommends a treatment plan for their review and approval. With robotic precision, the laser places the laser pulses necessary to accomplish the desired treatment. Data presented at the 2023 annual meeting of the American Society of Cataract and Refractive Surgeons demonstrated 99% of patients receiving a toric IOL using the ALLY System, and guided by the IntelliAxis Refractive Capsulorhexis feature of the system, achieved refractive correction within 0.5 diopters of target. In addition to improving visual outcomes, our systems are designed to improve the efficiency and simplify the procedure for surgeons by including pre-programmable surgeon preferences, wireless integration with pre-operative diagnostic data, cataract density imaging, and accurate laser incision planning. We believe these features give surgeons an unprecedented reproducibility and ability to optimize their treatments to achieve LASIK-like vision correction while also improving overall efficiency for the surgeon’s practice.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Demonstrated and growing commercial success. </w:t>
      </w:r>
      <w:r>
        <w:rPr>
          <w:rFonts w:ascii="Times New Roman" w:hAnsi="Times New Roman"/>
          <w:color w:val="000000"/>
          <w:sz w:val="20"/>
        </w:rPr>
        <w:t>We believe our disruptive technology platform has enabled us to rapidly take market share in a highly competitive market. Based on the 2025 Cataract Surgical Equipment Market Report, it was estimated that we achieved 18.0% market share in laser cataract surgery in 2024 in terms of revenue. Additionally, when looking at the average procedures per installed device, each ALLY System averaged 624 procedures in 2025 compared to the estimated industry average of 496 procedures per year per installed device, based on a 2025 Cataract Surgical Equipment Market Report. The following chart shows procedure volume per year from 2021 to 2025:</w:t>
      </w:r>
    </w:p>
    <w:p>
      <w:pPr>
        <w:pStyle w:val="TextBody"/>
        <w:bidi w:val="0"/>
        <w:spacing w:before="240" w:after="283"/>
        <w:jc w:val="left"/>
        <w:rPr>
          <w:rFonts w:ascii="Times New Roman" w:hAnsi="Times New Roman"/>
          <w:sz w:val="20"/>
        </w:rPr>
      </w:pPr>
      <w:r>
        <w:rPr>
          <w:rFonts w:ascii="Times New Roman" w:hAnsi="Times New Roman"/>
          <w:b/>
          <w:color w:val="000000"/>
          <w:sz w:val="20"/>
        </w:rPr>
        <w:t>Procedures per Year</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4524375" cy="3581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24375" cy="358140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000000"/>
          <w:sz w:val="16"/>
        </w:rPr>
        <w:t>Source: Management.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Improved visual outcomes that drive more advanced, patient-pay procedures.</w:t>
      </w:r>
      <w:r>
        <w:rPr>
          <w:color w:val="000000"/>
        </w:rPr>
        <w:t xml:space="preserve"> </w:t>
      </w:r>
      <w:r>
        <w:rPr>
          <w:rFonts w:ascii="Times New Roman" w:hAnsi="Times New Roman"/>
          <w:color w:val="000000"/>
          <w:sz w:val="20"/>
        </w:rPr>
        <w:t xml:space="preserve">Standard cataract procedures are generally covered by Medicare and other third-party payors, including commercial health plans. However, based on the 2025 Market Scope Premium Cataract Surgery Market Report, approximately 91% of global patients receiving a standard cataract procedure do not have significant astigmatism addressed surgically and must rely on glasses for distance or near vision. Moreover, surgeon reimbursement for these standard procedures continues to decline. More advanced procedures, such as laser-assisted cataract surgery and the use of toric and multifocal premium IOLs, can address these additional vision challenges but are generally not covered by Medicare or other third-party payors. Accordingly, patients are required to pay the additional cost associated with the use of these advanced technologies. Historically, some patients may have been reluctant to incur the additional cost of a more advanced procedure that includes implantation of a premium IOL, and some surgeons may have been reluctant to recommend these procedures because of concerns that the targeted visual outcome might not be achieved. We believe the clinical data supporting the effectiveness of our laser system in assisting surgeons to achieve desired outcomes will motivate additional patients to seek, and additional surgeons to offer, these more advanced procedures that include implantation of a premium IOL.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Focus on innovation to facilitate surgeon adoption. </w:t>
      </w:r>
      <w:r>
        <w:rPr>
          <w:rFonts w:ascii="Times New Roman" w:hAnsi="Times New Roman"/>
          <w:color w:val="000000"/>
          <w:sz w:val="20"/>
        </w:rPr>
        <w:t xml:space="preserve">Our systems encompass improved innovations such as wireless capability, advanced imaging, iris registration, and other features to improve their effectiveness and enhance efficiency. We have designed the ALLY System to be a compact robotic laser cataract treatment system to operate in an operating room or in-office surgical suite and allow the surgeon to switch seamlessly and quickly between laser and phacoemulsification without moving patients from room-to-room. We believe these innovations, which are intended to improve patient flow and efficiency, have the potential to allow surgeons to perform more premium procedures each surgery day, helping them to meet the expected increase in demand for cataract/refractive lens exchange surgical procedures.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Innovative intellectual property protected by a comprehensive patent portfolio. </w:t>
      </w:r>
      <w:r>
        <w:rPr>
          <w:rFonts w:ascii="Times New Roman" w:hAnsi="Times New Roman"/>
          <w:color w:val="000000"/>
          <w:sz w:val="20"/>
        </w:rPr>
        <w:t xml:space="preserve">As of December 31, 2025, we owned approximately 292 issued patents and 105 pending patent applications globally. This portfolio covers key aspects of our technology, including the proprietary robotic imaging and processing, iris registration and patient interface features of our system. We have also filed and acquired significant patent rights relating to our next generation cataract treatment system. For example, we have approximately 11 pending US patent applications, 19 issued US patents, 60 pending foreign and PCT applications, and 34 issued foreign patents related to integrated systems.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 xml:space="preserve">Proven management team and board of directors. </w:t>
      </w:r>
      <w:r>
        <w:rPr>
          <w:rFonts w:ascii="Times New Roman" w:hAnsi="Times New Roman"/>
          <w:color w:val="000000"/>
          <w:sz w:val="20"/>
        </w:rPr>
        <w:t>Our senior management team and board of directors consist of seasoned medical device professionals with deep industry experience. Our team has successfully led and managed dynamic growth phases in organizations and commercialized several products specifically in the cataract and refractive surgery field. Members of our team have worked with well-regarded, ophthalmology-focused medical technology companies such as Chiron Corporation, Alcon Inc., Advanced Medical Optics, Inc., Allergan, Inc., Bausch + Lomb and STAAR Surgical.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believe these factors will contribute to further growth and success, we cannot assure you that the market for cataract surgery will continue to grow as we anticipate or that new disruptive technologies will not be introduced to displace our laser systems. Moreover, we must maintain and grow market acceptance for our laser systems and convince physicians and patients that the out-of-pocket costs associated with procedures that use our laser systems will produce their targeted results. If we are unable to accomplish those goals, our business could suffer.</w:t>
      </w:r>
    </w:p>
    <w:p>
      <w:pPr>
        <w:pStyle w:val="TextBody"/>
        <w:bidi w:val="0"/>
        <w:spacing w:before="360" w:after="283"/>
        <w:jc w:val="both"/>
        <w:rPr>
          <w:rFonts w:ascii="Times New Roman" w:hAnsi="Times New Roman"/>
          <w:sz w:val="20"/>
        </w:rPr>
      </w:pPr>
      <w:r>
        <w:rPr>
          <w:rFonts w:ascii="Times New Roman" w:hAnsi="Times New Roman"/>
          <w:b/>
          <w:i/>
          <w:color w:val="000000"/>
          <w:sz w:val="20"/>
        </w:rPr>
        <w:t>Technology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LLS and ALLY System have been built specifically for refractive cataract surgery, and at the core of our commitment to continuous technological innovation is our focus on providing cataract surgeons the tools to deliver their patients improved outcomes. The key technological features of our system include: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IntelliAxis Refractive Capsulorhexis</w:t>
      </w:r>
      <w:r>
        <w:rPr>
          <w:rFonts w:ascii="Times New Roman" w:hAnsi="Times New Roman"/>
          <w:color w:val="000000"/>
          <w:sz w:val="20"/>
        </w:rPr>
        <w:t xml:space="preserve">: Designed to improve precision and accuracy in outcome-based astigmatic cataract procedures, this proprietary technology enables precise marks to be placed on the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rFonts w:ascii="Times New Roman" w:hAnsi="Times New Roman"/>
          <w:color w:val="000000"/>
          <w:sz w:val="20"/>
        </w:rPr>
        <w:t>capsulorhexis on the steep axis using advanced iris registration to guide toric IOL placement and alignment, both during and after the surgical procedure.</w:t>
      </w:r>
      <w:r>
        <w:rPr>
          <w:color w:val="000000"/>
        </w:rPr>
        <w:t xml:space="preserve">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Proprietary Robotic Imaging</w:t>
      </w:r>
      <w:r>
        <w:rPr>
          <w:rFonts w:ascii="Times New Roman" w:hAnsi="Times New Roman"/>
          <w:color w:val="000000"/>
          <w:sz w:val="20"/>
        </w:rPr>
        <w:t xml:space="preserve">: Our patented robotic imaging technology provides a surgeon with a sophisticated, three-dimensional view of a patient’s eye. This enhanced view reflects each patient’s own unique eye size and shape, then, using proprietary software it identifies relevant anatomy within the patient’s eye, and recommends where to precisely place the laser pulses necessary to accomplish the desired treatment. Surgeons are then able to develop better-informed approaches and subsequent treatment for refractive cataract surgical procedures. This technology also simplifies the procedure for surgeons by including pre-programmable surgeon preferences, wireless integration with pre-operative diagnostic data, cataract density imaging for using the lowest energy needed to treat, and accurate laser incision planning. We believe this improves the efficiency and reproducibility of the procedure for surgeons.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Wireless Transfer of Pre-Operative Data</w:t>
      </w:r>
      <w:r>
        <w:rPr>
          <w:rFonts w:ascii="Times New Roman" w:hAnsi="Times New Roman"/>
          <w:color w:val="000000"/>
          <w:sz w:val="20"/>
        </w:rPr>
        <w:t xml:space="preserve">: Pre-operative diagnostic data can be transferred wirelessly from many preoperative corneal topographers and diagnostic devices to our system, which can guide more precise astigmatism planning and reduce or eliminate risks associated with transcription errors and manually marking the eye.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Pre-Operative Data Analysis</w:t>
      </w:r>
      <w:r>
        <w:rPr>
          <w:rFonts w:ascii="Times New Roman" w:hAnsi="Times New Roman"/>
          <w:color w:val="000000"/>
          <w:sz w:val="20"/>
        </w:rPr>
        <w:t xml:space="preserve">: With the assistance of our clinical applications and clinical outcomes groups, practices’ individualized astigmatism treatment protocols can be refined and customized based on site specific pre-, intra-, and post-operative data, with the objective to help surgeons to deliver incrementally better patient outcomes over time as compared to earlier generations.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Cataract Density Imaging</w:t>
      </w:r>
      <w:r>
        <w:rPr>
          <w:rFonts w:ascii="Times New Roman" w:hAnsi="Times New Roman"/>
          <w:color w:val="000000"/>
          <w:sz w:val="20"/>
        </w:rPr>
        <w:t>: Another unique aspect of our AI imaging system is the ability of the system to grade and compare the cataract density and tissue specific areas to treat within the lens nucleus. The benefit of this is the surgeon can customize the treatment and deliver only the energy and fragmentation patterns necessary to optimally treat the cataract based on the System’s recommendation. This not only increases efficiency in removal of the cataract when the surgeon gets to the phacoemulsification, but also provides the surgeon choices in pre-programmed treatment algorithms or their own customized preferences in the energy and fragmentation parameters based on their surgical technique. These can be stored and used each time the system identifies a cataract with similar characteristics.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Corneal Incision-Only Mode</w:t>
      </w:r>
      <w:r>
        <w:rPr>
          <w:rFonts w:ascii="Times New Roman" w:hAnsi="Times New Roman"/>
          <w:color w:val="000000"/>
          <w:sz w:val="20"/>
        </w:rPr>
        <w:t>: By allowing a surgeon to perform laser corneal incisions independent of capsulorhexis and fragmentation, the surgeon has greater flexibility to treat a patient who may benefit from post-operative arcuate incisions and may achieve greater efficiency with abbreviated scanning that omits lens boundaries.</w:t>
      </w:r>
    </w:p>
    <w:p>
      <w:pPr>
        <w:pStyle w:val="TextBody"/>
        <w:bidi w:val="0"/>
        <w:spacing w:before="360" w:after="283"/>
        <w:jc w:val="both"/>
        <w:rPr>
          <w:rFonts w:ascii="Times New Roman" w:hAnsi="Times New Roman"/>
          <w:sz w:val="20"/>
        </w:rPr>
      </w:pPr>
      <w:r>
        <w:rPr>
          <w:rFonts w:ascii="Times New Roman" w:hAnsi="Times New Roman"/>
          <w:b/>
          <w:color w:val="000000"/>
          <w:sz w:val="20"/>
        </w:rPr>
        <w:t>Sales and Distribution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built and are continuing to grow our commercial organization, which includes a direct sales force in the United States and third-party distributors in Europe and Asia, and other targeted international markets. Depending on the dynamics of a particular geographic region, we and our distributors typically market and sell our systems to ASCs, hospitals and physicians. In the United States, we sell our products through a direct sales organization that, as of December 31, 2025, consisted of approximately 70 commercial team professionals, including regional sales managers, clinical applications and outcomes specialists, field service, marketing, technical and customer support personnel. As of December 31, 2025, we had a total of approximately 435 systems installed in a total of 17 countries, with approximately 51% of those systems in the United States where we have a direct sales relationship with our customers, and with Europe and Asia representing our largest markets outside the United States, where we sell our products through distributor relationships. We believe there is significant opportunity for us to expand our presence in these countries and other countries where we have no or only a limited number of installed systems. For the year ended December 31, 2025, one customer accounted for approximately 13% of our revenue and no customer accounted for more than 10%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been able to achieve our success to date with a limited number of regional sales managers in the United States and independent distributors in international markets, growing our business substantially year-over-year in terms of both revenues and number of procedures, with the exception of 2020 due to the impact on our operations of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COVID-19 pandemic. We believe that increasing the size and geographic breadth of our sales and marketing management team and number of regional sales managers in the United States and expanding our network of independent distributors in additional international markets will allow further penetration in the cataract surgery market. To support these commercial efforts, in the United States, we anticipate adding additional field sales professionals, including clinical outcome specialists, and expanding our marketing support and commitment to physician and staff training programs to optimize results and communicate the strengths of our cataract surgery solutions. Outside the United States, we expect to expand the geographical reach of our distributors. We believe the expansion of our domestic and international commercialization efforts will provide us with significant opportunity for future growth as we continue to penetrate existing and new markets. Our ALLY System currently is cleared for marketing in the United States and other countries, and our growth, market presence and ability to sell the ALLY System will depend on, among other factors, whether the ALLY System receives regulatory clearance in other regions outside the United States and the timing of these clearances or certifications. In August 2024, we obtained certification of our ALLY System under the Medical Devices Regulation in the EU, and we have also received regulatory clearance in India, Taiwan, South Korea, and certain other countries.</w:t>
      </w:r>
    </w:p>
    <w:p>
      <w:pPr>
        <w:pStyle w:val="TextBody"/>
        <w:bidi w:val="0"/>
        <w:spacing w:before="360" w:after="283"/>
        <w:jc w:val="both"/>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our ALLY Systems, and previously manufactured our LLS systems, at a facility in Orlando, Florida. We purchase custom and off-the-shelf components from several suppliers and subject them to stringent quality specifications and processes. Some of the components necessary for the assembly of the ALLY System and maintenance of the LLS are currently provided by single-sourced suppliers (the only approved supply source for us among other sources). We have entered into various purchase orders, as well as a limited number of long-term supply agreements, for the manufacture and supply of certain components. These arrangements commit us to a remaining minimum purchase obligation of approximately $13.9 million as of December 31, 2025. We expect to meet these requirements. We generally do not maintain large volumes of finished goods. We currently have and intend to have long-term supply agreements or sufficient supply of raw material inventory to adequately source the expected near-term demand of our ALLY System. We strive to maintain enough inventory of our various component parts to avoid the impact of any supply chain disruptions.</w:t>
      </w:r>
    </w:p>
    <w:p>
      <w:pPr>
        <w:pStyle w:val="TextBody"/>
        <w:bidi w:val="0"/>
        <w:spacing w:before="360" w:after="283"/>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seek patent and trademark protection for our key technology, products and product improvements, both in the United States and in select foreign countries. We plan to continue to enforce and defend our patent and trademark rights. While our patents protect, among other things, the aspects of our technology that provide us with a competitive advantage,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own numerous issued patents and pending patent applications. As of December 31, 2025, we owned approximately 76 U.S. patents, 26 pending U.S. patent applications, 216 issued foreign patents, and 79 pending foreign and Patent Cooperation Treaty applications. Our patents are expected to expire between 2026 and 2040, with some design patents expiring in 2046. We do not believe that the expiration of any individual patent will have a material adverse effect on our business, financial condition or results of operations. We have 216 issued foreign patents in a total of 15 countries and regions, including China, Macau, Taiwan, Germany, France, Spain, United Kingdom, Italy, Australia, European Unitary Patent and the European Patent Office. Our patents contain a broad range of claims related to devices and methods for performing cataract surgery using, among other things, refractive corrections, lens targeting and positioning and we believe provide significant protection for our current commercialized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material registered and unregistered trademarks include: LENSAR, ALLY Robotic Cataract Laser System, INTELLIAXIS, INTELLIAXIS-C, INTELLIAXIS-L, INTELLIAXIS REFRACTIVE CAPSULORHEXIS, STREAMLINE, ALLY Robotic Cataract Laser System, ALLY Robotic Cataract Laser System logo, Robotic Laser Cataract Surgery, the Robotic Laser Cataract Surgery logo, and LENSDOCTOR SOFTWARE.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intellectual property portfolio further secures a premier technology position for the development and commercialization of devices that incorporate both a phacoemulsification system and a laser, such as our ALLY System. In addition to patent applications we have filed related to our Systems, we have pursued and consummated agreements with third parties to acquire patent rights, which provide important exclusivity with respect to our development and commercialization of our ALLY System. Our business plan includes aggressively pursuing additional patent rights related to the ALLY System, and we expect to continue to add to our current portfolio. </w:t>
      </w:r>
    </w:p>
    <w:p>
      <w:pPr>
        <w:pStyle w:val="TextBody"/>
        <w:bidi w:val="0"/>
        <w:spacing w:before="360" w:after="283"/>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participate in the highly competitive global market for treatments for cataracts. We face significant competition from large multinational medical device companies as well as smaller, emerging players focused on product innovation. In providing surgical solutions for cataract patients, our primary competitors are Alcon Inc.; Bausch + Lomb, a division of Bausch Health Companies Inc.; Carl Zeiss AG; AMO, a division of Johnson &amp; Johnson; and Ziemer Ophthalmic Systems AG, each of which has its own cataract lasers. Additionally, we are aware of a French based company, KERANOVA S.A., that is working to develop a product that, if they receive commercial clearance for their device in the future, could potentially be another competitor.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 is said to feature live optical coherence tomography guidance and soft docking. Although not all the features are known currently, this will be the first second-generation laser expected to compete with the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competitors are large public companies or divisions of publicly-traded companies and have several competitive advantages, including: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greater financial and human resources for product development and sales and marketing;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significantly greater name recognition;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their own IOLs;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longer operating histories;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 established sales and marketing programs and distribution networks.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of the size of the cataract market, we expect that companies will continue to dedicate significant resources to developing and commercializing competing products, and we anticipate that our current marketed products and any future products will be subject to intense competition. We believe that the principal competitive factors in our market include: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improved outcomes for patients;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acceptance by surgeons;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ease of use and reliability;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product price and availability of reimbursement;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product bundling and multiple product purchasing agreements;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technical leadership;</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effective marketing and distribution;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speed to market.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United States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manufacture and market medical devices and, therefore, are subject to extensive regulation by the FDA and other federal and state authorities in the United States, as well as comparable authorities in foreign jurisdictions. Our products are subject to regulation in the United States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 </w:t>
      </w:r>
    </w:p>
    <w:p>
      <w:pPr>
        <w:pStyle w:val="TextBody"/>
        <w:bidi w:val="0"/>
        <w:spacing w:before="360" w:after="283"/>
        <w:jc w:val="both"/>
        <w:rPr>
          <w:rFonts w:ascii="Times New Roman" w:hAnsi="Times New Roman"/>
          <w:sz w:val="20"/>
        </w:rPr>
      </w:pPr>
      <w:r>
        <w:rPr>
          <w:rFonts w:ascii="Times New Roman" w:hAnsi="Times New Roman"/>
          <w:i/>
          <w:color w:val="000000"/>
          <w:sz w:val="20"/>
        </w:rPr>
        <w:t>FDA Premarket Clearance and Approval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FDCA, medical devices are classified into one of three classes—Class I, Class II or Class III—depending on the degree of risk associated with each medical device and the extent of control needed to ensure safety and effectiveness. Class I devices are those for which safety and effectiveness can be assured by adherence to FDA’s general controls for medical devices, or General Controls, which include compliance with the applicable portions of the FDA’s Quality Management System Regulation, or QMSR,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 Class II devices are subject to FDA’s General Controls, and any other special controls as deemed necessary by FDA to ensure the safety and effectiveness of the device. Premarket review and clearance by the FDA for Class II devices is accomplished through the 510(k) premarket notification procedure, unless an exemption applies. A Class III product is a product which has a new intended use or uses advanced technology that is not substantially equivalent to that of a legally marketed device. The safety and effectiveness of Class III devices cannot be assured solely by the General Controls and the other requirements described above. These devices almost always require formal clinical studies to demonstrate safety and effectiveness. Our currently marketed medical device products are Class II medical devices subject to 510(k) clearance. </w:t>
      </w:r>
    </w:p>
    <w:p>
      <w:pPr>
        <w:pStyle w:val="TextBody"/>
        <w:bidi w:val="0"/>
        <w:spacing w:before="360" w:after="283"/>
        <w:jc w:val="both"/>
        <w:rPr>
          <w:rFonts w:ascii="Times New Roman" w:hAnsi="Times New Roman"/>
          <w:sz w:val="20"/>
        </w:rPr>
      </w:pPr>
      <w:r>
        <w:rPr>
          <w:rFonts w:ascii="Times New Roman" w:hAnsi="Times New Roman"/>
          <w:i/>
          <w:color w:val="000000"/>
          <w:sz w:val="20"/>
        </w:rPr>
        <w:t>510(k) Clearance Marketing Pathway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a 510(k) is required, the manufacturer must submit to the FDA a premarket notification submission demonstrating that the device is “substantially equivalent” to a predicate device already on the market. A predicate device is a legally marketed device that is not subject to premarket approval, i.e., a device that was legally marketed prior to May 28, 1976 (pre-amendments device) and for which a premarket approval application, or PMA, is not required, a device that has been reclassified from Class III to Class II or I, or a device that was found substantially equivalent through the 510(k)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agrees that the device is substantially equivalent to a predicate device, it will grant clearance to commercially market the device in the U.S. The FDA’s 510(k) clearance process usually takes from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the FDA may request additional information, including clinical data, which may significantly prolong the review process. If the FDA determines that the device, or its intended use, is not “substantially equivalent,” the FDA may deny the request for clearance.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After a device receives 510(k) clearance, any subsequent modification of the device that could significantly affect its safety or effectiveness, or that would constitute a major change in its intended use, will require a new 510(k) clearance or could require pre-market approval. The FDA requires each manufacturer to make this determination initially, but the FDA may review any such decision and may disagree with a manufacturer’s determination. If the FDA disagrees with a manufacturer’s determination, the FDA may require the manufacturer to cease marketing or recall the modified device, or both, until 510(k) clearance or pre-market approval is obtained.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FDA PMA Approval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Products that are classified as Class III are subject to the requirement for the FDA to approve a PMA for the device. A PMA application, which is intended to demonstrate that a device is safe and effective, must be supported by extensive data, including extensive technical and manufacturing data and data from preclinical studies and human clinical trials. 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QMSR, which imposes stringent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supplements are required for significant modifications to the manufacturing process, labeling of the product and design of a device that is approved through the PMA process. PMA supplements often require submission of the same type of information as an original PMA, except that the supplement is limited to information needed to support any changes from the device covered by the original PMA, and may not require as extensive clinical data or the convening of an advisory panel.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clinical trial is typically required to support a PMA application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w:t>
      </w:r>
    </w:p>
    <w:p>
      <w:pPr>
        <w:pStyle w:val="TextBody"/>
        <w:bidi w:val="0"/>
        <w:spacing w:before="360" w:after="283"/>
        <w:jc w:val="both"/>
        <w:rPr>
          <w:rFonts w:ascii="Times New Roman" w:hAnsi="Times New Roman"/>
          <w:sz w:val="20"/>
        </w:rPr>
      </w:pPr>
      <w:r>
        <w:rPr>
          <w:rFonts w:ascii="Times New Roman" w:hAnsi="Times New Roman"/>
          <w:i/>
          <w:color w:val="000000"/>
          <w:sz w:val="20"/>
        </w:rPr>
        <w:t>Post-Market 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a device is cleared or approved for marketing, numerous and pervasive FDA and other regulatory requirements continue to apply. These include establishment registration and device listing with the FDA; compliance with medical device reporting regulations, which require that manufacturers report to the FDA if their device may have caused or contributed to a death or serious injury or malfunctioned in a way that would likely cause or contribute to a death or serious injury if it were to recur; and compliance with corrections and removal reporting regulations, which require that manufacturers report to the FDA field corrections and product recalls or removals if undertaken to reduce a risk to health posed by the device or to remedy a violation of the FDCA that may present a risk to health. The FDA and the Federal Trade Commission (the “FTC”)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Many regulatory jurisdictions outside of the United States have similar regulations to which we are subject.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required to register with the FDA as a medical device manufacturer. As such, our manufacturing sites are subject to periodic inspection by the FDA for compliance with the FDA’s QMSR. These regulations cover the methods and the facilities and controls for the design, manufacture, testing, production, processes, controls, quality assurance, labeling, packaging, distribution, installation and servicing of finished devices intended for human use. The QMSR also requires, among other things, maintenance of a medical device file. As a manufacturer, we are subject to periodic scheduled or unscheduled inspections by the FDA. Our failure to maintain compliance with the QMSR requirements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via voluntary or mandatory device recalls.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has broad regulatory compliance and enforcement powers. If the FDA determines that we failed to comply with applicable regulatory requirements, it can take a variety of compliance or enforcement actions, which may result in any of the following sanctions: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warning letters, untitled letters, fines, injunctions, consent decrees and civil penalties;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recalls, withdrawals, or administrative detention or seizure of our products;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refusing or delaying requests for 510(k) marketing clearance or PMA approvals of new products or modified products;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withdrawing 510(k) clearances or PMA approvals that have already been granted;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refusal to grant export approvals for our products; or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360" w:after="283"/>
        <w:jc w:val="both"/>
        <w:rPr>
          <w:rFonts w:ascii="Times New Roman" w:hAnsi="Times New Roman"/>
          <w:sz w:val="20"/>
        </w:rPr>
      </w:pPr>
      <w:r>
        <w:rPr>
          <w:rFonts w:ascii="Times New Roman" w:hAnsi="Times New Roman"/>
          <w:i/>
          <w:color w:val="000000"/>
          <w:sz w:val="20"/>
        </w:rPr>
        <w:t>Requirements for Surgical Lasers as Radiation Emitting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requirements that apply to medical devices, our devices must also comply with an independent set of requirements that apply to radiation emitting electronic products, which includes lasers. Under the electronic product radiation control provisions of the FDCA, the FDA has established regulations specifying certain requirements for different types of radiation emitting electronic products. Among other requirements, manufacturers of surgical lasers must comply with FDA regulations that establish performance standards for laser products and require that manufacturers of products subject to performance standards submit reports to FDA demonstrating compliance. Unless otherwise exempted, manufacturers of certain radiation emitting devices must submit certain reports to FDA, including for new and modified products, for product defects, and annual reports, and comply with recordkeeping requirements. FDA regulations also provide specific certification and labeling requirements, and the labels for these products must contain certain information, such as warnings, declarations, and instructions for use. </w:t>
      </w:r>
    </w:p>
    <w:p>
      <w:pPr>
        <w:pStyle w:val="TextBody"/>
        <w:bidi w:val="0"/>
        <w:spacing w:before="360" w:after="283"/>
        <w:jc w:val="both"/>
        <w:rPr>
          <w:rFonts w:ascii="Times New Roman" w:hAnsi="Times New Roman"/>
          <w:sz w:val="20"/>
        </w:rPr>
      </w:pPr>
      <w:r>
        <w:rPr>
          <w:rFonts w:ascii="Times New Roman" w:hAnsi="Times New Roman"/>
          <w:i/>
          <w:color w:val="000000"/>
          <w:sz w:val="20"/>
        </w:rPr>
        <w:t>Outside the United States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for us to market our products in countries outside the United States, we must obtain regulatory approvals, clearances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which are substantially longer than the U.S. process. Failure to obtain regulatory authorizations, certifications or approvals in a timely manner and to meet all local requirements including language and specific safety standards in any foreign country in which we plan to market our products could prevent us from marketing products in such countries or subject us to sanctions and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 has adopted specific directives and regulations regulating the design, manufacture, clinical investigations, conformity assessment, labeling and vigilance reporting for medical devices.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Until May 25, 2021, medical devices were regulated by Council Directive 93/42/EEC, or the EU Medical Devices Directive, which has been repealed and replaced by Regulation (EU) No 2017/745, or the EU Medical Devices Regulation. Some of our current certificates have been granted under the EU Medical Devices Directive. In accordance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the EU Medical Devices Regulation’s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with regard to registration of economic operators and of devices, post-market surveillance and vigilance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Pursuing marketing of medical devices in the EU will notably require that our devices be certified under the new regime set forth in the EU Medical Devices Regulation.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there is currently no premarket government review of medical devices. However, the EU requires that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the general safety and performance requirements of the EU Medical Devices Regulation is a prerequisite for European conformity marking, or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where the manufacturer can issue an EU declaration of conformity based on a self-assessment of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 – which is ISO 13485:2016 for Medical Devices Quality Management Systems –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on May 28, 2026 (for the four first modules related to (i) economic actor and (ii) UDI/devices registrations, (iii) notified bodies and certificates, and (iv) market surveillance).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manufacturers placing medical devices into the market in the EU must comply with the EU Medical Device Vigilance System which has been reinforced by the EU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and/or performance of a device on the market (e.g., inadequacy in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reported to the relevant authorities of the EU member states, and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(and authorized representatives) must also have available within their organization at least one person responsible for regulatory compliance, or PRRC, who possesses the requisite expertise in the field of medical devices. The PRRC is responsible for all aspects of compliance with the requirements of the EU Medical Devices Regulation and in particular compliance with post-market surveillance and vigilance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advertising and promotion of medical devices is subject to some general principles set forth in the EU legislation.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aforementioned EU rules are generally applicable in the European Economic Area, or EEA, which consists of the 27 EU member states plus Norway, Liechtenstein and Iceland.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Brexit and the UK Regulatory Framework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January 1, 2021, the Medicines and Healthcare products Regulatory Agency, or MHRA, has become the sovereign regulatory authority responsible for the Great Britain (i.e., England, Wales, and Scotland) medical device market and the EU regulatory regime for medical devices no longer applies in Great Britain. Under the terms of the Ireland/Northern Ireland Protocol, the EU regulatory requirements continue to apply to medical devices placed on the Northern Ireland market. Consequently, the regulatory framework for medical devices in Great Britain continues to be broadly based on the requirements of the EU Medical Devices Directive as implemented into national law by the Medical Devices Regulation 2002 (“UK Medical Devices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on June 16, 2025, an amendment to UK Medical Devices Regulations became applicable which aims to clarify and strengthen the post-market surveillance requirements for medical devices in Great Britain. This amendment also aims to facilitate greater traceability of incidents and trends enabling the MHRA to act swiftly when needed to address safety issues and support the entire health system in better protecting patients. In addition, the MHRA launched a consultation from November 14, 2024 to January 5, 2025 on proposals to update the pre-market requirements for medical devices in Great Britain, covering four topics, namely (1) a new international reliance scheme to enable swifter market access for certain devices that have already been approved in a comparable regulator country; (2) the new UK Conformity Assessed, or UKCA, mark and, in particular, proposals to remove the requirement to place such UKCA marking on devices; (3) conformity assessment procedures for in vitro diagnostic devices; and (4) maintaining in UK law certain pieces of “assimilated” EU law. This consultation builds on the MHRA’s previous consultation between September and November 2021, and the UK government’s response to that consultation which was published on June 26, 2022. On July 22, 2025, the MHRA published a response to the consultation confirming that it will incorporate feedback to this consultation into new legislation on pre-market requirements for medical devices in Great Britain. A draft of the new legislation is expected this year and aims to enable greater international collaboration and practices, with more patient-centered, proportionate requirements for medical devices which are responsive to technological advances.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UK Medical Devices Regulations, in order to be lawfully placed on the Great Britain market, certain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all medical devices must be registered with the MHRA prior to being placed on the market. Additionally, manufacturers based outside the UK need to appoint a UK Responsible Person to register devices with the MHRA.</w:t>
      </w:r>
    </w:p>
    <w:p>
      <w:pPr>
        <w:pStyle w:val="TextBody"/>
        <w:bidi w:val="0"/>
        <w:spacing w:before="360" w:after="283"/>
        <w:jc w:val="both"/>
        <w:rPr>
          <w:rFonts w:ascii="Times New Roman" w:hAnsi="Times New Roman"/>
          <w:sz w:val="20"/>
        </w:rPr>
      </w:pPr>
      <w:r>
        <w:rPr>
          <w:rFonts w:ascii="Times New Roman" w:hAnsi="Times New Roman"/>
          <w:i/>
          <w:color w:val="000000"/>
          <w:sz w:val="20"/>
        </w:rPr>
        <w:t>Other Healthcare Laws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none of the procedures performed using our products are currently covered by any government or commercial third-party payors, applicable agencies and regulators may nonetheless interpret that we are subject to numerous state and federal healthcare fraud and abuse laws, including anti-kickback, false claims and transparency laws with respect to payments and other transfers of value made to physicians and other licensed healthcare professionals, that are intended to reduce waste, fraud and abuse in the health care industry and analogous state laws that may apply to healthcare items and services by any payors including private insurers and self-pay patients. These laws are broad, subject to evolving interpretations and vigorously enforced against medical device manufacturers and have resulted in manufacturers paying significant fines and penalties and being subject to stringent corrective action plans and reporting obligations. We must operate our business within the requirements of these laws and, if we were accused of violating them, could be forced to expend significant resources on investigation, remediation and monetary penalties. Companies targeted in such prosecutions have paid substantial fines in the hundreds of millions of dollars or more, have been forced to implement extensive corrective action plans, can be excluded from federal health care programs and become subject to substantial civil and criminal penalties, and have often become subject to consent decrees, settlement agreements or corporate integrity agreements severely restricting the manner in which they conduct their business.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we have commercial operations overseas, we are also subject to the Foreign Corrupt Practices Act, or FCPA, and other countries’ anti-corruption/anti-bribery regimes, such as the U.K. Bribery Act. The FCPA prohibits, among other things, improper payments or offers of payments to foreign governments and their officials for the purpose of obtaining or retaining business. Safeguards we implement to discourage improper payments or offers of payments by our employees, consultants, sales agents or distributors may be ineffective, and violations of the FCPA and similar laws may result in severe criminal or civil sanctions, or other liabilities or proceedings against us, any of which would likely harm our reputation, business, financial condition and result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foreign countries have similar laws relating to healthcare fraud and abuse. Foreign laws and regulations may vary greatly from country to country. For example, 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aforementioned EU rules are generally applicable in the EEA.</w:t>
      </w:r>
    </w:p>
    <w:p>
      <w:pPr>
        <w:pStyle w:val="TextBody"/>
        <w:bidi w:val="0"/>
        <w:spacing w:before="360" w:after="283"/>
        <w:jc w:val="both"/>
        <w:rPr>
          <w:rFonts w:ascii="Times New Roman" w:hAnsi="Times New Roman"/>
          <w:sz w:val="20"/>
        </w:rPr>
      </w:pPr>
      <w:r>
        <w:rPr>
          <w:rFonts w:ascii="Times New Roman" w:hAnsi="Times New Roman"/>
          <w:b/>
          <w:i/>
          <w:color w:val="000000"/>
          <w:sz w:val="20"/>
        </w:rPr>
        <w:t>Reimbursement and Patient Payment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markets in other countries, patients who are prescribed treatments for their conditions and providers performing the prescribed services generally rely on third-party payors to reimburse all or part of the associated healthcare costs. Third-party payors, including government authorities, managed care plans, private health insurers and other organizations, generally only cover the cost of treating the medical condition of the cataract, which can be treated with traditional cataract surgery and the placement of a basic monofocal IOL. In the United States and other countries, patients generally may elect and pay out-of-pocket for advanced technologies such as laser assisted cataract surgery and premium IOLs to further refine and correct their vision beyond what is possible from a basic traditional cataract surgery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the reimbursement to the facility or physician from third-party payors has been intended to cover the cost of a basic traditional cataract surgery treatment, as well as the overhead cost associated with the facility where the procedure is performed. We have not historically directly billed any third-party payors; instead, we receive payment from the physician practice, hospital or other facility that uses our devices, who in turn receive additional payment from their patients who have elected a premium procedure.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our LLS and ALLY System, surgeons typically charge the patient a separate out-of-pocket fee for procedures using our device. The use of advanced IOLs designed to improve vision is also not reimbursed by Medicare beyond the standard reimbursement for a basic monofocal IOL and physicians charge the patient for the difference between the lower reimbursed amount and the cost of the advanced IOL. Surgeons typically offer the option of an advanced IOL to patients explaining that it is not covered by Medicare and will be an out-of-pocket expense. Use of our LLS and ALLY System is often accompanied by the implantation of an advanced IOL. We believe that the ability of our LLS and ALLY System, when used with advanced IOLs to optimize vision results, will encourage surgeons to perform the procedure and their patients to pay the additional out-of-pocket costs.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ALLY System or other products we may develop in the future, if cleared. The cost containment measures that payors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implementation of the Affordable Care Act, or the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other legislative changes have been proposed and adopted since the ACA was enacted. For example, the Budget Control Act of 2011, among other things, included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 recently, the One Big Beautiful Bill Act (the “OBBBA”)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member states, in December 2021, Regulation No 2021/2282 on Health Technology Assessment, or HTA, amending Directive 2011/24/EU, was adopted. The Regulation entered into force in January 2022 and has been applicable since January 2025, with phased implementation based on the type of product i.e.,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Data Privacy and 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committed to revolutionizing refractive eye surgery. As a global leader in next generation, robotic laser for cataract surgery, our success depends on talented and motivated individuals who share our passion for making a difference in patients’ lives. We pride ourselves on having a highly collaborative, innovative environment where initiatives and teamwork are valued, and individual efforts are recognized. Together, we are one team, one vision.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we had approximately 150 employees that support our manufacturing, research and development, commercial and administrative functions. Primarily all of our workforce is based at our corporate headquarters in Orlando, Florida except for our commercial organization, which is spread throughout the United States based upon geographic responsibility.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managing our business, we utilize a variety of human capital measures and objectives, including:</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Hiring Strategies</w:t>
      </w:r>
      <w:r>
        <w:rPr>
          <w:rFonts w:ascii="Times New Roman" w:hAnsi="Times New Roman"/>
          <w:b/>
          <w:color w:val="000000"/>
          <w:sz w:val="20"/>
        </w:rPr>
        <w:t>:</w:t>
      </w:r>
      <w:r>
        <w:rPr>
          <w:color w:val="000000"/>
        </w:rPr>
        <w:t xml:space="preserve"> </w:t>
      </w:r>
      <w:r>
        <w:rPr>
          <w:rFonts w:ascii="Times New Roman" w:hAnsi="Times New Roman"/>
          <w:color w:val="000000"/>
          <w:sz w:val="20"/>
        </w:rPr>
        <w:t>We compete for highly skilled and talented individuals within the market. We promote hiring from within, and we source from outside to bring in new talent when necessary. We strive to have an inclusive workforce, and ultimately the respective hiring team’s goal is to choose the best candidate for each role.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Retention and Stability</w:t>
      </w:r>
      <w:r>
        <w:rPr>
          <w:rFonts w:ascii="Times New Roman" w:hAnsi="Times New Roman"/>
          <w:b/>
          <w:color w:val="000000"/>
          <w:sz w:val="20"/>
        </w:rPr>
        <w:t>:</w:t>
      </w:r>
      <w:r>
        <w:rPr>
          <w:color w:val="000000"/>
        </w:rPr>
        <w:t xml:space="preserve"> </w:t>
      </w:r>
      <w:r>
        <w:rPr>
          <w:rFonts w:ascii="Times New Roman" w:hAnsi="Times New Roman"/>
          <w:color w:val="000000"/>
          <w:sz w:val="20"/>
        </w:rPr>
        <w:t>We take pride in the stability and dedication of our workforce. Over 35% of employees have been with the Company five or more years, and over 20% have been with the Company 10 or more years. In 2025, we experienced a full-time employee turnover rate of approximately 10%.</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Culture</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We value our employees and the individual and collective contributions employees make to the Company. We believe work-life balance is integral to our employees performing at their best. Given our smaller business orientation, we require individual employees to have broader skillsets and enthusiastic and collaborative dedication to our team-based working groups. We offer development opportunities that align with professional and personal goals. We aim to have quarterly Company-wide meetings to keep employees informed on Company updates and performance, as well as to celebrate corporate milestones and individual years of service achievements. In addition to social activities scheduled throughout the year, we typically have an annual corporate event to bring all employees together for team building. To provide work/life support and resources for employees, we provide access to two Employee Assistance Programs.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i/>
          <w:color w:val="000000"/>
          <w:sz w:val="20"/>
        </w:rPr>
        <w:t>Competitive Pay and Benefits</w:t>
      </w:r>
      <w:r>
        <w:rPr>
          <w:rFonts w:ascii="Times New Roman" w:hAnsi="Times New Roman"/>
          <w:b/>
          <w:color w:val="000000"/>
          <w:sz w:val="20"/>
        </w:rPr>
        <w:t>:</w:t>
      </w:r>
      <w:r>
        <w:rPr>
          <w:color w:val="000000"/>
        </w:rPr>
        <w:t xml:space="preserve"> </w:t>
      </w:r>
      <w:r>
        <w:rPr>
          <w:rFonts w:ascii="Times New Roman" w:hAnsi="Times New Roman"/>
          <w:color w:val="000000"/>
          <w:sz w:val="20"/>
        </w:rPr>
        <w:t>Our compensation programs are designed to align the compensation of our employees with our corporate performance and to provide the proper incentives to attract, retain, and motivate employees to achieve superior results. The structure of our compensation programs is intended to balance incentive earnings for both short-term and long-term performance. Specifically: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employee wages that we believe are competitive and consistent with employee positions, skill levels, experience, knowledge and geographic location.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also engaged outside compensation and benefits consulting firms to help independently evaluate the effectiveness of our executive and benefit programs and to provide benchmarking against our peers within the industry.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look to align our executives’ long-term equity compensation with our stockholders’ interests. In addition, we currently provide equity benefits to all employees to encourage Company ownership and align all employee interests with that of our stockholders. We believe this incentivizes the entire employee base in relation to the successful achievement of the Company’s goals.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Annual increases and incentive compensation are based on merit, which is communicated to employees at the time of hiring and documented through our talent management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full-time employees are eligible for health insurance, paid and unpaid leaves, a retirement plan with company match and immediate vesting, and disability insurance. The Company also offers a generous holiday schedule and a Company-wide shut down during the December holidays.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quarter being the slowest. We believe these seasonal variations are consistent across our industry.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incorporated in the State of Delaware on August 20, 2004 and became a direct, majority-owned subsidiary of PDL BioPharma, Inc., or PDL, in 2017. In October 2020, we completed a spin-off of LENSAR, Inc. from PDL in the form of a dividend involving the distribution of all outstanding shares of our common stock owned by PDL to the holders of PDL common stock, or Spin-Off. Following the completion of the Spin-Off, PDL no longer owns any equity interest in us, and we became an independent public company on October 1, 2020.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file annual, quarterly and current reports, proxy statements and other information with the U.S. Securities and Exchange Commission, or SEC. Our SEC filings are available to the public over the Internet at the SEC’s website at www.sec.gov. Our SEC filings are also available free of charge under the Investor Relations section of our website at </w:t>
      </w:r>
      <w:r>
        <w:rPr>
          <w:rFonts w:ascii="Times New Roman" w:hAnsi="Times New Roman"/>
          <w:i/>
          <w:color w:val="000000"/>
          <w:sz w:val="20"/>
        </w:rPr>
        <w:t>www.lensar.com</w:t>
      </w:r>
      <w:r>
        <w:rPr>
          <w:rFonts w:ascii="Times New Roman" w:hAnsi="Times New Roman"/>
          <w:color w:val="000000"/>
          <w:sz w:val="20"/>
        </w:rPr>
        <w:t xml:space="preserve"> as soon as reasonably practicable after they are filed with or furnished to the SEC. We may use our website as a distribution channel of material information about the Company. Financial and other important information regarding the Company is routinely posted on and accessible through the Investor Relations sections of our website at </w:t>
      </w:r>
      <w:r>
        <w:rPr>
          <w:rFonts w:ascii="Times New Roman" w:hAnsi="Times New Roman"/>
          <w:i/>
          <w:color w:val="000000"/>
          <w:sz w:val="20"/>
        </w:rPr>
        <w:t>www.lensar.com</w:t>
      </w:r>
      <w:r>
        <w:rPr>
          <w:rFonts w:ascii="Times New Roman" w:hAnsi="Times New Roman"/>
          <w:color w:val="000000"/>
          <w:sz w:val="20"/>
        </w:rPr>
        <w:t xml:space="preserve">. In addition, you may automatically receive email alerts and other information about the Company when you enroll your email address by under the Investor Email Alerts option on the Investor Relations page of our website at </w:t>
      </w:r>
      <w:r>
        <w:rPr>
          <w:rFonts w:ascii="Times New Roman" w:hAnsi="Times New Roman"/>
          <w:i/>
          <w:sz w:val="20"/>
        </w:rPr>
        <w:t>www.lensar.com</w:t>
      </w:r>
      <w:r>
        <w:rPr>
          <w:rFonts w:ascii="Times New Roman" w:hAnsi="Times New Roman"/>
          <w:i/>
          <w:color w:val="000000"/>
          <w:sz w:val="20"/>
        </w:rPr>
        <w:t xml:space="preserve">. </w:t>
      </w:r>
      <w:r>
        <w:rPr>
          <w:rFonts w:ascii="Times New Roman" w:hAnsi="Times New Roman"/>
          <w:color w:val="000000"/>
          <w:sz w:val="20"/>
        </w:rPr>
        <w:t>Our website and the information available through our website are not incorporated into this Annual Report.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1a_risk_factors"/>
      <w:bookmarkEnd w:id="8"/>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Annual Report, including our audited financial statements and the related notes,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Terminated Merger Agreement</w:t>
      </w:r>
    </w:p>
    <w:p>
      <w:pPr>
        <w:pStyle w:val="TextBody"/>
        <w:bidi w:val="0"/>
        <w:spacing w:before="120" w:after="283"/>
        <w:jc w:val="both"/>
        <w:rPr>
          <w:rFonts w:ascii="Times New Roman" w:hAnsi="Times New Roman"/>
          <w:sz w:val="20"/>
        </w:rPr>
      </w:pPr>
      <w:r>
        <w:rPr>
          <w:rFonts w:ascii="Times New Roman" w:hAnsi="Times New Roman"/>
          <w:b/>
          <w:i/>
          <w:color w:val="000000"/>
          <w:sz w:val="20"/>
        </w:rPr>
        <w:t>The announcement of the termination of the Merger Agreement could negatively impact our business, financial condition, results of operations or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announcement of having entered into the Agreement and Plan of Merger, dated as of March 23, 2025, by and among the Company, Alcon Research, LLC, a Delaware limited liability company (“Alcon”), and VMI Option Merger Sub, Inc., a Delaware corporation and a wholly owned subsidiary of Alcon (“Merger Sub”) has caused, and may continue to cause, a material disruption to our business. We also announced that the Merger Agreement has been terminated by us and Alcon, as described below. We are subject to several risks as a result of the announcement and termination of the Merger Agreement, including, but not limited to,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costs related to the Merger Agreement and the transactions contemplated thereunder (collectively, the “Merger”), including the fees and/or expenses of our legal, accounting and financial advisors that must be paid despite the Merger not being completed;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retain existing key employees or hire new capable employees, given the uncertainty regarding our future, in order to execute on our continuing business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to complete the Merger may result in negative publicity and/or a negative impression of us in the investment community or business community generally;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maintaining relationships with collaborators, vendors, and other business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third parties may determine to terminate and/or attempt to renegotiate their relationship with us as a result of the Merger or the termination of the Merger Agreement, whether pursuant to the terms of their existing agreements with us or otherwise;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be subject to further litigation related to the Merger, including the failure to complete the Merger.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experience shareholder litigation related to the termination of the Merger Agreement, which could result in payment of damages.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Merger, certain purported stockholders of the Company have sent demand letters (the “Demands”) alleging deficiencies and/or omissions regarding the disclosures made in the preliminary proxy statement filed by the Company with the SEC on May 7, 2025 or the definitive proxy statement filed by the Company with the SEC on May 19, 2025. The purported stockholders may not view the Company’s cooperative actions in response to the Demands, such as the Company’s additional disclosure filed with the SEC on June 25, 2025, as sufficient. In addition, we have received a demand from a purported stockholder seeking to inspect certain corporate books and records, in order to investigate, among other things, purported breaches of fiduciary duty by members of the Company’s board of directors in connection with the Merger. The same stockholder filed a verified complaint to compel the inspection of books and records in the Delaware Court of Chancery. These actions could have the effect of increasing the Company’s costs, diverting our management’s attention and resources, delaying or adversely affecting the Merger or resulting in the payment of damages, which could result in a material adverse effect on our business, financial condition and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Risks Related to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Global economic uncertainty, including due to factors such as increased inflation, rising interest rates, prolonged government shutdowns, and increased tariffs and other trade barriers,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experienced and expect to incur operating losses for the near-term future and we cannot assure you that we will be able to generate sufficient revenue to achieve or sustain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years ended December 31, 2025 and 2024, we had net losses of $34.3 million and $31.4 million, respectively. As of December 31, 2025, we had an accumulated deficit of $177.6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cataract surgeons and the medical community for the procedures in which they are designed to be used. Our ability to maintain and increase market acceptance of our products depends on a number of factors, including: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provide visual outcomes and economic data that show the safety, efficacy, cost effectiveness and other patient benefits from use of our Systems or other future products;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acceptance by cataract surgeons and others in the medical community of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and perceived advantages and disadvantages of our Systems as compared to competing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willingness of patients to pay out-of-pocket for procedures in which our Systems or other future products is used but for which limited reimbursement by third-party payors, including government authorities, is available;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effectiveness of our sales and marketing efforts, and of those of our international distributors;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prevalence and severity of any complications associated with using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ease of use, reliability and convenience of our Systems relative to competing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competitive response and negative selling efforts from providers of competing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quality of outcomes for patients in procedures in which surgeons use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clinical trials and post-market clinical studies relating to the use of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technical leadership of our research and development teams;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absence of third-party blocking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introduce our products to the market with speed and on time with our projected timelines;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pricing pressure, including from larger, well-capitalized and product-diverse competitors, corporate-owned ASCs, group purchasing organizations, and government payors;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availability of coverage and adequate reimbursement for procedures using our Systems or other future products from third-party payors, including government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maintain or increase market acceptance would limit our ability to generate revenue and would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In addition, our ability to meet production goals can also be impacted by supply chain interruptions. If we experience supply chain constraints, we may be unable to deliver ALLY Systems as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our ALLY System or any other new product offering or product enhancements we pursue will depend on several factors, including our ability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properly identify and anticipate cataract surgeon and patient needs;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 and introduce new products and product enhancements in a timely manner;</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exclude competition based on our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demonstrate, if required, the safety and efficacy of new products with data from preclinical studies and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 the necessary regulatory clearances, certifications or approvals for expanded indications, new products or product modifications;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 fully FDA (or other regulatory authority)-compliant with manufacturing and marketing of new devices or modified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provide adequate training to potential users of these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receive adequate coverage and reimbursement for procedures performed with our ALLY System or any other products we may develop in the future;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 an effective and dedicated sales and marketing team.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successful in expanding our product offering, our ability to increase our revenue may be impaired, which could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rely exclusively on a network of independent distributors to generate sales and leases of our Systems as well as purchases of our consumables and licensed applications outside of the United States. For the year ended December 31, 2025, one customer accounted for approximately 13%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revenues and expenses to increase in connection with our ongoing activities, particularly as we continue to execute on our business strategy, including investment in our sales and customer support teams. The primary factors determining our cash needs are the funding of operations, which we expect to continue to expand as the business grows, and enhancing our product offerings through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 continue to the extent we take this approach in future periods.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this Annual Report, we expect our current cash and cash equivalents, together with cash generated from the future sale and lease of our products, to be sufficient to operate our business for at least one year from the date of issuance of the financial statements included in this Annual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revenue generated by the sale, lease or use of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associated with expanding our sales and marketing efforts;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expenses we incur in procuring, manufacturing and selling our Systems, including increased costs, uncertainties, and delays associated with global supply chain disruptions and inflationary pressures;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commercializing the ALLY System, including increased costs associated with supply chain disruptions, inflationary pressures, the impact of increased tariffs or other trade barriers, sales in regions outside the U.S. or other new products or technologies;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rate of progress and cost of our clinical studies that we are currently conducting or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and timing of obtaining and maintaining regulatory approval, certification or clearance of our products and planned or future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associated with any product recall that may occur;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associated with complying with state, federal and foreign laws and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filing and prosecuting patent applications and defending and enforcing our patent and other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defending, in litigation or otherwise, any claims that we infringe third-party patent or other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enforcing or defending against non-competition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and timing of acquisitions and other strategic transactions;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costs associated with increased capital expenditures;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anticipated and unanticipated general and administrative expenses, including expenses related to operating as a public company and insurance expenses;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associated with any adverse market conditions or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capital may not be available on favorable terms, or at all. The existence of inflation in the economy has resulted in, and may continue to result in, higher interest rates and capital costs, which may impact our ability to obtain additional capital on favorable terms.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50.6% of our total outstanding shares of common stock based on our shares outstanding as of December 31, 2025,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w:t>
      </w:r>
      <w:r>
        <w:rPr>
          <w:rFonts w:ascii="Times New Roman" w:hAnsi="Times New Roman"/>
          <w:i/>
          <w:color w:val="000000"/>
          <w:sz w:val="20"/>
        </w:rPr>
        <w:t>Redeemable Convertible Preferred Stock</w:t>
      </w:r>
      <w:r>
        <w:rPr>
          <w:rFonts w:ascii="Times New Roman" w:hAnsi="Times New Roman"/>
          <w:color w:val="000000"/>
          <w:sz w:val="20"/>
        </w:rPr>
        <w:t>,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competitors in providing surgical solutions for cataract patients are Alcon Inc.; Bausch + Lomb Corporation; Johnson &amp; Johnson; Carl Zeiss AG; Zeimer Ophthalmic Systems AG; and KERANOVA S.A. 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 is said to feature live optical coherence tomography guidance and soft docking. Although not all the features are known currently, this will be the first second-generation laser expected to compete with the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current and potential competitors are large publicly traded companies or divisions of publicly-traded companies and have several competitive advantages,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greater financial and human resources for product development and sales and marketing;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significantly greater name recognition;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longer operating histories;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 established sales and marketing programs and distribution networks.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of our competitors have their own intraocular lens, or IOLs, while we do not, which could put us at a competitive disadvantage. If we are unable to compete effectively in this environment, it could adversely affect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historically sold our products outside of the United States through a network of independent distributors and intend to increase our international presence in Europe and Asia, as well as other international markets. Our international business operations are subject to a number of risks,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staffing and managing our international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competition as a result of more products and procedures receiving regulatory approval, certification or clearance or otherwise becoming free to market in international markets;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longer accounts receivable payment cycles and difficulties in collecting accounts receivable;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reduced or varied protection for intellectual property rights in some countries;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tariffs, export restrictions, and other trade barriers, trade regulations, and foreign tax laws;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certification and regulatory clearance or approval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difficulties in developing effective marketing campaigns in unfamiliar international markets;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customs clearance and shipping delays;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political, social, and economic instability abroad, terrorist attacks, and security concerns in general;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preference for locally produced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potentially adverse tax consequences, including the complexities of foreign value-added tax systems, tax inefficiencies related to our corporate structure, and restrictions on the repatriation of earnings;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burdens of complying with a wide variety of foreign laws and different legal standards;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financial accounting and reporting burdens and complexities.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exposed to the credit risk of some of our customers, which could result in material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effect on our business, financial condition and results of operations or adversely affect our ability to sell such assets as part of our monetization strategy.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unable to accurately forecast customer demand and our inventory levels.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or otherwise experience impacts to our inventory levels, our excess or obsolete inventory may increase. For example, we have experienced reduced activity by our distributors following the announcement of the Merger, which has resulted in a decrease in our production levels, and expect further negative impact in connection with the termination of the Merger Agreement. Our results could be adversely impacted if our distributors do not resume their sales activity to previous levels, and a significant increase in excess or obsolete inventory would reduce our gross margin and adversely affect our financial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future products, may negatively affect the adoption and use of our ALLY System or other future products and technologies, and the prices paid for such products may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provide a limited warranty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policies are expensive and protect us only from some business risks, which leaves us exposed to significant uninsured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financial results may fluctuate significantly and may not fully reflect the underlying performance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fluctuations in the demand for the more advanced, patient-pay procedures in which our Systems are used;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adoption of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establish and maintain an effective and dedicated sales organization in the United States and network of independent distributors outside the United States;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pricing pressure applicable to our products from competitor pricing;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results of clinical research and studies on our products or competitive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mix of sales and leases of our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timing of delivery of Systems, new product offerings, acquisitions, licenses or other significant events by us or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decisions by surgeons, hospitals and ASCs to defer acquisitions of Systems in anticipation of the introduction of new products or product enhancements by us or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sampling by and additional training requirements for cataract surgeons upon the commercialization of a new product by us or one of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regulatory approvals, clearances or certifications and legislative changes affecting the products we may offer or those of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interruption in the manufacturing or distribution of our Systems;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delays in, or failure of, component and raw material deliveries by our suppliers;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suppliers to timely provide us with an adequate supply of components;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 of competing technological, industry and market developments;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our ability to obtain regulatory clearance, certification or approval for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significant period-to-period growth in our business and we must continue to grow in order to meet our business and financial objectives. However, continued growth may create numerous challenges,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new and increased responsibilities for our management team;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pressure on our operating, financial and reporting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pressure to anticipate and satisfy market demand;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 manufacturing capacity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strain on our ability to source a larger supply of components, including as a result of ongoing supply chain issues, in order to meet our required specifications on a timely basis;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of an increasing number of relationships with our customers, suppliers and other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entry into new international territories with unfamiliar regulations and business approaches;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need to hire, train and manage additional qualified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technologies effectively, our business will be adversely affected. In addition, any amortization or charges resulting from the costs of acquisitions could increase our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personal information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comprehensively apply patches or confirm that measures are in place to mitigate all such vulnerabilities, or that patches will be applied before vulnerabilities are exploited by a threat actor.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 – including artificial intelligence –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information technology system failure, accident or security breach affecting us or third-party systems or Confidential Information could result in interruptions in our operations, damage to our reputation, the loss or misappropriation of Confidential Information, result in key personnel being unable to perform duties or communicate throughout the organization, significant costs associated with the investigation, data restoration and remediation, legal claims or proceedings (such as class actions),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cyber insurance, which may expose us to certain potential losses for damages or result in penalization with fines in an amount exceeding our resources.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actual or perceived failure to comply with data privacy and security laws and other obligations could have a material adverse effect on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or EU GDPR, and the UK General Data Protection Regulation and Data Protection Act 2018, or UK GDPR, (collectively, GDPR), and the California Consumer Privacy Act, as amended by the California Privacy Rights Act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information, fail to implement policies to protect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 and reduce vulnerabilities. Additionally, federal and state consumer protection laws are increasingly being applied by FTC and state Attorneys General to regulate the collection, use, storage, and disclosure of personal health-related and other information, through websites or otherwise, and to regulate the presentation of website content.</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In 2024, the National Security Division of the U.S. Department of Justice (DOJ) issued a new rule – referred to as the “Data Security Program” (DSP) –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we are subject to laws and regulations regarding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SCCs, a standard form of contract approved by the European Commission as an adequate personal data transfer mechanism, alone may not necessarily be sufficient in all circumstances and that transfers must be assessed on a case-by-case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adversely affect the manner in which we operate our business and could adversely affect our business,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 on our books may lead to significant impairment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Government Regulation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foreign regulatory authorities or notified bodies can delay, limit or deny clearance, certification or approval of a device for many reasons,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demonstrate to the satisfaction of the FDA or the applicable foreign regulatory authority or notified body that our products are safe or effective for their intended uses;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disagreement of the FDA or the applicable foreign regulatory authority or notified body with the design or implementation of our clinical trials or the interpretation of data from pre-clinical studies or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certification or approval, where required;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16, 2025, an amendment to the Medical Devices Regulations 2002, or UK Medical Devices Regulations, became applicable which is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the MHRA launched a consultation from November 14, 2024 to January 5, 2025 on proposals to update the pre-market requirements for medical devices in Great Britain. On July 22, 2025, the MHRA published a response to the consultation confirming that it will incorporate the results of this consultation into new UK legislation on pre-market requirements for medical devices in Great Britain. A draft of the new legislation is expected this year.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 The MHRA has confirmed that it intends to launch a consultation regarding the indefinite recognition of such medical devices in Great Britain which is expected this year. Medical devices also need to bear a physical UKCA mark in order to be lawfully placed on the Great Britain market. However, the MHRA has confirmed in its response to the consultation on pre-market requirements for medical devices in Great Britain that it intends to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(“UDI”), to a medical device and register the UDI in a publicly accessible database before the medical device is placed on the Great Britain market. If this change is implemented, we may no longer be required to affix the physical UKCA mark to our medical devices, but we may need to assign and affix a UDI, and register the UDI in a publicly accessible database.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delays in or refusal to grant our requests for future clearances, certifications or approvals (including foreign regulatory approvals) of new products, new intended uses, or modifications to existing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withdrawals or suspensions of our current 510(k) clearances or certifications, resulting in prohibitions on sales of our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FDA refusal to issue certificates to foreign governments needed to export products for sale in other countries;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higher than anticipated costs or lower than anticipated sales and have a material adverse effect on our reputation,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methods used in, and the facilities used for, the manufacture of our products must comply with the FDA’s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regulators and other comparable foreign regulatory authorities may disagree as to the design or implementation of our clinical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regulators, Institutional Review Boards, or IRBs, or other reviewing bodies may not authorize us or our investigators to commence a clinical trial, or to conduct or continue a clinical trial at a prospective or specific trial site;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reach agreement on acceptable terms with prospective contract research organizations, or CROs, and clinical trial sites, the terms of which can be subject to extensive negotiation and may vary significantly among different CROs and trial sites;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trials may produce negative or inconclusive results, and we may decide, or regulators or notified bodies may require us, to conduct additional clinical trials or abandon product development programs;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third-party contractors, including those manufacturing products or conducting clinical trials on our behalf, may fail to comply with regulatory requirements or meet their contractual obligations to us in a timely manner,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a finding that the subjects are being exposed to unacceptable health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regulators, IRBs, other reviewing bodies, or other parties may require or recommend that we or our investigators suspend or terminate clinical research for various reasons, including safety signals or noncompliance with regulatory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approval or certification policies or regulations of FDA or applicable foreign regulatory agencies may change in a manner rendering our clinical data insufficient for certification or approval;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For example, on February 2, 2026, the FDA’s final rule implementing the FDA’s Quality Management System Regulation, or QMSR, became effective. The QMSR, which replaced the FDA’s former Quality System Regulation, or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not able to maintain regulatory compliance, we may be subject to enforcement action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MDR to address structural issues, certification delays, and burdens on Small and medium-sized enterprises (“SMEs”). The proposal will enter the ordinary legislative procedure and is not expected to be adopted before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are conducting our business in the EU and the EEA and the ability of our notified body to timely review and process our regulatory submissions and perform its audits.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Enacted and future healthcare legislation may increase the difficulty and cost for us to commercialize our ALLY System or other products we may develop in the future and may affect the prices we may 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More recently, the One Big Beautiful Bill Act (the “OBBBA”)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EU and other foreign law equivalents of each of the laws, including reporting requirements detailing interactions with and payments to healthcare providers.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anti-corruption, anti-bribery and similar laws and any violations by us of such laws could result in fines or other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Intellectual Property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success will depend on our ability to obtain, maintain, and protect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trademarks and other intellectual property rights in the United States and elsewhere and protecting our proprietary technology. If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efforts to enter into confidentiality agreements with our employees, consultants, clients and other vendors who have access to our confidential information, our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numerous issued patents and pending patent applications. As of December 31, 2025, we owned approximately 76 U.S. patents, 26 pending U.S. patent applications, 216 issued foreign patents, and 79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design around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and we cannot ensure that: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of our pending patent applications will issue as patents;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be able to successfully commercialize our products on a substantial scale, if approved, before our relevant patents expire;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the first to file patent applications for these inventions;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others will not develop similar or alternative technologies that do not infringe our patents;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of our patents will ultimately be found to be valid and enforceable;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develop additional proprietary technologies or products that are separately patentable;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existing and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or over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such indemnification may be insufficient to fully cover the expenses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proprietary rights. Any potential intellectual property litigation also could force us to do one or more of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stop making, selling or using products or technologies that allegedly infringe the asserted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lose the opportunity to license our intellectual property to others or to collect royalty payments based upon successful protection and assertion of our intellectual property rights against others;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incur significant legal expenses;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redesign those products or technologies that contain the allegedly infringing intellectual property, which could be costly and disruptive, and may be infeasible; and</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attempt to obtain a license to the relevant intellectual property from third parties, which may not be available on reasonable terms or at all, or from third parties who may attempt to license rights that they do not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 or technologies, we may have to withdraw existing products from the market or may be unable to commercialize one or more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other proprietary information, our business and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protection of trade secrets, know-how, and other proprietary information that is not patentable or that we elect not to patent. However, trade secrets can be difficult to protect and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against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may not perform to our standards or legal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may not produce reliable results or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may not perform in a timely manner;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may not maintain the confidentiality of our proprietary information;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disputes may arise with respect to ownership of rights to technology developed with our partners, and those disputes may be resolved against us;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disagreements could cause delays in, or termination of, the research, development or commercialization of our products or result in litigation or arbitration.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Artificial Intelligence Technologies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use artificial intelligence technologies in our business, and the deployment, use, and maintenance of these technologies involve significant technological and legal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develop and use artificial intelligence, or AI, machine learning, and automated decision-making technologies, including proprietary AI and machine learning algorithms and models, or collectively AI Technologies, throughout our business, and are making significant investments in this area.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For instance, the models underlying AI Technologies can experience decay (also known as “model drift”) in which their performance and accuracy decrease over time without further human intervention to correct such decay. We may be unsuccessful in our ongoing development and maintenance of these technologies in the face of novel and evolving technical, reputational and market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w:t>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Given the long history of development of AI Technologies, other parties may have (or in the future may obtain) patents or other proprietary rights that would prevent, limit, or interfere with our ability to make or use our proprietary AI Technologies.</w:t>
      </w:r>
    </w:p>
    <w:p>
      <w:pPr>
        <w:pStyle w:val="TextBody"/>
        <w:bidi w:val="0"/>
        <w:spacing w:before="140" w:after="283"/>
        <w:jc w:val="both"/>
        <w:rPr>
          <w:rFonts w:ascii="Times New Roman" w:hAnsi="Times New Roman"/>
          <w:b/>
          <w:i/>
          <w:color w:val="000000"/>
          <w:sz w:val="20"/>
        </w:rPr>
      </w:pPr>
      <w:r>
        <w:rPr>
          <w:rFonts w:ascii="Times New Roman" w:hAnsi="Times New Roman"/>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enjoined in judicial proceedings from being enforced or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have either entered into force in the United States and the EU in 2025 or are expected to enter into force in 2026. U.S. legislation related to AI Technologies has also been introduced at the federal level and has been passed or proposed at the state level. For example, the California Privacy Protection Agency’s new regulations under the CCPA regarding the use of automated decision-making went into effect on January 1, 2026. California also enacted seventeen new laws in 2024 that further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Utah’s Artificial Intelligence Policy Act, which establishes disclosure requirements and accountability measures for the use of generative AI in certain consumer interactions, and Texas’ Responsible AI Governance Act, which prohibits specified harmful uses of AI, including behavioral manipulation and unlawful discrimination. Such additional regulations, and uncertainty around whether they will survive legal challenges or how they will be enforced, may impact our ability to develop, use, procure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Trump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federal government may seek to preempt state laws when they seek to govern certain topics involving AI, as evidenced by the Trump administration’s “Ensuring a National Policy Framework for Artificial Intelligence” Executive Order signed on December 11, 2025. This order calls for federal standards and legislation that would preempt conflicting state AI regulations and create a federal litigation task force focused on challenging state AI laws in court. The Trump administration may continue to implement new or rescind existing federal orders and/or administrative policies relating to AI Technologies. Any such changes at the federal level could require us to expend significant resources to modify our products, services, or operations to ensure compliance or remain competitive.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on August 1, 2024, the EU Artificial Intelligence Act, or the EU AI Act, entered into force, and establishes a comprehensive, risk-based governance framework for AI in the EU market. The majority of the substantive requirements are expected to apply from August 2, 2026. Although the European Commission has proposed an extension to December 2, 2027, such extension is not yet finalized or effective.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further new laws and regulations will be adopted in the United States and in other non-U.S. jurisdictions, or that existing laws and regulations, including competition and antitrust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or to adjust our business plans based on changes to how such laws are enforced, including adapting to loosened regulation to remain competitive,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Owning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50.6% of our total outstanding shares of common stock based on our shares outstanding as of December 31, 2025,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 “smaller reporting company” and we cannot be certain if the reduced disclosure requirements applicable to us will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w:t>
      </w:r>
      <w:r>
        <w:rPr>
          <w:rFonts w:ascii="Times New Roman" w:hAnsi="Times New Roman"/>
          <w:i/>
          <w:color w:val="000000"/>
          <w:sz w:val="20"/>
        </w:rPr>
        <w:t>Redeemable Convertible Preferred Stock</w:t>
      </w:r>
      <w:r>
        <w:rPr>
          <w:rFonts w:ascii="Times New Roman" w:hAnsi="Times New Roman"/>
          <w:color w:val="000000"/>
          <w:sz w:val="20"/>
        </w:rPr>
        <w:t>, to our financial statements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North Run Capital, LP, or North Run, and its affiliates held 45.4% of the voting power of our capital stock based on shares outstanding as of December 31, 2025,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classified board of directors with three-year staggered terms, which may delay the ability of stockholders to change the membership of a majority of our board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limitations on the removal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 active, liquid and orderly market for our common stock may not be sustained, and the trading price of our common stock is likely to be volatile.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active trading market for our common stock may not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Annual Report, these factors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shift in our investor base;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actual or anticipated fluctuations in our quarterly financial condition and operating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operating and stock price performance of similar companies;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introduction of new products by us or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success or failure of our business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financing as needed;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accounting standards, policies, guidance, interpretations or principles;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overall performance of the equity markets;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shares of our common stock publicly owned and available for trading;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threatened or actual litigation or governmental investigations;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laws or regulations affecting our business, including tax legislation;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or dispositions;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major change in our board of directors or management;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earnings estimates by securities analysts or our ability to meet earnings guidance;</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publication of research reports about us or our industry or changes in recommendations or withdrawal of research coverage by securities analysts;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large volumes of sales of our shares of common stock by existing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short sales of our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investor perception of us and our industry;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as long as we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Scrutiny and stakeholder expectations regarding environmental, social, and governance matters may cause us to incur expenses and liabilities or otherwise adversely impact our business, financial condition, or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to offset future taxable income may be subject to certain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net operating loss, or NOL, carryforwards of $52.6 million for federal income tax purposes and $36.1 million for state income tax purposes, which may be available to offset our future taxable income, if any. Our federal NOL carryforwards are not subject to expiration, but may generally only be used to offset 80% of future taxable income in a given year. Certain of our state NOL carryforwards begin to expire in 2028. Our state NOL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carryforwards could expire unused, to the extent subject to expiration, and be unavailable to offset future taxable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may experience ownership changes in the future as a result of future transactions in our stock, some of which may be outside our control. If we undergo ownership changes in the future, our ability to use our NOL carryforwards and other tax attributes could be further limited. </w:t>
      </w:r>
    </w:p>
    <w:p>
      <w:pPr>
        <w:pStyle w:val="TextBody"/>
        <w:bidi w:val="0"/>
        <w:spacing w:before="360" w:after="283"/>
        <w:jc w:val="both"/>
        <w:rPr>
          <w:rFonts w:ascii="Times New Roman" w:hAnsi="Times New Roman"/>
          <w:b/>
          <w:color w:val="000000"/>
          <w:sz w:val="20"/>
        </w:rPr>
      </w:pPr>
      <w:bookmarkStart w:id="9" w:name="item_1b_unresolved_staff_comments"/>
      <w:bookmarkEnd w:id="9"/>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0" w:name="item_1c_cybersecurity"/>
      <w:bookmarkEnd w:id="10"/>
      <w:r>
        <w:rPr>
          <w:rFonts w:ascii="Times New Roman" w:hAnsi="Times New Roman"/>
          <w:b/>
          <w:color w:val="000000"/>
          <w:sz w:val="20"/>
        </w:rPr>
        <w:t>Item 1C. Cybersecurity.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designed to help identify material risks from cybersecurity threats to our critical systems and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information technology team principally responsible for managing (1) our cybersecurity risk assessment processes, (2) our security controls, and (3) our response to cybersecurity incidents;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with subject matter expertise, where appropriate, to assess, test or otherwise assist with aspects of our security processes;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cybersecurity</w:t>
      </w:r>
      <w:r>
        <w:rPr>
          <w:color w:val="000000"/>
        </w:rPr>
        <w:t xml:space="preserve"> </w:t>
      </w:r>
      <w:r>
        <w:rPr>
          <w:rFonts w:ascii="Times New Roman" w:hAnsi="Times New Roman"/>
          <w:color w:val="000000"/>
          <w:sz w:val="20"/>
        </w:rPr>
        <w:t>awareness training of our employees, incident response personnel, and senior management;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not identified cybersecurity threats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Factors—Risks Related to Our Business— We rely significantly on the use of information technology. Cybersecurity risks – any technology failures causing a material disruption to operational technology or cyber-attacks on our systems affecting our ability to protect the integrity and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security of confidential customer and employee information – could harm our reputation and/or could disrupt our operations and negatively impact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Cybersecurity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considers cybersecurity risk as part of its risk oversight function and has delegated to the Audit Committee oversight of cybersecurity risks, including oversight of management’s implementation of our cybersecurity risk management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 Committee receives periodic reports from management on our cybersecurity risks. In addition, management updates the Audit Committee, where it deems appropriate, regarding any cybersecurity incidents it considers to be significant or potentially significant.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 Committee reports to the full Board regarding its activities, including those related to cybersecurity. The full Board also receives briefings from management on our cyber risk management program. Board members receive presentations on cybersecurity topics from internal information technology staff or external experts as part of the Board’s continuing education on topics that impact public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team, including the Director of Information Technology, Chief Operating Officer, Chief Financial Officer, and Principal Accounting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collectively has over 30 years of experience managing cybersecurity risks and is knowledgeable about our products and systems.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team takes steps to stay informed about and monitors efforts to prevent, detect, mitigate, and remediate cybersecurity risks and incidents through various means, which may include briefings from internal information technology personnel; threat intelligence and other information obtained from governmental, public or private sources, including external consultants engaged by us; and alerts and reports produced by security tools deployed in the IT environment.</w:t>
      </w:r>
    </w:p>
    <w:p>
      <w:pPr>
        <w:pStyle w:val="TextBody"/>
        <w:bidi w:val="0"/>
        <w:spacing w:before="360" w:after="283"/>
        <w:jc w:val="both"/>
        <w:rPr>
          <w:rFonts w:ascii="Times New Roman" w:hAnsi="Times New Roman"/>
          <w:b/>
          <w:color w:val="000000"/>
          <w:sz w:val="20"/>
        </w:rPr>
      </w:pPr>
      <w:bookmarkStart w:id="11" w:name="item_2_properties"/>
      <w:bookmarkEnd w:id="11"/>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occupy approximately 45,000 square feet of office and manufacturing space at our corporate headquarters in Orlando, Florida under a lease that expires in May 2029.</w:t>
      </w:r>
    </w:p>
    <w:p>
      <w:pPr>
        <w:pStyle w:val="TextBody"/>
        <w:bidi w:val="0"/>
        <w:spacing w:before="360" w:after="283"/>
        <w:jc w:val="both"/>
        <w:rPr>
          <w:rFonts w:ascii="Times New Roman" w:hAnsi="Times New Roman"/>
          <w:b/>
          <w:color w:val="000000"/>
          <w:sz w:val="20"/>
        </w:rPr>
      </w:pPr>
      <w:bookmarkStart w:id="12" w:name="item_3_legal_proceedings"/>
      <w:bookmarkEnd w:id="12"/>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Merger and terminated Merger Agreement and in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description of our legal proceedings, refer to Note 11, </w:t>
      </w:r>
      <w:r>
        <w:rPr>
          <w:rFonts w:ascii="Times New Roman" w:hAnsi="Times New Roman"/>
          <w:i/>
          <w:color w:val="000000"/>
          <w:sz w:val="20"/>
        </w:rPr>
        <w:t>Commitments and contingencies</w:t>
      </w:r>
      <w:r>
        <w:rPr>
          <w:rFonts w:ascii="Times New Roman" w:hAnsi="Times New Roman"/>
          <w:color w:val="000000"/>
          <w:sz w:val="20"/>
        </w:rPr>
        <w:t>, to our consolidated financial statements included elsewhere in this Annual Report, which is incorporated herein by reference.</w:t>
      </w:r>
    </w:p>
    <w:p>
      <w:pPr>
        <w:pStyle w:val="TextBody"/>
        <w:bidi w:val="0"/>
        <w:spacing w:before="360" w:after="283"/>
        <w:jc w:val="both"/>
        <w:rPr>
          <w:rFonts w:ascii="Times New Roman" w:hAnsi="Times New Roman"/>
          <w:b/>
          <w:color w:val="000000"/>
          <w:sz w:val="20"/>
        </w:rPr>
      </w:pPr>
      <w:bookmarkStart w:id="13" w:name="item_4_mine_safety_disclosure"/>
      <w:bookmarkEnd w:id="13"/>
      <w:r>
        <w:rPr>
          <w:rFonts w:ascii="Times New Roman" w:hAnsi="Times New Roman"/>
          <w:b/>
          <w:color w:val="000000"/>
          <w:sz w:val="20"/>
        </w:rPr>
        <w:t>Item 4. Mine Safety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00" w:after="283"/>
        <w:jc w:val="both"/>
        <w:rPr>
          <w:rFonts w:ascii="Times New Roman" w:hAnsi="Times New Roman"/>
          <w:b/>
          <w:color w:val="000000"/>
          <w:sz w:val="20"/>
        </w:rPr>
      </w:pPr>
      <w:bookmarkStart w:id="15" w:name="item_5_market_for_registrants_common_equ"/>
      <w:bookmarkEnd w:id="15"/>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The Nasdaq Stock Market under the symbol “LNSR.”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28, 2026, there were approximately 71 holders of record of our common stock. This number does not include “street name” or beneficial holders, whose shares are held of record by banks, brokers, financial institutions and other nominees.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Securities; Purchases of Equity Securities by the Issuer or Affiliated Purchaser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do not anticipate paying any cash dividends in the foreseeable future. Instead, we anticipate that all of our earnings will be used to provide working capital, to support our operations and to finance the growth and development of our business.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In addition, if we were to enter into a credit facility in the future, we anticipate that the terms of such facility could limit or prohibit our ability to pay dividends.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Item 5 of Form 10</w:t>
        <w:noBreakHyphen/>
        <w:t>K regarding equity compensation plans is incorporated herein by reference to Item 12 of Part III of this Annual Report.</w:t>
      </w:r>
    </w:p>
    <w:p>
      <w:pPr>
        <w:pStyle w:val="TextBody"/>
        <w:bidi w:val="0"/>
        <w:spacing w:before="360" w:after="283"/>
        <w:jc w:val="both"/>
        <w:rPr>
          <w:rFonts w:ascii="Times New Roman" w:hAnsi="Times New Roman"/>
          <w:b/>
          <w:color w:val="000000"/>
          <w:sz w:val="20"/>
        </w:rPr>
      </w:pPr>
      <w:bookmarkStart w:id="16" w:name="item_6_reserved"/>
      <w:bookmarkEnd w:id="16"/>
      <w:r>
        <w:rPr>
          <w:rFonts w:ascii="Times New Roman" w:hAnsi="Times New Roman"/>
          <w:b/>
          <w:color w:val="000000"/>
          <w:sz w:val="20"/>
        </w:rPr>
        <w:t>Item 6. [Reserved]</w:t>
      </w:r>
      <w:bookmarkStart w:id="17" w:name="item_6_selected_financial_data"/>
      <w:bookmarkEnd w:id="17"/>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8" w:name="item_7_managements_discussion_analysis_f"/>
      <w:bookmarkEnd w:id="18"/>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 A discussion of the year ended December 31, 2024 compared to the year ended December 31, 2023 has been reported previously in our Annual Report on Form 10-K for the fiscal year ended December 31, 2024, filed with the SEC on March 4, 2024, under the heading “Management’s Discussion and Analysis of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product portfolio includes the LENSAR Laser System, or LLS, and the ALLY Robotic Cataract Laser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South Korea, as well as certain other countries.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built and are continuing to grow our commercial organization, which includes a direct sales force in the United States and distributors in Europe and Asia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December 31, 2025, consisted of approximately 70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component parts to avoid the impact of potential disruptions in the supply chain; however, availability of these components can be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 increased from $53.5 million for the year ended December 31, 2024 to $58.4 million for the year ended December 31, 2025, representing an increase of 9%. Our net losses were $31.4 million and $34.3 million for the years ended December 31, 2024 and 2025, respectively. A significant component of our net loss in the years ended December 31, 2025 and 2024 was the change in fair value of warrant liabilities of $10.3 million and $21.4 million, respectively. Our total installed base of LLS and ALLY Systems was approximately 435 as of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Termination of Merger Agreement with Alcon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23, 2025, we entered into an Agreement and Plan of Merger, or the Merger Agreement, with Alcon Research, LLC, or Alcon and VMI Option Merger Sub, Inc., or Merger Sub, which provided that, subject to the terms and conditions set forth in the Merger Agreement, Merger Sub would merge with and into the Company, which we refer to as the Merger, with the Company continuing as the surviving corporation of the Merger and as a wholly-owned subsidiary of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21, 2025, we and Alcon each received a request for additional information and documentary material from the FTC in connection with the FTC’s review of the Merger. Following its investigation, the FTC indicated its intention to seek to enjoin the Merger. On March 16, 2026, we entered into a Termination and Mutual Release Agreement, or the Termination Agreement, with Alcon and Merger Sub, pursuant to which the parties agreed to terminate the Merger Agreement, effective immediately. Pursuant to the Termination Agreement, Alcon agreed that we will retain the $10.0 million cash deposit provided to us and being held by us pursuant to the Merger Agreement. The parties also agreed to a mutual release of claims, relating to or arising out of the Merger Agreement and the transactions contemplated therein or thereby.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Merger Agreement, we have incurred acquisition-related costs of approximately $17.1 million in the year ended December 31, 2025. Of the $17.1 million in acquisition-related costs incurred,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 million. Furthermore, during the three months ending March 31, 2026, $5.0 million of accounts payable will be reclassified from current to long-term based upon extended payment terms provided by our acquisition advisers.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highly competitive environment that involves a number of risks, some of which are beyond our control. We are subject to risks common to medical device companies, including risks inherent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for future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safety requirements and suggestions regarding patient treatment as required or suggested by health care authorities;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supply chain shortages, labor market shifts, tariffs, and price increases resulting from various macroeconomic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assurance that we will generate significant revenues or achieve and sustain profitability in the future. In addition, we can provide no assurance that we will have sufficient funding to meet our future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economic uncertainty and other factors, including tariff policies,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and other factors, our historical results are not necessarily indicative of future performance, and any interim results we present are not indicative of the results that may be expected for the full fiscal year.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lease payment. The following table provides information about revenue and revenue attributable to recurring sources, which we consider to be all components of our revenue except for sales of our Systems:</w:t>
      </w:r>
    </w:p>
    <w:tbl>
      <w:tblPr>
        <w:tblW w:w="5129" w:type="dxa"/>
        <w:jc w:val="left"/>
        <w:tblInd w:w="0" w:type="dxa"/>
        <w:tblLayout w:type="fixed"/>
        <w:tblCellMar>
          <w:top w:w="28" w:type="dxa"/>
          <w:left w:w="28" w:type="dxa"/>
          <w:bottom w:w="28" w:type="dxa"/>
          <w:right w:w="28" w:type="dxa"/>
        </w:tblCellMar>
      </w:tblPr>
      <w:tblGrid>
        <w:gridCol w:w="2326"/>
        <w:gridCol w:w="146"/>
        <w:gridCol w:w="211"/>
        <w:gridCol w:w="676"/>
        <w:gridCol w:w="146"/>
        <w:gridCol w:w="146"/>
        <w:gridCol w:w="211"/>
        <w:gridCol w:w="676"/>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Procedure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Total cost of revenue comprises cost of product revenue</w:t>
      </w:r>
      <w:r>
        <w:rPr>
          <w:rFonts w:ascii="Times New Roman" w:hAnsi="Times New Roman"/>
          <w:i/>
          <w:color w:val="000000"/>
          <w:sz w:val="20"/>
        </w:rPr>
        <w:t xml:space="preserve">, </w:t>
      </w:r>
      <w:r>
        <w:rPr>
          <w:rFonts w:ascii="Times New Roman" w:hAnsi="Times New Roman"/>
          <w:color w:val="000000"/>
          <w:sz w:val="20"/>
        </w:rPr>
        <w:t xml:space="preserve">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 </w:t>
      </w:r>
    </w:p>
    <w:p>
      <w:pPr>
        <w:pStyle w:val="TextBody"/>
        <w:bidi w:val="0"/>
        <w:spacing w:before="360" w:after="283"/>
        <w:jc w:val="both"/>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 </w:t>
      </w:r>
    </w:p>
    <w:p>
      <w:pPr>
        <w:pStyle w:val="TextBody"/>
        <w:bidi w:val="0"/>
        <w:spacing w:before="36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360" w:after="283"/>
        <w:jc w:val="both"/>
        <w:rPr>
          <w:rFonts w:ascii="Times New Roman" w:hAnsi="Times New Roman"/>
          <w:sz w:val="20"/>
        </w:rPr>
      </w:pPr>
      <w:r>
        <w:rPr>
          <w:rFonts w:ascii="Times New Roman" w:hAnsi="Times New Roman"/>
          <w:i/>
          <w:color w:val="000000"/>
          <w:sz w:val="20"/>
        </w:rPr>
        <w:t>Impairment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 in Fair Value of Warrant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 in fair value of warrant liabilities consists of the change in estimated fair value of the warrant liabilities using recently quoted market prices of the Company's common stock and the Black-Scholes option pricing model.</w:t>
      </w:r>
    </w:p>
    <w:p>
      <w:pPr>
        <w:pStyle w:val="TextBody"/>
        <w:bidi w:val="0"/>
        <w:spacing w:before="36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tax rates or exposure to additional tax liabilities could adversely affect our earnings and financial condition. 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Based on the Company’s current analysis of the provisions, the Company determined that the tax law changes do not have a material impact on the Company’s 2025 financial statements. However, the Company will continue to evaluate their impact of such tax law changes on future periods.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quarter being the slowest. We believe these seasonal variations are consistent across our industry.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Comparison of the Years Ended December 31, 2025 and 2024</w:t>
      </w:r>
    </w:p>
    <w:p>
      <w:pPr>
        <w:pStyle w:val="TextBody"/>
        <w:bidi w:val="0"/>
        <w:jc w:val="both"/>
        <w:rPr/>
      </w:pPr>
      <w:r>
        <w:rPr/>
        <w:t> </w:t>
      </w:r>
    </w:p>
    <w:tbl>
      <w:tblPr>
        <w:tblW w:w="8651" w:type="dxa"/>
        <w:jc w:val="left"/>
        <w:tblInd w:w="0" w:type="dxa"/>
        <w:tblLayout w:type="fixed"/>
        <w:tblCellMar>
          <w:top w:w="28" w:type="dxa"/>
          <w:left w:w="28" w:type="dxa"/>
          <w:bottom w:w="28" w:type="dxa"/>
          <w:right w:w="28" w:type="dxa"/>
        </w:tblCellMar>
      </w:tblPr>
      <w:tblGrid>
        <w:gridCol w:w="4531"/>
        <w:gridCol w:w="146"/>
        <w:gridCol w:w="211"/>
        <w:gridCol w:w="676"/>
        <w:gridCol w:w="146"/>
        <w:gridCol w:w="146"/>
        <w:gridCol w:w="211"/>
        <w:gridCol w:w="676"/>
        <w:gridCol w:w="146"/>
        <w:gridCol w:w="146"/>
        <w:gridCol w:w="250"/>
        <w:gridCol w:w="650"/>
        <w:gridCol w:w="71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from Prior</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(excluding intangible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b/>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for the year ended December 31, 2025 was $58.4 million, an increase of 9% when compared to total revenue of $53.5 million for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year ended December 31, 2025 compared to the year ended December 31, 2024 increased by $4.9 million, or 12%. The increase was primarily attributable to increased procedure volume, which amounted to a $6.1 million increase, offset by lower Systems sales, which amounted to a $1.2 million decrease, during the year ended December 31, 2025. Placements of our Systems, especially outside the U.S., was negatively impacted by the twelve-month disruption we experienced while operating under the previously contemplated acquisition by Alcon. We expect to return to a more normal System placement cadence, but this may take several quarters.</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procedure volume:</w:t>
      </w:r>
    </w:p>
    <w:tbl>
      <w:tblPr>
        <w:tblW w:w="5773" w:type="dxa"/>
        <w:jc w:val="left"/>
        <w:tblInd w:w="0" w:type="dxa"/>
        <w:tblLayout w:type="fixed"/>
        <w:tblCellMar>
          <w:top w:w="28" w:type="dxa"/>
          <w:left w:w="28" w:type="dxa"/>
          <w:bottom w:w="28" w:type="dxa"/>
          <w:right w:w="28" w:type="dxa"/>
        </w:tblCellMar>
      </w:tblPr>
      <w:tblGrid>
        <w:gridCol w:w="2071"/>
        <w:gridCol w:w="146"/>
        <w:gridCol w:w="146"/>
        <w:gridCol w:w="781"/>
        <w:gridCol w:w="146"/>
        <w:gridCol w:w="146"/>
        <w:gridCol w:w="146"/>
        <w:gridCol w:w="781"/>
        <w:gridCol w:w="146"/>
        <w:gridCol w:w="146"/>
        <w:gridCol w:w="146"/>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procedure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revenue for the year ended December 31, 2025 compared to the year ended December 31, 2024 increased by $0.8 million. This increase was primarily attributable to the increased number of Systems placements.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Geographically, the United States represented 66% and 63% of product and service revenues for the years ended December 31, 2025 and 2024, respectively.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Lease revenue for the year ended December 31, 2025 compared to the year ended December 31, 2024 decreased by $0.8 million, or 10%, primarily due to decreased leased LLS. Lease revenue is generated by Systems placements, primarily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government has recently implemented significant changes in U.S. trade policy and taken certain actions that have impacted our business, including imposing tariffs on certain goods imported into the United States. Some of these changes have triggered retaliatory actions by affected countries that could negatively impact demand for our products in these regions. The imposition of tariffs have increased the cost of the raw materials used in our ALLY Systems and PIDs. To date, we have not increased sales prices to our customers resulting in a reduction in our gross margin.</w:t>
      </w:r>
    </w:p>
    <w:p>
      <w:pPr>
        <w:pStyle w:val="TextBody"/>
        <w:bidi w:val="0"/>
        <w:spacing w:before="36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cost of revenue for the year ended December 31, 2025 was $31.3 million, an increase of 13% when compared to total cost of revenue of $27.6 million for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year ended December 31, 2025 compared to the year ended December 31, 2024 increased by $2.3 million, or 13%. The increase was primarily attributable to the number of Systems sales, which have a lower gross margin than procedure 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import certain raw materials for our ALLY System and PIDs from regions that have been impacted by the tariffs imposed by the U.S. government. Tariff policies have resulted in an overall increase in the cost of our products by at least 10% and had a negative impact to our gross profit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year ended December 31, 2025 compared to the year ended December 31, 2024 increased by $0.8 million, or 12%. This increase was primarily attributable to the increased number of Systems placements.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lease revenue for the year ended December 31, 2025 compared to the year ended December 31, 2024 increased by $0.6 million, or 20%, primarily due to an increase in the number of newly leased Systems between the years, which have a higher depreciation cost than older and some fully depreciated leased Systems. </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Selling, general and administrative expenses for the year ended December 31, 2025 were $45.2 million, an increase of $18.7 million, or 70%, compared to $26.5 million for the year ended December 31, 2024. General and administrative expenses increased in the year ended December 31, 2025 due to acquisition-related costs of approximately $17.1 million incurred in conjunction with the previously contemplated Merger with Alcon and increased selling and marketing expenses supporting the continued ALLY System growth in placements and procedures. We expect our selling and marketing expenses will continue to increase in the future to support the continued growth in ALLY System placements.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were $5.6 million for the year ended December 31, 2025, an increase of $0.3 million, or 5%, compared to $5.3 million for the year ended December 31, 2024. </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approximately $0.9 million for the year ended December 31, 2025, which was consistent with the year ended December 31, 2024.</w:t>
      </w:r>
    </w:p>
    <w:p>
      <w:pPr>
        <w:pStyle w:val="TextBody"/>
        <w:bidi w:val="0"/>
        <w:spacing w:before="240" w:after="283"/>
        <w:jc w:val="both"/>
        <w:rPr>
          <w:rFonts w:ascii="Times New Roman" w:hAnsi="Times New Roman"/>
          <w:sz w:val="20"/>
        </w:rPr>
      </w:pPr>
      <w:r>
        <w:rPr>
          <w:rFonts w:ascii="Times New Roman" w:hAnsi="Times New Roman"/>
          <w:i/>
          <w:color w:val="000000"/>
          <w:sz w:val="20"/>
        </w:rPr>
        <w:t>Impairment of Intangible Assets.</w:t>
      </w:r>
      <w:r>
        <w:rPr>
          <w:rFonts w:ascii="Times New Roman" w:hAnsi="Times New Roman"/>
          <w:color w:val="000000"/>
          <w:sz w:val="20"/>
        </w:rPr>
        <w:t xml:space="preserve"> 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year ended December 31, 2024, the Company determined that the carrying value of the intangible assets exceeded the estimated recoverable amount and recorded an impairment of intangible assets of $3.9 million. The impairment charge was offset with the write-off of contract liabilities associated with the intangible assets of $0.2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Non-operating income and expenses, net for the year ended December 31, 2025 were $9.7 million as compared to $20.7 million for the year ended December 31, 2024. Non-operating income and expenses consisted primarily of the change in fair value of warrant liabilities in each period.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years ended December 31, 2025 and 2024.</w:t>
      </w:r>
    </w:p>
    <w:p>
      <w:pPr>
        <w:pStyle w:val="TextBody"/>
        <w:bidi w:val="0"/>
        <w:jc w:val="both"/>
        <w:rPr/>
      </w:pPr>
      <w:r>
        <w:rPr/>
        <w:t> </w:t>
      </w:r>
    </w:p>
    <w:tbl>
      <w:tblPr>
        <w:tblW w:w="6464" w:type="dxa"/>
        <w:jc w:val="left"/>
        <w:tblInd w:w="0" w:type="dxa"/>
        <w:tblLayout w:type="fixed"/>
        <w:tblCellMar>
          <w:top w:w="28" w:type="dxa"/>
          <w:left w:w="28" w:type="dxa"/>
          <w:bottom w:w="28" w:type="dxa"/>
          <w:right w:w="28" w:type="dxa"/>
        </w:tblCellMar>
      </w:tblPr>
      <w:tblGrid>
        <w:gridCol w:w="3901"/>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acquisition-related costs, and impairment of intangible assets, provides meaningful supplemental information for investors when evaluating our results and comparing us to peer companies, as stock-based compensation expense and change in fair value of warrant liabilities are significant non-cash charges and impairment of intangible assets is a non-cash charge that is not indicative of our core operating results and acquisition-related costs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years ended December 31, 2025 and 2024, we had net losses of $34.3 million and $31.4 million, respectively, and, as of December 31, 2025, we had an accumulated deficit of $177.6 million. The change in fair value of warrant liabilities had a significant impact of $(10.3) million on net loss in the twelve months ended December 31, 2025, and it is difficult to predict how the fair value of warrant liabilities will impact our future results. The change in fair value of the warrant liability was a result of an increase in the Company’s stock price of approximately 34% during 2025. We expect to continue to incur losses and operating cash outflows for the near-term future. In addition, acquisition-related costs have been significant. As of December 31, 2025, $17.1 million in acquisition-related costs have been incurred, of which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 million. Furthermore, during the three months ending March 31, 2026, $5.0 million of accounts payable will be reclassified from current to long-term based upon extended payment terms provided by our acquisition advisers.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liquidity needs will be largely determined by our ability to successfully commercialize our products and the progression, additional regulatory clearances or certifications and launch of the ALLY System in additional jurisdictions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has received regulatory approval in the United States, India, Taiwan, South Korea, as well as certain other countries, and certification in the EU.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acquisition-related costs, and the timing of and applicable clearances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selling, general and administrative expenses to increase from current levels to support the expansion efforts in the U.S. and internationally for the ALLY System offset by a decrease in acquisition-related costs associated with the terminated Merger Agreement. The successful commercialization of the ALLY System depends in part on the Company’s ability to produce the ALLY System in sufficient quantities, within requested timing and at an acceptable price to satisfy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acquisition-related costs, recently enacted tariffs, and other macroeconomic conditions have negatively affected our capital requirements and more operating capital may be needed to fund our operations in the future. We have also experienced reduced activity by our distributors following the announcement of the Merger, and we have adjusted our purchasing and production to manage our inventory accordingly. Our results could be adversely impacted if our distributors do not resume their sales activity to previous levels. Based on our current operating plan, we believe we have sufficient cash and cash equivalents on hand to support current operations for at least one year from the date of issuance of the financial statements included in this Annual Report.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11, 2026, the Company entered into a Priority Credit Line Agreement (the “PCL Agreement”), by and between the Company and Wells Fargo Bank, N.A (“Wells Fargo”). The PCL Agreement provides for a revolving, non-purpose margin credit facility, secured by a first-priority lien on a designated brokerage account maintained at Wells Fargo (the “Collateral Account”), of an amount based on the collateral value in the Collateral Account. Based on the collateral value in the Collateral Account, the Company is permitted to borrow 90-95% of the Collateral Account value under the PCL Agreement. Borrowings under the PCL Agreement bear interest, at the Company’s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revenue and expenses to increase in connection with our on-going operating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tariffs and other supply chain issues on our business; and the timing, scope and magnitude of our commercial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on, among other factors,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contractual obligations and commercial commitments at December 31, 2025 primarily consist of $2.7 million in operating lease liabilities for our facility lease and $13.9 million in remaining minimum purchase obligations for inventory components for the manufacture and supply of certain components within the next 18 months. In addition, as of December 31, 2025, $17.1 million in acquisition-related costs have been incurred, of which $13.8 million is classified as accounts payable and $0.2 million is classified as accrued liabilities on the balance sheet at December 31, 2025. Certain amounts of these acquisition-related costs were contingent upon the successful closing of the Merger. During the three months ending March 31, 2026, the Company will reduce acquisition-related costs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accounts payable by approximately $4.3 million. Furthermore, during the three months ending March 31, 2026, $5.0 million of accounts payable will be reclassified from current to long-term based upon extended payment terms provided by our acquisition advisers.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for the periods indicated, selected items in our statements of cash flows: </w:t>
      </w:r>
    </w:p>
    <w:p>
      <w:pPr>
        <w:pStyle w:val="TextBody"/>
        <w:bidi w:val="0"/>
        <w:jc w:val="both"/>
        <w:rPr/>
      </w:pPr>
      <w:r>
        <w:rPr/>
        <w:t> </w:t>
      </w:r>
    </w:p>
    <w:tbl>
      <w:tblPr>
        <w:tblW w:w="665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63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2025 was $14.8 million, consisting primarily of a net loss of $34.3 million and a decrease in net operating assets of $1.1 million, partially offset by non-cash charges of $18.3 million. Non-cash charges primarily consisted of depreciation, amortization, stock-based compensation, and change in fair value of warrant liabilities. Net operating assets decreased due to inventories offset with accounts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2024 was $2.3 million, consisting primarily of a net loss of $31.4 million and a decrease in net operating assets of $3.0 million, partially offset by non-cash charges of $32.2 million. Non-cash charges consisted of depreciation, amortization, impairment of intangible assets, stock-based compensation, and change in fair value of warrant liabilities. Net operating assets decreased due to accounts receivable and inventories offset with accounts payable and accrued liabilities.</w:t>
      </w:r>
    </w:p>
    <w:p>
      <w:pPr>
        <w:pStyle w:val="TextBody"/>
        <w:bidi w:val="0"/>
        <w:spacing w:before="36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investing activities for the year ended December 31, 2025 was $1.3 million, which consisted primarily of purchases and maturities of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2024 was $2.2 million, which consisted primarily of purchases and maturities of investments. </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for the year ended December 31, 2025 was $10.3 million, consisting primarily of the acquisition-related deposit received from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for the year ended December 31, 2024 was $0.1 million, primarily due to the net proceeds from issuance of common stock under equity incentive plans.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conformity with U.S. Generally Accepted Accounting Principles, or GAAP, and the discussion and analysis of our financial condition and operating results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our management to make judgments, assumptions and estimates that affect the amounts reported in our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describe our significant accounting policies in Note 1,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financial statements. We believe the following accounting policies are the most critical in understanding the estimates and judgments that are involved in preparing our financial statements and the uncertainties that could impact our results of operations, financial condition, and cash flows.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Product and Service 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is recognized from the sale of products and services when we transfer control of such promised products and services. The amount of revenue recognized reflects the consideration we expect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principally derive our revenue from the sale and lease of systems and the sale of other related products and services, including PIDs, procedure licenses, and extended warranty service agreements. A procedure license represents a one-time right to utilize the system surgical application in connection with a surgery procedure. Without separately procuring procedure licenses granted by us, either together with the purchase of the system or under separate subsequent contracts, the customer does not have the right to use the surgical software application to perform surgical procedures. Typically, returns are not allowed.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with customers often include promises to transfer multiple products and services to a customer. Determining whether products and services are considered distinct performance obligations that should be accounted for separately may require significant judgment. Judgment is required to determine the level of interdependency between the system and the sale of other related products and services. We evaluate each product or service promised in a contract to determine whether it represents a distinct performance obligation. A performance obligation is distinct if (1) the customer can benefit from the product or service on its own or with other resources that are readily available to the customer and (2) the product or service is separately identifiable from other promises in the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contracts involving the sale or lease of a system, our performance obligations generally include the system, PID, procedure license, and extended warranty service agreements. In addition, our customer contracts contain provisions for installation and training services, which are not assessed as performance obligations as they are determined to be immaterial promises in the context of the contract and are required for a customer to use the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determined that the system, PID and procedure license are each capable of being distinct because they are each sold separately and the customer can benefit from these products with the other readily available resources that are sold by us. In addition, we have determined each are separately identifiable because the system, PID and procedure license (1) are not highly interdependent or interrelated; (2) do not modify or customize one another; and (3) do not include a significant service of integrating the promised goods into a bundled output. This is because we are able to fulfill each promise in the contract independently of the others and we would be able to fulfill our promise to transfer the system even if the customer did not purchase a PID or procedure license or to fulfill our promise to provide the PID or the procedure license even if the customer acquired the system separately.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extended warranty, unlike our standard product warranty, is a performance obligation because it provides an incremental service that is beyond ensuring the product delivered will be consistent with stated contractual specifications.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 contract contains multiple performance obligations, revenue is allocated to each performance obligation based on its relative standalone selling price.</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revenue as the performance obligations are satisfied by transferring control of the product or service to a customer as described below. We record a contract liability, or deferred revenue, when we have an obligation to provide a product or service to the customer and payment is received or due in advance of our performance.</w:t>
      </w:r>
    </w:p>
    <w:p>
      <w:pPr>
        <w:pStyle w:val="TextBody"/>
        <w:bidi w:val="0"/>
        <w:spacing w:before="240" w:after="283"/>
        <w:jc w:val="both"/>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We recognize revenue for the sale of the products at a point in time when control is transferred to customers.</w:t>
      </w:r>
    </w:p>
    <w:p>
      <w:pPr>
        <w:pStyle w:val="TextBody"/>
        <w:bidi w:val="0"/>
        <w:spacing w:before="240" w:after="283"/>
        <w:jc w:val="both"/>
        <w:rPr>
          <w:rFonts w:ascii="Times New Roman" w:hAnsi="Times New Roman"/>
          <w:sz w:val="20"/>
        </w:rPr>
      </w:pPr>
      <w:r>
        <w:rPr>
          <w:rFonts w:ascii="Times New Roman" w:hAnsi="Times New Roman"/>
          <w:i/>
          <w:color w:val="000000"/>
          <w:sz w:val="20"/>
        </w:rPr>
        <w:t>Equipment.</w:t>
      </w:r>
      <w:r>
        <w:rPr>
          <w:rFonts w:ascii="Times New Roman" w:hAnsi="Times New Roman"/>
          <w:color w:val="000000"/>
          <w:sz w:val="20"/>
        </w:rPr>
        <w:t xml:space="preserve"> System sales are recognized as Product revenue when the Company transfers control of the system. This usually occurs after the customer signs a contract, we install the system, and we perform the requisite training for use of the system for direct customers. System sales to distributors are recognized as revenue upon shipment as they do not require training and installation.</w:t>
      </w:r>
    </w:p>
    <w:p>
      <w:pPr>
        <w:pStyle w:val="TextBody"/>
        <w:bidi w:val="0"/>
        <w:spacing w:before="240" w:after="283"/>
        <w:jc w:val="both"/>
        <w:rPr>
          <w:rFonts w:ascii="Times New Roman" w:hAnsi="Times New Roman"/>
          <w:sz w:val="20"/>
        </w:rPr>
      </w:pPr>
      <w:r>
        <w:rPr>
          <w:rFonts w:ascii="Times New Roman" w:hAnsi="Times New Roman"/>
          <w:i/>
          <w:color w:val="000000"/>
          <w:sz w:val="20"/>
        </w:rPr>
        <w:t>PID and Procedure Licenses.</w:t>
      </w:r>
      <w:r>
        <w:rPr>
          <w:rFonts w:ascii="Times New Roman" w:hAnsi="Times New Roman"/>
          <w:color w:val="000000"/>
          <w:sz w:val="20"/>
        </w:rPr>
        <w:t xml:space="preserve"> The system requires both a PID and a procedure license to perform each procedure. We recognize Product revenue for PIDs when we transfer control of the PID. We recognize Product revenue for procedure licenses at the point in time when control of the procedure license is transferred to the customer. A procedure license represents a one-time right to utilize the system surgical application in connection with a procedure. For the sale of PIDs and procedure licenses, we may offer volume discounts to certain customers. To determine the amount of revenue that should be recognized at the time control over these products transfers to the customer, we estimate the average per unit price, net of discounts.</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We offer an extended warranty that provides additional maintenance services beyond the standard limited warranty. We recognize Service revenue from the sale of extended warranties over the warranty period on a ratable basis as we stand ready to provide services as needed. Customers have the option of renewing the warranty period, which is considered a new and separate contract.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equipment to customers under operating lease arrangements. At contract inception we perform an evaluation to determine if a lease arrangement conveys the right to control the use of an identified asset. To the extent such rights of control are conveyed, we further make an assessment as to the applicable lease classification. The identification of specified assets and determination of appropriate lease classification may require the use of management judgment.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operating leases include a purchase option for the customer to purchase the leased asset at the end of the lease arrangement, subject to a new contract. We do not believe the purchase price qualifies as a bargain purchase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lease arrangements with lease and non-lease components where we are the lessor, we allocate the contract’s transaction price (including discounts) to the lease and non-lease components on a relative standalone selling price, which requires judgments. For those leases with variable lease payments, the variable lease payment is typically based upon use of the leased equipment or the purchase of procedure licenses and PIDs used with the leased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operating leases, rental income is recognized on a straight-line basis over the lease term as lease revenue. Depreciation expense associated with the leased equipment under operating lease arrangements is reflected in cost of lease in the statements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Lessee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Lessee operating leases are included in other current liabilities and long-term operating lease liabilities in our balance sheets. We do not have lessee finance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Lease payments are discounted using our incremental borrowing rate as of the commencement date of each lease. Our remaining lease terms may include options to extend or terminate the lease when it is reasonably certain that we will exercise that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 Lease expense for lease payments is recognized on a straight-line basis as operating expense in our statements of operations over the lease term.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which consists of raw materials, work-in-process and finished goods, is stated at the lower of cost or net realizable value. Inventory levels are analyzed periodically on a first-in, first-out basis and written down to their net realizable value if they have become obsolete, have a cost basis in excess of its expected net realizable value or are in excess of expected requirements. We analyze current and future product demand relative to the remaining product shelf life to identify potential excess inventory. We build demand forecasts by considering factors such as, but not limited to, overall market potential, market share, market acceptance and patient usage.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Valuation of Warrant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 </w:t>
      </w:r>
    </w:p>
    <w:p>
      <w:pPr>
        <w:pStyle w:val="TextBody"/>
        <w:bidi w:val="0"/>
        <w:spacing w:before="360" w:after="283"/>
        <w:jc w:val="both"/>
        <w:rPr>
          <w:rFonts w:ascii="Times New Roman" w:hAnsi="Times New Roman"/>
          <w:sz w:val="20"/>
        </w:rPr>
      </w:pPr>
      <w:r>
        <w:rPr>
          <w:rFonts w:ascii="Times New Roman" w:hAnsi="Times New Roman"/>
          <w:b/>
          <w:i/>
          <w:color w:val="000000"/>
          <w:sz w:val="20"/>
        </w:rPr>
        <w:t>JOBS Act Accounting Election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rely on other exemptions provided by the JOBS Act so long as we remain eligible, including without limitation, not being required to comply with the auditor attestation requirements of Section 404(b) of the Sarbanes-Oxley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an emerging growth company through December 31, 2025 (the fiscal year-end following the fifth anniversary of the completion of the Spin-Off).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financial statements included elsewhere in this Annual Report for a discussion of recently adopted accounting pronouncements and recently issued accounting pronouncements not yet adopted as of December 31, 2025. </w:t>
      </w:r>
    </w:p>
    <w:p>
      <w:pPr>
        <w:pStyle w:val="TextBody"/>
        <w:bidi w:val="0"/>
        <w:spacing w:before="360" w:after="283"/>
        <w:jc w:val="both"/>
        <w:rPr>
          <w:rFonts w:ascii="Times New Roman" w:hAnsi="Times New Roman"/>
          <w:b/>
          <w:color w:val="000000"/>
          <w:sz w:val="20"/>
        </w:rPr>
      </w:pPr>
      <w:bookmarkStart w:id="19" w:name="item_7a_quantitative_qualitative_disclos"/>
      <w:bookmarkEnd w:id="19"/>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had cash, cash equivalents and short-term and long-term investments of $18.0 million as of December 31, 2025. We generally hold our cash and cash equivalents in interest-bearing bank accounts, money market funds, and U.S. treasury bills. In addition, we received a $10.0 million cash deposit associated with the Merger, which is included in our cash and investments and became our property in connection with the termination of the Merger Agreement. Our investments consist primarily of U.S. treasury bills and agency bonds, as well as certificates of deposit. All our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December 31, 2025, no customer accounted for more than 10%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have limited exposure to foreign currency fluctuations and do not engage in any hedging activities as part of our normal course of business.</w:t>
      </w:r>
    </w:p>
    <w:p>
      <w:pPr>
        <w:pStyle w:val="TextBody"/>
        <w:bidi w:val="0"/>
        <w:spacing w:before="360" w:after="283"/>
        <w:jc w:val="both"/>
        <w:rPr>
          <w:rFonts w:ascii="Times New Roman" w:hAnsi="Times New Roman"/>
          <w:b/>
          <w:color w:val="000000"/>
          <w:sz w:val="20"/>
        </w:rPr>
      </w:pPr>
      <w:bookmarkStart w:id="20" w:name="item_8_financial_statements_supplementar"/>
      <w:bookmarkEnd w:id="20"/>
      <w:r>
        <w:rPr>
          <w:rFonts w:ascii="Times New Roman" w:hAnsi="Times New Roman"/>
          <w:b/>
          <w:color w:val="000000"/>
          <w:sz w:val="20"/>
        </w:rPr>
        <w:t>Item 8. Financial Statements and Supplementary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and are incorporated herein by reference.</w:t>
      </w:r>
    </w:p>
    <w:p>
      <w:pPr>
        <w:pStyle w:val="TextBody"/>
        <w:bidi w:val="0"/>
        <w:spacing w:before="360" w:after="283"/>
        <w:jc w:val="both"/>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2" w:name="item_9a_controls_procedures"/>
      <w:bookmarkEnd w:id="2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Annual Report. Based on this evaluation, the chief executive officer and chief financial officer concluded that the Company’s disclosure controls and procedures were effective at the reasonable assurance level as of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our financial reporting, as such term is defined in Rule 13a-15(f) and 15d-15(f) under the Exchange Act. Our management, under the supervision and with the participation of our principal executive officer and principal financial officer, conducted an assessment of the effectiveness of our internal control over financial reporting as of December 31, 2025 based on the criteria set forth in “Internal Control – Integrated Framework (2013)” issued by the Committee of Sponsoring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Organizations of the Treadway Commission. Based on this assessment, our management concluded that, as of December 31, 2025, our internal control over financial reporting was effective.</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Attestation Report of the Registered Public Accounting Firm</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For so long as we qualify as a non-accelerated filer, our independent registered public accounting firm is not required to issue an attestation report on our internal control over financial reporting.</w:t>
      </w:r>
      <w:r>
        <w:rPr>
          <w:rFonts w:ascii="Times New Roman" w:hAnsi="Times New Roman"/>
          <w:color w:val="000000"/>
          <w:sz w:val="20"/>
        </w:rPr>
        <w:t xml:space="preserve">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three months ended December 31, 2025 that have materially affected, or are reasonably likely to materially affect, our internal control over financial reporting.</w:t>
      </w:r>
    </w:p>
    <w:p>
      <w:pPr>
        <w:pStyle w:val="TextBody"/>
        <w:bidi w:val="0"/>
        <w:spacing w:before="360" w:after="283"/>
        <w:jc w:val="both"/>
        <w:rPr>
          <w:rFonts w:ascii="Times New Roman" w:hAnsi="Times New Roman"/>
          <w:sz w:val="20"/>
        </w:rPr>
      </w:pPr>
      <w:bookmarkStart w:id="23" w:name="item_9b_or_information"/>
      <w:bookmarkEnd w:id="23"/>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During the three months ended December 31, 2025, no directors or “officers” (as defined in Rule 16a-1(f) under the Exchange Act) of the Company adopted, modified or terminated a “Rule 10b5-1 trading arrangement” and/or “non-Rule 10b5-1 trading arrangement,” as each term is defined in Item 408 of Regulation S-K.</w:t>
      </w:r>
    </w:p>
    <w:p>
      <w:pPr>
        <w:pStyle w:val="TextBody"/>
        <w:bidi w:val="0"/>
        <w:spacing w:before="360" w:after="283"/>
        <w:jc w:val="both"/>
        <w:rPr>
          <w:rFonts w:ascii="Times New Roman" w:hAnsi="Times New Roman"/>
          <w:b/>
          <w:color w:val="000000"/>
          <w:sz w:val="20"/>
        </w:rPr>
      </w:pPr>
      <w:bookmarkStart w:id="24" w:name="item_9c_discosure_foreign_jurisdictions"/>
      <w:bookmarkEnd w:id="24"/>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ii"/>
      <w:bookmarkEnd w:id="2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00" w:after="283"/>
        <w:jc w:val="both"/>
        <w:rPr>
          <w:rFonts w:ascii="Times New Roman" w:hAnsi="Times New Roman"/>
          <w:b/>
          <w:color w:val="000000"/>
          <w:sz w:val="20"/>
        </w:rPr>
      </w:pPr>
      <w:bookmarkStart w:id="26" w:name="item_10_directors_executive_ficers_corpo"/>
      <w:bookmarkEnd w:id="26"/>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herein by reference to the information that will be contained in our proxy statement related to our annual meeting of stockholders to be held in 2026 (the “2026 Annual Meeting of Stockholders”), which we intend to file with the SEC within 120 days of the year ended December 31, 2025.</w:t>
      </w:r>
    </w:p>
    <w:p>
      <w:pPr>
        <w:pStyle w:val="TextBody"/>
        <w:bidi w:val="0"/>
        <w:spacing w:before="360" w:after="283"/>
        <w:jc w:val="both"/>
        <w:rPr>
          <w:rFonts w:ascii="Times New Roman" w:hAnsi="Times New Roman"/>
          <w:b/>
          <w:color w:val="000000"/>
          <w:sz w:val="20"/>
        </w:rPr>
      </w:pPr>
      <w:bookmarkStart w:id="27" w:name="item_11_executive_compensation"/>
      <w:bookmarkEnd w:id="27"/>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pStyle w:val="TextBody"/>
        <w:bidi w:val="0"/>
        <w:spacing w:before="360" w:after="283"/>
        <w:jc w:val="both"/>
        <w:rPr>
          <w:rFonts w:ascii="Times New Roman" w:hAnsi="Times New Roman"/>
          <w:b/>
          <w:color w:val="000000"/>
          <w:sz w:val="20"/>
        </w:rPr>
      </w:pPr>
      <w:bookmarkStart w:id="28" w:name="item_12_security_ownership_certain_benef"/>
      <w:bookmarkEnd w:id="28"/>
      <w:r>
        <w:rPr>
          <w:rFonts w:ascii="Times New Roman" w:hAnsi="Times New Roman"/>
          <w:b/>
          <w:color w:val="000000"/>
          <w:sz w:val="20"/>
        </w:rPr>
        <w:t>Item 12. Security Ownership of Certain Beneficial Owners and Management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pStyle w:val="TextBody"/>
        <w:bidi w:val="0"/>
        <w:spacing w:before="360" w:after="283"/>
        <w:jc w:val="both"/>
        <w:rPr>
          <w:rFonts w:ascii="Times New Roman" w:hAnsi="Times New Roman"/>
          <w:sz w:val="20"/>
        </w:rPr>
      </w:pPr>
      <w:bookmarkStart w:id="29" w:name="item_13_certain_relationships_related_tr"/>
      <w:bookmarkEnd w:id="29"/>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pStyle w:val="TextBody"/>
        <w:bidi w:val="0"/>
        <w:spacing w:before="360" w:after="283"/>
        <w:jc w:val="both"/>
        <w:rPr>
          <w:rFonts w:ascii="Times New Roman" w:hAnsi="Times New Roman"/>
          <w:b/>
          <w:color w:val="000000"/>
          <w:sz w:val="20"/>
        </w:rPr>
      </w:pPr>
      <w:bookmarkStart w:id="30" w:name="item_14_principal_accounting_fees_servic"/>
      <w:bookmarkEnd w:id="30"/>
      <w:r>
        <w:rPr>
          <w:rFonts w:ascii="Times New Roman" w:hAnsi="Times New Roman"/>
          <w:b/>
          <w:color w:val="000000"/>
          <w:sz w:val="20"/>
        </w:rPr>
        <w:t>Item 14. Principal Accounting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herein by reference to the information that will be contained in our proxy statement related to the 2026 Annual Meeting of Stockholders, which we intend to file with the SEC within 120 days of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part_iv"/>
      <w:bookmarkEnd w:id="3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00" w:after="283"/>
        <w:jc w:val="both"/>
        <w:rPr>
          <w:rFonts w:ascii="Times New Roman" w:hAnsi="Times New Roman"/>
          <w:b/>
          <w:color w:val="000000"/>
          <w:sz w:val="20"/>
        </w:rPr>
      </w:pPr>
      <w:bookmarkStart w:id="32" w:name="item_15_exhibits_financial_statement_sch"/>
      <w:bookmarkEnd w:id="32"/>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(a)(1)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included on pages F-1 through F-36 attached hereto and are filed as part of this Annual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88"/>
        <w:gridCol w:w="417"/>
      </w:tblGrid>
      <w:tr>
        <w:trPr/>
        <w:tc>
          <w:tcPr>
            <w:tcW w:w="97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AUDITED FINANCIAL STATEMENTS</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238)</w:t>
            </w:r>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STATEMENTS OF OPERATIONS AND COMPREHENSIVE LOSS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STATEMENTS OF CASH FLOWS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_changes_in_stockholders_defici">
              <w:r>
                <w:rPr>
                  <w:rStyle w:val="InternetLink"/>
                  <w:rFonts w:ascii="Times New Roman" w:hAnsi="Times New Roman"/>
                  <w:color w:val="0000FF"/>
                  <w:sz w:val="20"/>
                  <w:u w:val="single"/>
                </w:rPr>
                <w:t>STATEMENT OF CHANGES IN REDEEMABLE CONVERTIBLE PREFERRED STOCK AND STOCKHOLDERS’ EQUITY</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(a)(2)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required or the information required is shown in the financial statements or the notes thereto.</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(a)(3)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list of exhibits filed as part of this Annual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5645"/>
        <w:gridCol w:w="711"/>
        <w:gridCol w:w="890"/>
        <w:gridCol w:w="631"/>
        <w:gridCol w:w="749"/>
        <w:gridCol w:w="87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5645" w:type="dxa"/>
            <w:tcBorders/>
            <w:shd w:fill="FFFFFF" w:val="clear"/>
            <w:vAlign w:val="center"/>
          </w:tcPr>
          <w:p>
            <w:pPr>
              <w:pStyle w:val="TableContents"/>
              <w:bidi w:val="0"/>
              <w:spacing w:before="0" w:after="283"/>
              <w:jc w:val="left"/>
              <w:rPr>
                <w:sz w:val="4"/>
                <w:szCs w:val="4"/>
              </w:rPr>
            </w:pPr>
            <w:r>
              <w:rPr>
                <w:sz w:val="4"/>
                <w:szCs w:val="4"/>
              </w:rPr>
            </w:r>
          </w:p>
        </w:tc>
        <w:tc>
          <w:tcPr>
            <w:tcW w:w="711" w:type="dxa"/>
            <w:tcBorders/>
            <w:shd w:fill="FFFFFF" w:val="clear"/>
            <w:vAlign w:val="center"/>
          </w:tcPr>
          <w:p>
            <w:pPr>
              <w:pStyle w:val="TableContents"/>
              <w:bidi w:val="0"/>
              <w:spacing w:before="0" w:after="283"/>
              <w:jc w:val="left"/>
              <w:rPr>
                <w:sz w:val="4"/>
                <w:szCs w:val="4"/>
              </w:rPr>
            </w:pPr>
            <w:r>
              <w:rPr>
                <w:sz w:val="4"/>
                <w:szCs w:val="4"/>
              </w:rPr>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1.2</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Sales Agreement, dated April 8, 2021 by and between LENSAR, Inc. and SVB Leerink LLC</w:t>
              </w:r>
            </w:hyperlink>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S-3</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333-255136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04/08/2021</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EE"/>
                  <w:sz w:val="20"/>
                  <w:u w:val="single"/>
                </w:rPr>
                <w:t>Separation and Distribution Agreement between PDL BioPharma, Inc. and LENSAR, Inc</w:t>
              </w:r>
            </w:hyperlink>
            <w:r>
              <w:rPr>
                <w:rFonts w:ascii="Times New Roman" w:hAnsi="Times New Roman"/>
                <w:color w:val="000000"/>
                <w:sz w:val="20"/>
              </w:rPr>
              <w:t>.</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2.2+</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80"/>
                  <w:sz w:val="20"/>
                  <w:u w:val="single"/>
                </w:rPr>
                <w:t>Agreement and Plan of Merger, dated as of March 23, 2025, by and among LENSAR, Inc., Alcon Research, LLC, and VMI Option Merger Sub, Inc</w:t>
              </w:r>
            </w:hyperlink>
            <w:r>
              <w:rPr>
                <w:rFonts w:ascii="Times New Roman" w:hAnsi="Times New Roman"/>
                <w:color w:val="0000FF"/>
                <w:sz w:val="20"/>
                <w:u w:val="single"/>
              </w:rPr>
              <w:t>.</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03/24/2025</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EE"/>
                  <w:sz w:val="20"/>
                  <w:u w:val="single"/>
                </w:rPr>
                <w:t>Amended and Restated Certificate of Incorporation of LENSAR, Inc.</w:t>
              </w:r>
            </w:hyperlink>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LENSAR, Inc.</w:t>
              </w:r>
            </w:hyperlink>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10-Q</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Designations, Preferences and Rights of Series A Convertible Preferred Stock filed May 18, 2023</w:t>
              </w:r>
            </w:hyperlink>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5492"/>
        <w:gridCol w:w="762"/>
        <w:gridCol w:w="932"/>
        <w:gridCol w:w="631"/>
        <w:gridCol w:w="809"/>
        <w:gridCol w:w="87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5492" w:type="dxa"/>
            <w:tcBorders/>
            <w:shd w:fill="FFFFFF" w:val="clear"/>
            <w:vAlign w:val="center"/>
          </w:tcPr>
          <w:p>
            <w:pPr>
              <w:pStyle w:val="TableContents"/>
              <w:bidi w:val="0"/>
              <w:spacing w:before="0" w:after="283"/>
              <w:jc w:val="left"/>
              <w:rPr>
                <w:sz w:val="4"/>
                <w:szCs w:val="4"/>
              </w:rPr>
            </w:pPr>
            <w:r>
              <w:rPr>
                <w:sz w:val="4"/>
                <w:szCs w:val="4"/>
              </w:rPr>
            </w:r>
          </w:p>
        </w:tc>
        <w:tc>
          <w:tcPr>
            <w:tcW w:w="762"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809"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5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EE"/>
                  <w:sz w:val="20"/>
                  <w:u w:val="single"/>
                </w:rPr>
                <w:t>Form of Certificate of Common Stock</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10/A</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Registered Securities</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Registration Rights Agreement, dated May 12, 2023, between LENSAR, Inc. and NR-GRI Partners, LP</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Class A Common Stock Purchase Warrant, dated May 18, 2023</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Class B Common Stock Purchase Warrant, dated May 18, 2023</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EE"/>
                  <w:sz w:val="20"/>
                  <w:u w:val="single"/>
                </w:rPr>
                <w:t>Transition Services Agreement between PDL BioPharma, Inc. and LENSAR, Inc</w:t>
              </w:r>
            </w:hyperlink>
            <w:r>
              <w:rPr>
                <w:rFonts w:ascii="Times New Roman" w:hAnsi="Times New Roman"/>
                <w:color w:val="000000"/>
                <w:sz w:val="20"/>
              </w:rPr>
              <w:t>.</w:t>
            </w:r>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EE"/>
                  <w:sz w:val="20"/>
                  <w:u w:val="single"/>
                </w:rPr>
                <w:t>Tax Matters Agreement between PDL BioPharma, Inc. and LENSAR, Inc.</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S-8</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333-249323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10/05/2020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Restricted Stock Agreement pursuant to 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S-8</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333-249323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10/05/2020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Stock Option Agreement pursuant to 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03/03/2022</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Restricted Stock Unit Agreement pursuant to 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03/03/2022</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Performance Restricted Stock Unit Agreement pursuant to 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10-Q</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Performance Restricted Stock Unit Agreement – Director Deferral pursuant to 2020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10-Q</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EE"/>
                  <w:sz w:val="20"/>
                  <w:u w:val="single"/>
                </w:rPr>
                <w:t>2020 Employee Stock Purchase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10/A</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2024 Employment Inducement Incentive Award Plan</w:t>
              </w:r>
            </w:hyperlink>
            <w:hyperlink r:id="rId24">
              <w:r>
                <w:rPr>
                  <w:rStyle w:val="InternetLink"/>
                  <w:rFonts w:ascii="Times New Roman" w:hAnsi="Times New Roman"/>
                  <w:color w:val="0000FF"/>
                  <w:sz w:val="20"/>
                </w:rPr>
                <w:t xml:space="preserve"> </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02/26/2024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Stock Option Agreement pursuant to 2024 Employment Inducement Incentive Award Plan</w:t>
              </w:r>
            </w:hyperlink>
            <w:hyperlink r:id="rId26">
              <w:r>
                <w:rPr>
                  <w:rStyle w:val="InternetLink"/>
                  <w:rFonts w:ascii="Times New Roman" w:hAnsi="Times New Roman"/>
                  <w:color w:val="0000FF"/>
                  <w:sz w:val="20"/>
                </w:rPr>
                <w:t xml:space="preserve"> </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02/26/2024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Unit Agreement pursuant to 2024 Employment Inducement Incentive Award Plan</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02/26/2024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Non-Employee Director Compensation Program, as amended</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10-Q</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49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EE"/>
                  <w:sz w:val="20"/>
                  <w:u w:val="single"/>
                </w:rPr>
                <w:t>Employment Agreement, dated as of July 21, 2020, by and between LENSAR, Inc. and Nicholas Curtis</w:t>
              </w:r>
            </w:hyperlink>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8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08/26/2020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6019"/>
        <w:gridCol w:w="623"/>
        <w:gridCol w:w="711"/>
        <w:gridCol w:w="631"/>
        <w:gridCol w:w="642"/>
        <w:gridCol w:w="87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6019" w:type="dxa"/>
            <w:tcBorders/>
            <w:shd w:fill="FFFFFF" w:val="clear"/>
            <w:vAlign w:val="center"/>
          </w:tcPr>
          <w:p>
            <w:pPr>
              <w:pStyle w:val="TableContents"/>
              <w:bidi w:val="0"/>
              <w:spacing w:before="0" w:after="283"/>
              <w:jc w:val="left"/>
              <w:rPr>
                <w:sz w:val="4"/>
                <w:szCs w:val="4"/>
              </w:rPr>
            </w:pPr>
            <w:r>
              <w:rPr>
                <w:sz w:val="4"/>
                <w:szCs w:val="4"/>
              </w:rPr>
            </w:r>
          </w:p>
        </w:tc>
        <w:tc>
          <w:tcPr>
            <w:tcW w:w="623" w:type="dxa"/>
            <w:tcBorders/>
            <w:shd w:fill="FFFFFF" w:val="clear"/>
            <w:vAlign w:val="center"/>
          </w:tcPr>
          <w:p>
            <w:pPr>
              <w:pStyle w:val="TableContents"/>
              <w:bidi w:val="0"/>
              <w:spacing w:before="0" w:after="283"/>
              <w:jc w:val="left"/>
              <w:rPr>
                <w:sz w:val="4"/>
                <w:szCs w:val="4"/>
              </w:rPr>
            </w:pPr>
            <w:r>
              <w:rPr>
                <w:sz w:val="4"/>
                <w:szCs w:val="4"/>
              </w:rPr>
            </w:r>
          </w:p>
        </w:tc>
        <w:tc>
          <w:tcPr>
            <w:tcW w:w="7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60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EE"/>
                  <w:sz w:val="20"/>
                  <w:u w:val="single"/>
                </w:rPr>
                <w:t>Employment Agreement, dated as of July 21, 2020, by and between LENSAR, Inc. and Alan Connaughton</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08/26/2020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EE"/>
                  <w:sz w:val="20"/>
                  <w:u w:val="single"/>
                </w:rPr>
                <w:t>Employment Agreement, dated as of July 21, 2020, by and between LENSAR, Inc. and Thomas R. Staab II</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08/26/2020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EE"/>
                  <w:sz w:val="20"/>
                  <w:u w:val="single"/>
                </w:rPr>
                <w:t>Form of Indemnification Agreement between LENSAR, Inc. and its directors and officers</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08/26/2020</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Industrial Real Estate Lease, dated as of July 30, 2010, by and between LENSAR, Inc. and Challenger-Discovery, LLC, as amended as of March 15, 2016, December 16, 2016, August 20, 2020, September 9, 2020, December 17, 2024, and September 29, 2025</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10-Q</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11/06/2025</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Securities Purchase Agreement, dated May 12, 2023, between LENSAR, Inc. and NR-GRI Partners, LP</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05/15/2023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Voting Agreement between NR-GRI Partners, LLP, and each of the executive officers and directors of LENSAR, Inc.</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05/18/2023</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Termination and Mutual Release Agreement, dated March 16, 2026, by and among Alcon Research LLC, VMI Option Merger Sub, Inc. and LENSAR, Inc.</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03/17/2026</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Insider Trading Compliance Policy</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19.1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02/27/2025</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Subsidiaries of the Registrant</w:t>
              </w:r>
            </w:hyperlink>
          </w:p>
        </w:tc>
        <w:tc>
          <w:tcPr>
            <w:tcW w:w="6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03/12/2021</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w:anchor="lnsr-ex23_1.htm">
              <w:r>
                <w:rPr>
                  <w:rStyle w:val="InternetLink"/>
                  <w:rFonts w:ascii="Times New Roman" w:hAnsi="Times New Roman"/>
                  <w:color w:val="0000FF"/>
                  <w:sz w:val="20"/>
                  <w:u w:val="single"/>
                </w:rPr>
                <w:t>Consent of Independent Registered Public Accounting Firm</w:t>
              </w:r>
            </w:hyperlink>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w:anchor="lnsr-ex31_1.htm">
              <w:r>
                <w:rPr>
                  <w:rStyle w:val="InternetLink"/>
                  <w:rFonts w:ascii="Times New Roman" w:hAnsi="Times New Roman"/>
                  <w:color w:val="0000FF"/>
                  <w:sz w:val="20"/>
                  <w:u w:val="single"/>
                </w:rPr>
                <w:t>Certification of Principal Executive Officer and Principal Financial Officer pursuant to Rule 13a-14(a) or Rule 15d-14(a) of the Securities Exchange Act of 1934, as amended</w:t>
              </w:r>
            </w:hyperlink>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w:anchor="lnsr-ex31_2.htm">
              <w:r>
                <w:rPr>
                  <w:rStyle w:val="InternetLink"/>
                  <w:rFonts w:ascii="Times New Roman" w:hAnsi="Times New Roman"/>
                  <w:color w:val="0000FF"/>
                  <w:sz w:val="20"/>
                  <w:u w:val="single"/>
                </w:rPr>
                <w:t>Certification of Principal Financial Officer pursuant to Rule 13a-14(a) or Rule 15d-14(a) of the Securities Exchange Act of 1934, as amended</w:t>
              </w:r>
            </w:hyperlink>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w:anchor="lns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9"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019" w:type="dxa"/>
            <w:tcBorders/>
            <w:tcMar>
              <w:top w:w="0" w:type="dxa"/>
              <w:left w:w="0" w:type="dxa"/>
              <w:bottom w:w="0" w:type="dxa"/>
              <w:right w:w="0" w:type="dxa"/>
            </w:tcMar>
            <w:vAlign w:val="center"/>
          </w:tcPr>
          <w:p>
            <w:pPr>
              <w:pStyle w:val="TableContents"/>
              <w:bidi w:val="0"/>
              <w:spacing w:before="0" w:after="283"/>
              <w:jc w:val="left"/>
              <w:rPr/>
            </w:pPr>
            <w:hyperlink w:anchor="lnsr-ex32_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6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
        <w:gridCol w:w="5783"/>
        <w:gridCol w:w="683"/>
        <w:gridCol w:w="762"/>
        <w:gridCol w:w="631"/>
        <w:gridCol w:w="714"/>
        <w:gridCol w:w="874"/>
      </w:tblGrid>
      <w:tr>
        <w:trPr/>
        <w:tc>
          <w:tcPr>
            <w:tcW w:w="758" w:type="dxa"/>
            <w:tcBorders/>
            <w:shd w:fill="FFFFFF" w:val="clear"/>
            <w:vAlign w:val="center"/>
          </w:tcPr>
          <w:p>
            <w:pPr>
              <w:pStyle w:val="TableContents"/>
              <w:bidi w:val="0"/>
              <w:spacing w:before="0" w:after="283"/>
              <w:jc w:val="left"/>
              <w:rPr>
                <w:sz w:val="4"/>
                <w:szCs w:val="4"/>
              </w:rPr>
            </w:pPr>
            <w:r>
              <w:rPr>
                <w:sz w:val="4"/>
                <w:szCs w:val="4"/>
              </w:rPr>
            </w:r>
          </w:p>
        </w:tc>
        <w:tc>
          <w:tcPr>
            <w:tcW w:w="5783"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c>
          <w:tcPr>
            <w:tcW w:w="762"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r>
      <w:tr>
        <w:trPr/>
        <w:tc>
          <w:tcPr>
            <w:tcW w:w="758"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5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5783"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Policy Relating to Recovery of Erroneously Awarded Compensation</w:t>
              </w:r>
            </w:hyperlink>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03/04/2024</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(as formatted as Inline XBRL and contained in Exhibit 101)</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Certain schedules and attachments to certain of these exhibits have been omitted pursuant to Regulation S-K, Item 601(a)(5).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360" w:after="283"/>
        <w:jc w:val="both"/>
        <w:rPr>
          <w:rFonts w:ascii="Times New Roman" w:hAnsi="Times New Roman"/>
          <w:b/>
          <w:color w:val="000000"/>
          <w:sz w:val="20"/>
        </w:rPr>
      </w:pPr>
      <w:bookmarkStart w:id="33" w:name="item_16_form_10k_summary"/>
      <w:bookmarkEnd w:id="33"/>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left"/>
        <w:rPr/>
      </w:pPr>
      <w:r>
        <w:rPr/>
        <w:t> </w:t>
      </w:r>
    </w:p>
    <w:tbl>
      <w:tblPr>
        <w:tblW w:w="4918" w:type="dxa"/>
        <w:jc w:val="left"/>
        <w:tblInd w:w="0" w:type="dxa"/>
        <w:tblLayout w:type="fixed"/>
        <w:tblCellMar>
          <w:top w:w="28" w:type="dxa"/>
          <w:left w:w="28" w:type="dxa"/>
          <w:bottom w:w="28" w:type="dxa"/>
          <w:right w:w="28" w:type="dxa"/>
        </w:tblCellMar>
      </w:tblPr>
      <w:tblGrid>
        <w:gridCol w:w="1891"/>
        <w:gridCol w:w="146"/>
        <w:gridCol w:w="406"/>
        <w:gridCol w:w="2252"/>
        <w:gridCol w:w="223"/>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T. Curtis</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T. Curtis</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2596"/>
        <w:gridCol w:w="146"/>
        <w:gridCol w:w="3136"/>
        <w:gridCol w:w="146"/>
        <w:gridCol w:w="144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Nicholas T. Curtis </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Thomas R. Staab, II </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Kendra W. Wong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Accounting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Kendra W.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J. Link, Ph.D.</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Chairperson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J. Link,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Ellis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Ellis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B. Hammer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B. Hammer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L. Lindstrom, M.D.</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L. Lindstrom,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 O’Farrell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Elizabeth G. O’Farrell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Aimee S. Weisner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Aimee S. Weisner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M. Winer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Gary M. Winer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As of December 31, 2025 and 2024 and for the Years Ended December 31, 2025 and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88"/>
        <w:gridCol w:w="417"/>
      </w:tblGrid>
      <w:tr>
        <w:trPr/>
        <w:tc>
          <w:tcPr>
            <w:tcW w:w="97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AUDITED FINANCIAL STATEMENTS</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238)</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STATEMENTS OF OPERATIONS AND COMPREHENSIVE LOSS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STATEMENTS OF CASH FLOWS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statement_changes_in_stockholders_defici">
              <w:r>
                <w:rPr>
                  <w:rStyle w:val="InternetLink"/>
                  <w:rFonts w:ascii="Times New Roman" w:hAnsi="Times New Roman"/>
                  <w:color w:val="0000FF"/>
                  <w:sz w:val="20"/>
                  <w:u w:val="single"/>
                </w:rPr>
                <w:t>STATEMENT OF CHANGES IN REDEEMABLE CONVERTIBLE PREFERRED STOCK AND STOCKHOLDERS’ EQUITY</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88"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b/>
          <w:color w:val="000000"/>
          <w:sz w:val="20"/>
        </w:rPr>
      </w:pPr>
      <w:bookmarkStart w:id="35" w:name="report_independent_registered_public_acc"/>
      <w:bookmarkEnd w:id="35"/>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w:t>
      </w:r>
      <w:r>
        <w:rPr>
          <w:rFonts w:ascii="Times New Roman" w:hAnsi="Times New Roman"/>
          <w:color w:val="FF0000"/>
          <w:sz w:val="20"/>
        </w:rPr>
        <w:t xml:space="preserve"> </w:t>
      </w:r>
      <w:r>
        <w:rPr>
          <w:rFonts w:ascii="Times New Roman" w:hAnsi="Times New Roman"/>
          <w:color w:val="000000"/>
          <w:sz w:val="20"/>
        </w:rPr>
        <w:t>the</w:t>
      </w:r>
      <w:r>
        <w:rPr>
          <w:rFonts w:ascii="Times New Roman" w:hAnsi="Times New Roman"/>
          <w:color w:val="FF0000"/>
          <w:sz w:val="20"/>
        </w:rPr>
        <w:t xml:space="preserve"> </w:t>
      </w:r>
      <w:r>
        <w:rPr>
          <w:rFonts w:ascii="Times New Roman" w:hAnsi="Times New Roman"/>
          <w:color w:val="000000"/>
          <w:sz w:val="20"/>
        </w:rPr>
        <w:t>Board of Directors and Stockholders of LENSAR, Inc.</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balance sheets of LENSAR, Inc. (the “Company”) as of December 31, 2025 and 2024, and the related statements of operations and comprehensive loss, of changes in redeemable convertible preferred stock and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Emphasis of Matter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discussed in Note 1 to the financial statements, the Company has incurred recurring losses and operating cash outflows since its inception and as of December 31, 2025. Management’s evaluation of the events and conditions and management’s plans to mitigate these matters are also described in Note 1.</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Raleigh, North Carolina</w:t>
      </w:r>
    </w:p>
    <w:p>
      <w:pPr>
        <w:pStyle w:val="TextBody"/>
        <w:bidi w:val="0"/>
        <w:jc w:val="left"/>
        <w:rPr>
          <w:rFonts w:ascii="Times New Roman" w:hAnsi="Times New Roman"/>
          <w:color w:val="000000"/>
          <w:sz w:val="20"/>
        </w:rPr>
      </w:pPr>
      <w:r>
        <w:rPr>
          <w:rFonts w:ascii="Times New Roman" w:hAnsi="Times New Roman"/>
          <w:color w:val="000000"/>
          <w:sz w:val="20"/>
        </w:rPr>
        <w:t>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0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36" w:name="statements_operations"/>
      <w:bookmarkEnd w:id="36"/>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6001"/>
        <w:gridCol w:w="146"/>
        <w:gridCol w:w="211"/>
        <w:gridCol w:w="736"/>
        <w:gridCol w:w="166"/>
        <w:gridCol w:w="146"/>
        <w:gridCol w:w="211"/>
        <w:gridCol w:w="736"/>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(exclusive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number of shares used in calculation of net loss per</w:t>
              <w:br/>
              <w:t>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37" w:name="balance_sheets"/>
      <w:bookmarkEnd w:id="37"/>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2"/>
        <w:gridCol w:w="146"/>
        <w:gridCol w:w="211"/>
        <w:gridCol w:w="841"/>
        <w:gridCol w:w="166"/>
        <w:gridCol w:w="146"/>
        <w:gridCol w:w="211"/>
        <w:gridCol w:w="841"/>
        <w:gridCol w:w="411"/>
      </w:tblGrid>
      <w:tr>
        <w:trPr/>
        <w:tc>
          <w:tcPr>
            <w:tcW w:w="7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 of $62 and $105,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Notes receivable, net of allowance of $6 and $8,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$15 and $23,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December 31, 2025 and 2024; 20 shares issued and outstanding at December 31, 2025 and 2024; aggregate liquidation preference of $20,000 at December 31,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par value $0.01 per share, 9,980 shares authorized at December 31, 2025 and 2024; no shares issued and outstanding at December 31,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$0.01 per share, 150,000 shares authorized at December 31, 2025 and 2024; 11,993 and 11,654 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8" w:name="statements_cash_flows"/>
      <w:bookmarkEnd w:id="38"/>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6536"/>
        <w:gridCol w:w="146"/>
        <w:gridCol w:w="211"/>
        <w:gridCol w:w="736"/>
        <w:gridCol w:w="166"/>
        <w:gridCol w:w="146"/>
        <w:gridCol w:w="211"/>
        <w:gridCol w:w="736"/>
        <w:gridCol w:w="411"/>
      </w:tblGrid>
      <w:tr>
        <w:trPr/>
        <w:tc>
          <w:tcPr>
            <w:tcW w:w="6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 of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acquisition-related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settlement of stock-based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accrued offering costs allocable to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STATEMENTS OF CASH FLOWS, continued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5866"/>
        <w:gridCol w:w="146"/>
        <w:gridCol w:w="226"/>
        <w:gridCol w:w="614"/>
        <w:gridCol w:w="157"/>
        <w:gridCol w:w="157"/>
        <w:gridCol w:w="226"/>
        <w:gridCol w:w="614"/>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Transfer from Inventories to Equipment under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9" w:name="statement_changes_in_stockholders_defici"/>
      <w:bookmarkEnd w:id="39"/>
      <w:r>
        <w:rPr>
          <w:rFonts w:ascii="Times New Roman" w:hAnsi="Times New Roman"/>
          <w:b/>
          <w:color w:val="000000"/>
          <w:sz w:val="20"/>
        </w:rPr>
        <w:t>STATEMENT OF CHANGES IN REDEEMABLE CONVERTIBLE PREFERRED STOCK AND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1004" w:type="dxa"/>
        <w:jc w:val="left"/>
        <w:tblInd w:w="0" w:type="dxa"/>
        <w:tblLayout w:type="fixed"/>
        <w:tblCellMar>
          <w:top w:w="28" w:type="dxa"/>
          <w:left w:w="28" w:type="dxa"/>
          <w:bottom w:w="28" w:type="dxa"/>
          <w:right w:w="28" w:type="dxa"/>
        </w:tblCellMar>
      </w:tblPr>
      <w:tblGrid>
        <w:gridCol w:w="1261"/>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2020 Plan</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offering costs accrual release</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 on investments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2020 Plan</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 on investments</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0" w:name="notes_to_financial_statements"/>
      <w:bookmarkEnd w:id="40"/>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color w:val="000000"/>
          <w:sz w:val="20"/>
        </w:rPr>
        <w:t>Note 1. Overview and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Overview and Organization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Company executed a controlled and targeted initial launch of the ALLY System beginning in August 2022 in the United States. The ALLY System is available to U.S. and European Union cataract surgeons and has also received regulatory clearance in India, Taiwan, South Korea, and certain other countries.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March 23, 2025, the Company entered into an Agreement and Plan of Merger (the “Merger Agreement”), with Alcon Research, LLC (“Alcon”) and VMI Option Merger Sub, Inc. (“Merger Sub”), which provided that, subject to the terms and conditions set forth in the Merger Agreement, Merger Sub would merge with and into the Company (the “Merger”), with the Company continuing as the surviving corporation of the Merger and as a wholly-owned subsidiary of Alcon. The Merger Agreement was terminated by the parties on March 16, 2026; for further information see Note 18,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received a $10,000 cash deposit towards the aggregate cash consideration (the “Merger Deposit”), which is classified as a current liability on the balance sheet at December 31, 2025. As of such date, the Merger Deposit was considered the property of Alcon in accordance with the terms of the Merger Agreement. For further information on the impact of the termination of the Merger Agreement on the Merger Deposit, see Note 18, </w:t>
      </w:r>
      <w:r>
        <w:rPr>
          <w:rFonts w:ascii="Times New Roman" w:hAnsi="Times New Roman"/>
          <w:i/>
          <w:color w:val="000000"/>
          <w:sz w:val="20"/>
        </w:rPr>
        <w:t>Subsequent Events</w:t>
      </w:r>
      <w:r>
        <w:rPr>
          <w:rFonts w:ascii="Times New Roman" w:hAnsi="Times New Roman"/>
          <w:color w:val="000000"/>
          <w:sz w:val="20"/>
        </w:rPr>
        <w:t xml:space="preserve">. Refer to “Acquisition-Related Costs” in Note 2, </w:t>
      </w:r>
      <w:r>
        <w:rPr>
          <w:rFonts w:ascii="Times New Roman" w:hAnsi="Times New Roman"/>
          <w:i/>
          <w:color w:val="000000"/>
          <w:sz w:val="20"/>
        </w:rPr>
        <w:t>Summary of Significant Accounting Policies</w:t>
      </w:r>
      <w:r>
        <w:rPr>
          <w:rFonts w:ascii="Times New Roman" w:hAnsi="Times New Roman"/>
          <w:color w:val="000000"/>
          <w:sz w:val="20"/>
        </w:rPr>
        <w:t>, for information regarding acquisition-related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and operating cash outflows since its inception and as of December 31, 2025 had an accumulated deficit of $177,575. The Company expects to continue to incur losses and cash outflows from operating activities for the near-term future. Pricing increases in component parts for the ALLY System resulting from inflationary pressures, related macroeconomic conditions, and tariffs may necessitate an increase in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the Company’s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The U.S. government has recently implemented significant changes in U.S. trade policy and taken certain actions that have impacted the Company’s business, including imposing tariffs on certain goods imported into the United States, and we have seen a resulting negative impact on our gross profit margin, as we have not passed on these additional costs to our customers.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Our results could be adversely impacted if our distributors do not resume their sales activity to previous levels. The Company’s liquidity needs will be largely determined by the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have been prepared in accordance with generally accepted accounting principles in the United States of America (“U.S. GAAP”) and pursuant to the regulations of the U.S. Securities and Exchange Commission (“SEC”).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both"/>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financial statements and accompanying notes to the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issuance of these financial statements, the Company is not aware of any specific event or circumstance that would require the Company to update estimates, judgments or revise the carrying value of any assets or liabilities.</w:t>
      </w:r>
    </w:p>
    <w:p>
      <w:pPr>
        <w:pStyle w:val="TextBody"/>
        <w:bidi w:val="0"/>
        <w:spacing w:before="360" w:after="283"/>
        <w:jc w:val="both"/>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with initial maturities of three months or less at the date of purchase to be cash equivalents. Cash equivalents consist primarily of amounts invested in money market funds and U.S. Treasury bills that are stated at fair value, based on quoted market prices.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Investments consist of money market funds, U.S. treasury bills and government securities, and certificates of deposit.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unrealized gains or losses of investments are recorded in other comprehensive income on the statements of operations. 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net in the statements of operations, and an allowance for credit loss is recorded on the balance sheets. In circumstances when the decline in fair value is non-credit related, the difference is reported in accumulated other comprehensive loss, net of tax as a separate component of stockholders’ equity.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 of Credit Risk, Credit Losses,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Furthermore, the Company limits the amount of credit exposure in any one financial instrument. The Company has not experienced any losses on its deposits of cash, cash equivalents and investments.</w:t>
      </w:r>
    </w:p>
    <w:p>
      <w:pPr>
        <w:pStyle w:val="TextBody"/>
        <w:bidi w:val="0"/>
        <w:spacing w:before="360" w:after="283"/>
        <w:jc w:val="both"/>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makes estimates of the collectability of accounts receivable. In doing so, the Company analyzes historical bad debt trends, customer credit worthiness, current economic trends, changes in customer payment patterns, and possible impact of current conditions and reasonable forecasts not already reflected in historical loss information when evaluating the adequacy of the allowance for credit losses. Amounts are charged off against the allowance for credit losses when the Company determines that recovery is unlikely, and the Company ceases collection efforts.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i/>
          <w:color w:val="000000"/>
          <w:sz w:val="20"/>
        </w:rPr>
        <w:t>Derivatives and Hedging</w:t>
      </w:r>
      <w:r>
        <w:rPr>
          <w:rFonts w:ascii="Times New Roman" w:hAnsi="Times New Roman"/>
          <w:color w:val="000000"/>
          <w:sz w:val="20"/>
        </w:rPr>
        <w:t xml:space="preserve"> (“ASC 815”). For derivative financial instruments that are accounted for as liabilities, the derivative instrument is initially recorded at its fair value and is then re-valued at each reporting date, with changes in the fair value reported in the statements of operations. Warrants issued by the Company that do not meet the criteria for equity treatment are recorded as liabilities. We do not use financial instruments or derivatives for any trading purposes.</w:t>
      </w:r>
    </w:p>
    <w:p>
      <w:pPr>
        <w:pStyle w:val="TextBody"/>
        <w:bidi w:val="0"/>
        <w:spacing w:before="36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Company’s financial instruments are estimates of the amounts that would be received if the Company were to sell an asset or the Company paid to transfer a liability in an orderly transaction between market </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participants at the measurement date or exit price. The assets and liabilities are categorized and disclosed in one of the following three categories: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Level 1—based on quoted market prices in active markets for identical assets and liabilities.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3—based on unobservable inputs using management’s best estimate and assumptions when inputs are unavailable.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Fair value measurements are classified in their entirety based on the lowest level of input that is significant to their fair value measurement. </w:t>
      </w:r>
    </w:p>
    <w:p>
      <w:pPr>
        <w:pStyle w:val="TextBody"/>
        <w:bidi w:val="0"/>
        <w:spacing w:before="360" w:after="283"/>
        <w:jc w:val="both"/>
        <w:rPr>
          <w:rFonts w:ascii="Times New Roman" w:hAnsi="Times New Roman"/>
          <w:sz w:val="20"/>
        </w:rPr>
      </w:pPr>
      <w:r>
        <w:rPr>
          <w:rFonts w:ascii="Times New Roman" w:hAnsi="Times New Roman"/>
          <w:b/>
          <w:color w:val="000000"/>
          <w:sz w:val="20"/>
        </w:rPr>
        <w:t>Inventory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which consists of raw materials, work-in-process and finished goods, is stated at the lower of cost or net realizable value. The Company determines cost using standard costs which approximates actual costs determined on the first-in, first-out basis. Inventory levels are analyzed periodically and written down to their net realizable value if they have become obsolete, have a cost basis in excess of expected net realizable value or are in excess of expected requirements. The Company analyzes current and future product demand relative to the remaining product shelf life to identify potential excess inventory. The Company builds demand forecasts by considering factors such as, but not limited to, overall market potential, market share, market acceptance and patient usage. The Company classifies inventory as current on the balance sheets when the Company expects inventory to be consumed for commercial use within the next twelve months. </w:t>
      </w:r>
    </w:p>
    <w:p>
      <w:pPr>
        <w:pStyle w:val="TextBody"/>
        <w:bidi w:val="0"/>
        <w:spacing w:before="360" w:after="283"/>
        <w:jc w:val="both"/>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Intangible assets with finite useful lives consist primarily of acquired product rights, acquired technology, and customer relationships. Acquired product rights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During the year ended December 31, 2024, the Company recorded an impairment for intangible assets, see Note 8, </w:t>
      </w:r>
      <w:r>
        <w:rPr>
          <w:rFonts w:ascii="Times New Roman" w:hAnsi="Times New Roman"/>
          <w:i/>
          <w:color w:val="000000"/>
          <w:sz w:val="20"/>
        </w:rPr>
        <w:t>Intangible Assets</w:t>
      </w:r>
      <w:r>
        <w:rPr>
          <w:rFonts w:ascii="Times New Roman" w:hAnsi="Times New Roman"/>
          <w:color w:val="000000"/>
          <w:sz w:val="20"/>
        </w:rPr>
        <w:t>, for more details. The Company did not record any impairment of its intangible assets for the year ended December 31, 2025.</w:t>
      </w:r>
    </w:p>
    <w:p>
      <w:pPr>
        <w:pStyle w:val="TextBody"/>
        <w:bidi w:val="0"/>
        <w:spacing w:before="360" w:after="283"/>
        <w:jc w:val="both"/>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is stated at cost less accumulated depreciation. Repairs and maintenance costs are expensed as incurred. Depreciation is computed using the straight-line method over the following estimated useful lives: </w:t>
      </w:r>
    </w:p>
    <w:p>
      <w:pPr>
        <w:pStyle w:val="TextBody"/>
        <w:bidi w:val="0"/>
        <w:jc w:val="both"/>
        <w:rPr/>
      </w:pPr>
      <w:r>
        <w:rPr/>
        <w:t> </w:t>
      </w:r>
    </w:p>
    <w:tbl>
      <w:tblPr>
        <w:tblW w:w="6373" w:type="dxa"/>
        <w:jc w:val="left"/>
        <w:tblInd w:w="0" w:type="dxa"/>
        <w:tblLayout w:type="fixed"/>
        <w:tblCellMar>
          <w:top w:w="28" w:type="dxa"/>
          <w:left w:w="28" w:type="dxa"/>
          <w:bottom w:w="28" w:type="dxa"/>
          <w:right w:w="28" w:type="dxa"/>
        </w:tblCellMar>
      </w:tblPr>
      <w:tblGrid>
        <w:gridCol w:w="3226"/>
        <w:gridCol w:w="146"/>
        <w:gridCol w:w="300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Lesser of useful life or term of lease</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Research and development equipment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3-8 years</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Manufacturing equipment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3-5 years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years</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Transportation equipment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3-5 years</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Furniture and fixtures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 years</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years</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Equipment Under Lease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Equipment under lease is related to systems which are leased to customers instead of sold. Equipment under operating lease is stated at cost less accumulated depreciation and is classified as Equipment under lease, net on the balance sheets. Depreciation is computed using the straight-line method over an estimated useful life of the greater of the lease term or five years to ten years. </w:t>
      </w:r>
    </w:p>
    <w:p>
      <w:pPr>
        <w:pStyle w:val="TextBody"/>
        <w:bidi w:val="0"/>
        <w:spacing w:before="360" w:after="283"/>
        <w:jc w:val="both"/>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recognizes revenue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w:t>
      </w:r>
    </w:p>
    <w:p>
      <w:pPr>
        <w:pStyle w:val="TextBody"/>
        <w:bidi w:val="0"/>
        <w:spacing w:before="240" w:after="283"/>
        <w:jc w:val="both"/>
        <w:rPr>
          <w:rFonts w:ascii="Times New Roman" w:hAnsi="Times New Roman"/>
          <w:sz w:val="20"/>
        </w:rPr>
      </w:pPr>
      <w:r>
        <w:rPr>
          <w:rFonts w:ascii="Times New Roman" w:hAnsi="Times New Roman"/>
          <w:i/>
          <w:color w:val="000000"/>
          <w:sz w:val="20"/>
        </w:rPr>
        <w:t>Policy Elections and Practical Expedients Taken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applies the following policy elections: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Taxes assessed by a governmental authority that are both imposed on and concurrent with a specific revenue-producing transaction, that are collected by the Company from a customer, are excluded from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elected to apply the practical expedient that allows an entity to not adjust the promised amount of consideration in customer contracts for the effect of a significant financing component when the period between the transfer of product and services and payment of the related consideration is less than one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Shipping and handling costs associated with outbound freight after control over a product has transferred to a customer are accounted for as a fulfillment cost and are included in cost of product revenue. Shipping and handling costs for the years ended December 31, 2025 and 2024 were $313 and $337, respectively. </w:t>
      </w:r>
    </w:p>
    <w:p>
      <w:pPr>
        <w:pStyle w:val="TextBody"/>
        <w:bidi w:val="0"/>
        <w:spacing w:before="240" w:after="283"/>
        <w:jc w:val="both"/>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is recognized from the sale of products and services when the Company transfers control of such promised products and services. The amount of revenue recognized reflects the consideration to which the Company expects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principally derives its revenue from the sale and lease of systems and the sale of other related products and services, including PIDs, procedure licenses, and extended warranty service agreements. Most customers are on pre-paid or 30-day payment terms, depending on the product purchased. Typically, returns are not allowed.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Judgment is required to determine the level of interdependency between the system and the sale of other related products and services. For bundled packages, which include the sale or lease of a system and provision of other products and services, the Company accounts for individual products and services separately if they are distinct—i.e., if a product or service is separately identifiable from other items in the bundled package and if the customer can benefit from it on its own or with other resources that are readily available to the customer. The system, training and installation services are one performance obligation. The other products and services, including PIDs, procedure licenses, and extended warranty services, which are either sold together with the system or on a standalone basis, are all accounted for as separate performance obligations. The transaction price of bundled packages is allocated to each performance obligation on a relative standalone selling price basis. Standalone selling prices are based on observable prices at which the Company separately sells the products or services. If a standalone selling price is not directly observable, the Company estimates the selling price using available observable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revenue as the performance obligations are satisfied by transferring control of the product or service to a customer, as described below. </w:t>
      </w:r>
    </w:p>
    <w:p>
      <w:pPr>
        <w:pStyle w:val="TextBody"/>
        <w:bidi w:val="0"/>
        <w:spacing w:before="240" w:after="283"/>
        <w:jc w:val="both"/>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The Company recognizes revenue for the sale of the following products at a point in time: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Equipment</w:t>
      </w:r>
      <w:r>
        <w:rPr>
          <w:rFonts w:ascii="Times New Roman" w:hAnsi="Times New Roman"/>
          <w:color w:val="000000"/>
          <w:sz w:val="20"/>
        </w:rPr>
        <w:t xml:space="preserve">. The Company’s LLS and ALLY System sales are recognized as Product revenue when the Company transfers control of the system. This usually occurs after the customer signs a contract, the Company installs the system, and the Company performs the requisite training for use of the system for direct customers. System sales to distributors are recognized as revenue upon shipment as they do not require training and installation. </w:t>
      </w:r>
    </w:p>
    <w:p>
      <w:pPr>
        <w:pStyle w:val="TextBody"/>
        <w:bidi w:val="0"/>
        <w:spacing w:before="120" w:after="283"/>
        <w:jc w:val="both"/>
        <w:rPr>
          <w:rFonts w:ascii="Times New Roman" w:hAnsi="Times New Roman"/>
          <w:sz w:val="20"/>
        </w:rPr>
      </w:pPr>
      <w:r>
        <w:rPr>
          <w:rFonts w:ascii="Times New Roman" w:hAnsi="Times New Roman"/>
          <w:i/>
          <w:color w:val="000000"/>
          <w:sz w:val="20"/>
        </w:rPr>
        <w:t>PID and Procedure Licenses</w:t>
      </w:r>
      <w:r>
        <w:rPr>
          <w:rFonts w:ascii="Times New Roman" w:hAnsi="Times New Roman"/>
          <w:color w:val="000000"/>
          <w:sz w:val="20"/>
        </w:rPr>
        <w:t xml:space="preserve">. The systems require both a PID and a procedure license to perform each procedure. The Company recognizes Product revenue for PIDs when the Company transfers control of the PID. The Company recognizes Product revenue for procedure licenses at the point in time when control of the procedure license is transferred to the customer. A procedure license represents a one-time right to utilize the system surgical application in connection with a surgery procedure. For the sale of PIDs and procedure licenses, the Company may offer volume discounts to certain customers. To determine the amount of revenue that should be recognized at the time control over these products transfers to the customer, the Company estimates the average per unit price, net of discounts. </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The Company offers an extended warranty that provides additional maintenance services beyond the standard limited warranty. The Company recognizes Service revenue from the sale of extended warranties over the warranty period on a ratable basis as the Company stands ready to provide services as needed. Customers have the option of renewing the warranty period, which is considered a new and separate contract. </w:t>
      </w:r>
    </w:p>
    <w:p>
      <w:pPr>
        <w:pStyle w:val="TextBody"/>
        <w:bidi w:val="0"/>
        <w:spacing w:before="240" w:after="283"/>
        <w:jc w:val="both"/>
        <w:rPr>
          <w:rFonts w:ascii="Times New Roman" w:hAnsi="Times New Roman"/>
          <w:sz w:val="20"/>
        </w:rPr>
      </w:pPr>
      <w:r>
        <w:rPr>
          <w:rFonts w:ascii="Times New Roman" w:hAnsi="Times New Roman"/>
          <w:i/>
          <w:color w:val="000000"/>
          <w:sz w:val="20"/>
        </w:rPr>
        <w:t>Lease Revenue</w:t>
      </w:r>
      <w:r>
        <w:rPr>
          <w:rFonts w:ascii="Times New Roman" w:hAnsi="Times New Roman"/>
          <w:color w:val="000000"/>
          <w:sz w:val="20"/>
        </w:rPr>
        <w:t xml:space="preserve">. For system operating leases, the Company recognizes lease revenue over the length of the lease in accordance with ASC Topic 842, </w:t>
      </w:r>
      <w:r>
        <w:rPr>
          <w:rFonts w:ascii="Times New Roman" w:hAnsi="Times New Roman"/>
          <w:i/>
          <w:color w:val="000000"/>
          <w:sz w:val="20"/>
        </w:rPr>
        <w:t>Leases</w:t>
      </w:r>
      <w:r>
        <w:rPr>
          <w:rFonts w:ascii="Times New Roman" w:hAnsi="Times New Roman"/>
          <w:color w:val="000000"/>
          <w:sz w:val="20"/>
        </w:rPr>
        <w:t xml:space="preserve">, (“ASC 842”). For additional information regarding accounting for leases, see the Leases section within this footnote below and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Contract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offers a variety of commission plans to the Company’s salesforce. Certain compensation under these plans is earned by sales representatives solely as a result of obtaining a customer contract. These are considered incremental costs of obtaining a contract and are eligible for capitalization under ASC Topic 340-40, </w:t>
      </w:r>
      <w:r>
        <w:rPr>
          <w:rFonts w:ascii="Times New Roman" w:hAnsi="Times New Roman"/>
          <w:i/>
          <w:color w:val="000000"/>
          <w:sz w:val="20"/>
        </w:rPr>
        <w:t>Other Assets and Deferred Costs – Contracts with Customers</w:t>
      </w:r>
      <w:r>
        <w:rPr>
          <w:rFonts w:ascii="Times New Roman" w:hAnsi="Times New Roman"/>
          <w:color w:val="000000"/>
          <w:sz w:val="20"/>
        </w:rPr>
        <w:t xml:space="preserve">, to the extent they are recoverable. Incremental costs of obtaining a contract are deferred over the period the related revenue is recognized and the Company has elected not to defer costs related to goods or services to be delivered over a period that is one year or less. </w:t>
      </w:r>
    </w:p>
    <w:p>
      <w:pPr>
        <w:pStyle w:val="TextBody"/>
        <w:bidi w:val="0"/>
        <w:spacing w:before="240" w:after="283"/>
        <w:jc w:val="both"/>
        <w:rPr>
          <w:rFonts w:ascii="Times New Roman" w:hAnsi="Times New Roman"/>
          <w:sz w:val="20"/>
        </w:rPr>
      </w:pPr>
      <w:r>
        <w:rPr>
          <w:rFonts w:ascii="Times New Roman" w:hAnsi="Times New Roman"/>
          <w:i/>
          <w:color w:val="000000"/>
          <w:sz w:val="20"/>
        </w:rPr>
        <w:t>Significant Financing Component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extended payment terms to certain customers that represent a significant financing component. The Company adjusts the amount of promised consideration for the time value of money using its discount rate and recognizes interest income separate from the revenue recognized on contracts with customers. </w:t>
      </w:r>
    </w:p>
    <w:p>
      <w:pPr>
        <w:pStyle w:val="TextBody"/>
        <w:bidi w:val="0"/>
        <w:spacing w:before="240" w:after="283"/>
        <w:jc w:val="both"/>
        <w:rPr>
          <w:rFonts w:ascii="Times New Roman" w:hAnsi="Times New Roman"/>
          <w:sz w:val="20"/>
        </w:rPr>
      </w:pPr>
      <w:r>
        <w:rPr>
          <w:rFonts w:ascii="Times New Roman" w:hAnsi="Times New Roman"/>
          <w:i/>
          <w:color w:val="000000"/>
          <w:sz w:val="20"/>
        </w:rPr>
        <w:t>Limited Warranty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offers limited warranties on the Company’s products which provide the customer assurance that the product will function as the parties intended because it complies with agreed-upon specifications; therefore, these assurance-type warranties are not treated as a separate revenue performance obligation and are accounted for as guarantees under U.S. GAAP. The Company regularly reviews its warranty liability and updates these balances based on historical warranty cost trends. </w:t>
      </w:r>
    </w:p>
    <w:p>
      <w:pPr>
        <w:pStyle w:val="TextBody"/>
        <w:bidi w:val="0"/>
        <w:spacing w:before="360" w:after="283"/>
        <w:jc w:val="both"/>
        <w:rPr>
          <w:rFonts w:ascii="Times New Roman" w:hAnsi="Times New Roman"/>
          <w:sz w:val="20"/>
        </w:rPr>
      </w:pPr>
      <w:r>
        <w:rPr>
          <w:rFonts w:ascii="Times New Roman" w:hAnsi="Times New Roman"/>
          <w:b/>
          <w:color w:val="000000"/>
          <w:sz w:val="20"/>
        </w:rPr>
        <w:t>Concentrations of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2025, one customer accounted for 13% of the Company’s revenue and no customers accounted for 10% or more of the Company’s accounts receivable, net as of December 31, 2025. For the year ended December 31, 2024, one customer accounted for 14% of the Company’s revenue and 12% of the Company’s accounts receivable, net as of December 31, 2024.</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Acquisition-Related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Acquisition-related costs of $17,141, which consists of advisory, legal, accounting, valuation and other professional or consulting fees related to and incurred in association with the Merger Agreement with Alcon, are expensed as incurred and included within selling, general and administrative expenses in the statements of operations and comprehensive loss for the year ended December 31, 2025. Of the $17,141 in acquisition-related costs incurred, $13,806 is classified as accounts payable and $180 is classified as accrued liabilities on the balance sheet at December 31, 2025. Certain amounts of these acquisition-related costs were contingent upon the successful closing of the Merger, see Note 18, </w:t>
      </w:r>
      <w:r>
        <w:rPr>
          <w:rFonts w:ascii="Times New Roman" w:hAnsi="Times New Roman"/>
          <w:i/>
          <w:color w:val="000000"/>
          <w:sz w:val="20"/>
        </w:rPr>
        <w:t>Subsequent Events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follows ASC 850, </w:t>
      </w:r>
      <w:r>
        <w:rPr>
          <w:rFonts w:ascii="Times New Roman" w:hAnsi="Times New Roman"/>
          <w:i/>
          <w:color w:val="000000"/>
          <w:sz w:val="20"/>
        </w:rPr>
        <w:t>Related Party Disclosures</w:t>
      </w:r>
      <w:r>
        <w:rPr>
          <w:rFonts w:ascii="Times New Roman" w:hAnsi="Times New Roman"/>
          <w:color w:val="000000"/>
          <w:sz w:val="20"/>
        </w:rPr>
        <w:t>, for the identification of related parties and disclosure of related party transactions. A party is considered to be related to the Company if the party, directly or indirectly or through one or more intermediaries, controls, is controlled by, or is under common control with the Company. Related parties also include principal owners, management and directors, as well as members of their immediate families or any other parties with which the Company may deal if one party to a transaction controls, or can significantly influence, the management or operating policies of the other to an extent that one of the transacting parties might be prevented from fully pursuing its own separate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Transactions involving related parties cannot be presumed to be conducted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in Note 12, </w:t>
      </w:r>
      <w:r>
        <w:rPr>
          <w:rFonts w:ascii="Times New Roman" w:hAnsi="Times New Roman"/>
          <w:i/>
          <w:color w:val="000000"/>
          <w:sz w:val="20"/>
        </w:rPr>
        <w:t>Redeemable Convertible Preferred Stock</w:t>
      </w:r>
      <w:r>
        <w:rPr>
          <w:rFonts w:ascii="Times New Roman" w:hAnsi="Times New Roman"/>
          <w:color w:val="000000"/>
          <w:sz w:val="20"/>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10, </w:t>
      </w:r>
      <w:r>
        <w:rPr>
          <w:rFonts w:ascii="Times New Roman" w:hAnsi="Times New Roman"/>
          <w:i/>
          <w:color w:val="000000"/>
          <w:sz w:val="20"/>
        </w:rPr>
        <w:t>Warrant Liabilities</w:t>
      </w:r>
      <w:r>
        <w:rPr>
          <w:rFonts w:ascii="Times New Roman" w:hAnsi="Times New Roman"/>
          <w:color w:val="000000"/>
          <w:sz w:val="20"/>
        </w:rPr>
        <w:t xml:space="preserve">, and Note 12,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year ended December 31, 2024 associated with its Indian operations. There were no amounts due from, or due to, the distributor at December 31, 2024. The related party relationship ended on April 1, 2024.</w:t>
      </w:r>
    </w:p>
    <w:p>
      <w:pPr>
        <w:pStyle w:val="TextBody"/>
        <w:bidi w:val="0"/>
        <w:spacing w:before="360" w:after="283"/>
        <w:jc w:val="both"/>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expenses research and development costs as incurred. Research and development expenses consist primarily of engineering, product development, clinical studies to develop and support the Company’s products, regulatory expenses, and other costs associated with products and technologies that are in development. Research and development expenses include employee compensation, including stock-based compensation, supplies, consulting, prototypes, testing, materials, travel expenses, and depreciation.</w:t>
      </w:r>
    </w:p>
    <w:p>
      <w:pPr>
        <w:pStyle w:val="TextBody"/>
        <w:bidi w:val="0"/>
        <w:spacing w:before="360" w:after="283"/>
        <w:jc w:val="both"/>
        <w:rPr>
          <w:rFonts w:ascii="Times New Roman" w:hAnsi="Times New Roman"/>
          <w:sz w:val="20"/>
        </w:rPr>
      </w:pPr>
      <w:r>
        <w:rPr>
          <w:rFonts w:ascii="Times New Roman" w:hAnsi="Times New Roman"/>
          <w:b/>
          <w:color w:val="000000"/>
          <w:sz w:val="20"/>
        </w:rPr>
        <w:t>Advertising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expenses advertising costs as incurred. Advertising costs includes design and production costs, including website development, written media campaigns, and other items. Advertising costs of $727 and $580 were expensed during the years ended December 31,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U.S. federal, state, and local corporate income taxes at the entity level.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provision for income taxes is determined using the asset and liability approach.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in the year in which such laws are enacted. Valuation allowances are recorded to reduce deferred tax assets when it is more likely than not that a tax benefit will not be realized.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The Company adjusts the level of the liability to reflect any subsequent changes in the relevant facts surrounding the uncertain positions. Any interest and penalties on uncertain tax positions are included within the tax provision.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12,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 The Company has not completed a detailed analysis to determine whether any subsequent Section 382 ownership changes have occurred and thus whether additional limitations have been triggered under Sections 382 and 383 of the Code since December 31, 2023. The Company has computed and applied limitations of tax deductions in the income tax provision computation in each year since the Section 382 ownership change was applicable; however, these limitations do not have a material impact on the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leasing arrangements in accordance with ASC Topic 842. The Company determines if an arrangement is a lease or contains an embedded lease at inception if it contains the right to control the use of an identified asset under a leasing arrangement with an initial term greater than 12 months. The Company determines whether a contract conveys the right to control the use of an identified asset for a period of time if the contract contains both the right to obtain substantially all of the economic benefits from the use of the identified asset and the right to direct the use of the identified asset. </w:t>
      </w:r>
    </w:p>
    <w:p>
      <w:pPr>
        <w:pStyle w:val="TextBody"/>
        <w:bidi w:val="0"/>
        <w:spacing w:before="360" w:after="283"/>
        <w:jc w:val="both"/>
        <w:rPr>
          <w:rFonts w:ascii="Times New Roman" w:hAnsi="Times New Roman"/>
          <w:sz w:val="20"/>
        </w:rPr>
      </w:pPr>
      <w:r>
        <w:rPr>
          <w:rFonts w:ascii="Times New Roman" w:hAnsi="Times New Roman"/>
          <w:i/>
          <w:color w:val="000000"/>
          <w:sz w:val="20"/>
        </w:rPr>
        <w:t>Policy Elections and Practical Expedients Taken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lease arrangements with lease and non-lease components, which are accounted for separately.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leases that commenced before the effective date of ASC 842, the Company elected the practical expedients to not reassess the following: (i) whether any expired or existing contracts contain leases; (ii) the lease classification for any expired or existing leases; and (iii) initial direct costs for any existing leases.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short term leases, defined as leases with a lease term of 12 months or less, the Company elected to not recognize an associated lease liability and right of use (“ROU”) asset. Lease payments for short term leases are expensed on a straight-line basis over the lease term. </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 policy to exclude from the consideration in a lessor contract all taxes assessed by a governmental authority that are both imposed on and concurrent with a specific lease revenue-producing transaction and collected by the Company from a lessee. </w:t>
      </w:r>
    </w:p>
    <w:p>
      <w:pPr>
        <w:pStyle w:val="TextBody"/>
        <w:bidi w:val="0"/>
        <w:spacing w:before="360" w:after="283"/>
        <w:jc w:val="both"/>
        <w:rPr>
          <w:rFonts w:ascii="Times New Roman" w:hAnsi="Times New Roman"/>
          <w:sz w:val="20"/>
        </w:rPr>
      </w:pPr>
      <w:r>
        <w:rPr>
          <w:rFonts w:ascii="Times New Roman" w:hAnsi="Times New Roman"/>
          <w:i/>
          <w:color w:val="000000"/>
          <w:sz w:val="20"/>
        </w:rPr>
        <w:t>Lessee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Lessee operating right of use assets are included in Other assets in the Company’s balance sheet. Lessee operating lease liabilities are included in Operating lease liabilities and Long-term operating lease liabilities in the Company’s balance sheet. The Company does not have lessee financing leases.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lease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remaining lease payments over the lease term. The Company uses the implicit rate when readily determinable at lease inception. As most of the Company’s leases do not provide an implicit rate, the Company uses its incremental borrowing rate based on the information available at the commencement date, including the lease term and the Company’s credit risk, in determining the present value of lease payments. The Company’s remaining lease terms may include options to extend or terminate the lease when it is reasonably certain that the Company will exercise that option. Lease expense for lease payments is recognized on a straight-line basis as operating expense in the statements of operations over the lease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lease arrangements with lease and non-lease components where the Company is the lessee, the Company separately accounts for lease and non-lease components, which consists primarily of common area maintenance services. Non-lease components are expensed as incurred. </w:t>
      </w:r>
    </w:p>
    <w:p>
      <w:pPr>
        <w:pStyle w:val="TextBody"/>
        <w:bidi w:val="0"/>
        <w:spacing w:before="360" w:after="283"/>
        <w:jc w:val="both"/>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leases equipment to customers under operating leases. Leases are generally not cancellable until after an initial term and may or may not require the customer to purchase a minimum number of procedures and consumables throughout the contract term. </w:t>
      </w:r>
    </w:p>
    <w:p>
      <w:pPr>
        <w:pStyle w:val="TextBody"/>
        <w:bidi w:val="0"/>
        <w:spacing w:before="240" w:after="283"/>
        <w:jc w:val="both"/>
        <w:rPr>
          <w:rFonts w:ascii="Times New Roman" w:hAnsi="Times New Roman"/>
          <w:sz w:val="20"/>
        </w:rPr>
      </w:pPr>
      <w:r>
        <w:rPr>
          <w:rFonts w:ascii="Times New Roman" w:hAnsi="Times New Roman"/>
          <w:color w:val="000000"/>
          <w:sz w:val="20"/>
        </w:rPr>
        <w:t>For lease arrangements with lease and non-lease components where the Company is the lessor, the Company allocates the contract’s transaction price (including discounts) to the lease and non-lease components on a relative standalone selling price basis using the Company’s best estimate of the standalone selling price of each distinct product or service in the contract. Lease elements generally include a system, while non-lease elements generally include extended warranty services, PIDs and procedure licenses. The stand-alone selling prices for the extended warranty services, PIDs and procedure licenses are determined based on the prices at which the Company separately sells such products and services. The system stand-alone selling prices are determined using the expected cost plus a margin approach. Allocation of the transaction price is determined at the inception of the lease arrangement. The Company’s leases primarily consist of leases with fixed lease payments. For those leases with variable lease payments, the variable lease payment is typically based upon use of the leased equipment or the purchase of procedure licenses and consumables used with the leased equipment. Non-lease components are accounted for under ASC 606</w:t>
      </w:r>
      <w:r>
        <w:rPr>
          <w:rFonts w:ascii="Times New Roman" w:hAnsi="Times New Roman"/>
          <w:i/>
          <w:color w:val="000000"/>
          <w:sz w:val="20"/>
        </w:rPr>
        <w:t xml:space="preserve">. </w:t>
      </w:r>
      <w:r>
        <w:rPr>
          <w:rFonts w:ascii="Times New Roman" w:hAnsi="Times New Roman"/>
          <w:color w:val="000000"/>
          <w:sz w:val="20"/>
        </w:rPr>
        <w:t xml:space="preserve">For additional information regarding ASC 606, see Note 3, </w:t>
      </w:r>
      <w:r>
        <w:rPr>
          <w:rFonts w:ascii="Times New Roman" w:hAnsi="Times New Roman"/>
          <w:i/>
          <w:color w:val="000000"/>
          <w:sz w:val="20"/>
        </w:rPr>
        <w:t>Revenue from Contracts with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leases include options to extend the leases on a month-to-month basis if the customer does not notify the Company of the intention to return the equipment at the end of the lease term. The Company typically does not offer options to terminate the leases before the end of the lease term. A new contract is generated if a customer intends to continue using the equipment under the initial term and the new contract term is not included in the initial lease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determining whether a transaction should be classified as a sales-type or operating lease, the Company considers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 If any of these criteria are met, </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lease is classified as a sales-type lease. If none of these criteria are met the lease is classified as an operating lease. For the years ended December 31, 2025 and 2024, the Company does not have any sales-type leases.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operating leases, rental income is recognized on a straight-line basis over the lease term as lease revenue. The cost of customer-leased equipment is recorded within equipment under lease, net in the balance sheets and depreciated over the equipment’s estimated useful life. Depreciation expense associated with the leased equipment under operating lease arrangements is reflected in cost of lease in the statements of operations. Some of the Company’s operating leases include a purchase option for the customer to purchase the leased asset at the end of the lease arrangement, subject to a new contract. The purchase price does not qualify as a bargain purchase option. The Company manages its risk on its investment in the equipment through pricing and the term of the leases. Lessees do not provide residual value guarantees on leased equipment. Equipment returned to the Company may be leased or sold to other customers. Initial direct costs, recorded in prepaid and other current assets, are deferred and recognized over the lease term. </w:t>
      </w:r>
    </w:p>
    <w:p>
      <w:pPr>
        <w:pStyle w:val="TextBody"/>
        <w:bidi w:val="0"/>
        <w:spacing w:before="360" w:after="283"/>
        <w:jc w:val="both"/>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stock-based compensation in accordance with ASC Topic 718, </w:t>
      </w:r>
      <w:r>
        <w:rPr>
          <w:rFonts w:ascii="Times New Roman" w:hAnsi="Times New Roman"/>
          <w:i/>
          <w:color w:val="000000"/>
          <w:sz w:val="20"/>
        </w:rPr>
        <w:t>Compensation – Stock Compensation</w:t>
      </w:r>
      <w:r>
        <w:rPr>
          <w:rFonts w:ascii="Times New Roman" w:hAnsi="Times New Roman"/>
          <w:color w:val="000000"/>
          <w:sz w:val="20"/>
        </w:rPr>
        <w:t>, (“ASC 718”). Stock-based compensation is measured at the grant date based on the fair value of the award and is generally expensed over the requisite service period. Stock-based compensation expense is recognized using a straight-line attribution method over the requisite service period, except for portions of awards subject to performance conditions, which will be recognized ratably over the service period for each separate performance vesting tranche once it is probable the performance condition will be met. The Company made accounting policy elections to account for modifications to the requisite service period using the bifurcated approach and to account for forfeitures as they occur.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14, </w:t>
      </w:r>
      <w:r>
        <w:rPr>
          <w:rFonts w:ascii="Times New Roman" w:hAnsi="Times New Roman"/>
          <w:i/>
          <w:color w:val="000000"/>
          <w:sz w:val="20"/>
        </w:rPr>
        <w:t xml:space="preserve">Stock-Based Compensation, </w:t>
      </w:r>
      <w:r>
        <w:rPr>
          <w:rFonts w:ascii="Times New Roman" w:hAnsi="Times New Roman"/>
          <w:color w:val="000000"/>
          <w:sz w:val="20"/>
        </w:rPr>
        <w:t xml:space="preserve">for a discussion of stock-based compensation plans. </w:t>
      </w:r>
    </w:p>
    <w:p>
      <w:pPr>
        <w:pStyle w:val="TextBody"/>
        <w:bidi w:val="0"/>
        <w:spacing w:before="360" w:after="283"/>
        <w:jc w:val="both"/>
        <w:rPr>
          <w:rFonts w:ascii="Times New Roman" w:hAnsi="Times New Roman"/>
          <w:sz w:val="20"/>
        </w:rPr>
      </w:pPr>
      <w:r>
        <w:rPr>
          <w:rFonts w:ascii="Times New Roman" w:hAnsi="Times New Roman"/>
          <w:b/>
          <w:color w:val="000000"/>
          <w:sz w:val="20"/>
        </w:rPr>
        <w:t>Earnings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pStyle w:val="TextBody"/>
        <w:bidi w:val="0"/>
        <w:spacing w:before="360" w:after="283"/>
        <w:jc w:val="both"/>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product and service revenue disaggregated by geographic region, which is determined based on customer location, for the years ended December 31, 2025 and 2024: </w:t>
      </w:r>
    </w:p>
    <w:p>
      <w:pPr>
        <w:pStyle w:val="TextBody"/>
        <w:bidi w:val="0"/>
        <w:jc w:val="both"/>
        <w:rPr/>
      </w:pPr>
      <w:r>
        <w:rPr/>
        <w:t> </w:t>
      </w:r>
    </w:p>
    <w:tbl>
      <w:tblPr>
        <w:tblW w:w="4924"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South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table above does not include lease revenue of $6,779 and $7,532 for the years ended December 31, 2025 and 2024, respectively. Substantially all lease revenue originates from the United States. Refer to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p>
      <w:pPr>
        <w:pStyle w:val="TextBody"/>
        <w:bidi w:val="0"/>
        <w:jc w:val="both"/>
        <w:rPr/>
      </w:pPr>
      <w:r>
        <w:rPr/>
        <w:t> </w:t>
      </w:r>
    </w:p>
    <w:tbl>
      <w:tblPr>
        <w:tblW w:w="8566" w:type="dxa"/>
        <w:jc w:val="left"/>
        <w:tblInd w:w="0" w:type="dxa"/>
        <w:tblLayout w:type="fixed"/>
        <w:tblCellMar>
          <w:top w:w="28" w:type="dxa"/>
          <w:left w:w="28" w:type="dxa"/>
          <w:bottom w:w="28" w:type="dxa"/>
          <w:right w:w="28" w:type="dxa"/>
        </w:tblCellMar>
      </w:tblPr>
      <w:tblGrid>
        <w:gridCol w:w="2656"/>
        <w:gridCol w:w="146"/>
        <w:gridCol w:w="3571"/>
        <w:gridCol w:w="146"/>
        <w:gridCol w:w="211"/>
        <w:gridCol w:w="571"/>
        <w:gridCol w:w="146"/>
        <w:gridCol w:w="146"/>
        <w:gridCol w:w="211"/>
        <w:gridCol w:w="57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 Net</w:t>
      </w:r>
      <w:r>
        <w:rPr>
          <w:rFonts w:ascii="Times New Roman" w:hAnsi="Times New Roman"/>
          <w:color w:val="000000"/>
          <w:sz w:val="20"/>
        </w:rPr>
        <w:t xml:space="preserve">—Accounts receivable,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 </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credit losses: </w:t>
      </w:r>
    </w:p>
    <w:tbl>
      <w:tblPr>
        <w:tblW w:w="5459" w:type="dxa"/>
        <w:jc w:val="left"/>
        <w:tblInd w:w="0" w:type="dxa"/>
        <w:tblLayout w:type="fixed"/>
        <w:tblCellMar>
          <w:top w:w="28" w:type="dxa"/>
          <w:left w:w="28" w:type="dxa"/>
          <w:bottom w:w="28" w:type="dxa"/>
          <w:right w:w="28" w:type="dxa"/>
        </w:tblCellMar>
      </w:tblPr>
      <w:tblGrid>
        <w:gridCol w:w="4411"/>
        <w:gridCol w:w="146"/>
        <w:gridCol w:w="230"/>
        <w:gridCol w:w="461"/>
        <w:gridCol w:w="2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Notes Receivable, Net</w:t>
      </w:r>
      <w:r>
        <w:rPr>
          <w:rFonts w:ascii="Times New Roman" w:hAnsi="Times New Roman"/>
          <w:color w:val="000000"/>
          <w:sz w:val="20"/>
        </w:rPr>
        <w:t xml:space="preserve">—Notes receivable, net includes amounts billed and due from customers under extended payment terms with a significant financing component. Interest rates on notes receivable range from 7.0% to 8.0%. The Company recorded interest income on notes receivable during the years ended December 31, 2025 and 2024 of $91 and $103 in other income, net in the statement of operations.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notes receivable: </w:t>
      </w:r>
    </w:p>
    <w:tbl>
      <w:tblPr>
        <w:tblW w:w="5159" w:type="dxa"/>
        <w:jc w:val="left"/>
        <w:tblInd w:w="0" w:type="dxa"/>
        <w:tblLayout w:type="fixed"/>
        <w:tblCellMar>
          <w:top w:w="28" w:type="dxa"/>
          <w:left w:w="28" w:type="dxa"/>
          <w:bottom w:w="28" w:type="dxa"/>
          <w:right w:w="28" w:type="dxa"/>
        </w:tblCellMar>
      </w:tblPr>
      <w:tblGrid>
        <w:gridCol w:w="4111"/>
        <w:gridCol w:w="146"/>
        <w:gridCol w:w="248"/>
        <w:gridCol w:w="443"/>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Maturities of notes receivable, net under extended payment terms with a significant financing component as of December 31, 2025 are as follows: </w:t>
      </w:r>
    </w:p>
    <w:p>
      <w:pPr>
        <w:pStyle w:val="TextBody"/>
        <w:bidi w:val="0"/>
        <w:jc w:val="both"/>
        <w:rPr/>
      </w:pPr>
      <w:r>
        <w:rPr/>
        <w:t> </w:t>
      </w:r>
    </w:p>
    <w:tbl>
      <w:tblPr>
        <w:tblW w:w="5245" w:type="dxa"/>
        <w:jc w:val="left"/>
        <w:tblInd w:w="0" w:type="dxa"/>
        <w:tblLayout w:type="fixed"/>
        <w:tblCellMar>
          <w:top w:w="28" w:type="dxa"/>
          <w:left w:w="28" w:type="dxa"/>
          <w:bottom w:w="28" w:type="dxa"/>
          <w:right w:w="28" w:type="dxa"/>
        </w:tblCellMar>
      </w:tblPr>
      <w:tblGrid>
        <w:gridCol w:w="4126"/>
        <w:gridCol w:w="146"/>
        <w:gridCol w:w="211"/>
        <w:gridCol w:w="571"/>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between undiscounted and discounted</w:t>
              <w:br/>
              <w: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Contract Assets – </w:t>
      </w:r>
      <w:r>
        <w:rPr>
          <w:rFonts w:ascii="Times New Roman" w:hAnsi="Times New Roman"/>
          <w:color w:val="000000"/>
          <w:sz w:val="20"/>
        </w:rPr>
        <w:t xml:space="preserve">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balance sheets. </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contract assets from contracts with customers:</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3361"/>
        <w:gridCol w:w="146"/>
        <w:gridCol w:w="211"/>
        <w:gridCol w:w="63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due to contract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due to contract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Deferred Revenue and Contract Liabilities—</w:t>
      </w:r>
      <w:r>
        <w:rPr>
          <w:rFonts w:ascii="Times New Roman" w:hAnsi="Times New Roman"/>
          <w:color w:val="000000"/>
          <w:sz w:val="20"/>
        </w:rPr>
        <w:t xml:space="preserve">The Company’s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provides information about deferred revenue and contract liabilities from contracts with customers: </w:t>
      </w:r>
    </w:p>
    <w:p>
      <w:pPr>
        <w:pStyle w:val="TextBody"/>
        <w:bidi w:val="0"/>
        <w:jc w:val="both"/>
        <w:rPr/>
      </w:pPr>
      <w:r>
        <w:rPr/>
        <w:t> </w:t>
      </w:r>
    </w:p>
    <w:tbl>
      <w:tblPr>
        <w:tblW w:w="5565" w:type="dxa"/>
        <w:jc w:val="left"/>
        <w:tblInd w:w="0" w:type="dxa"/>
        <w:tblLayout w:type="fixed"/>
        <w:tblCellMar>
          <w:top w:w="28" w:type="dxa"/>
          <w:left w:w="28" w:type="dxa"/>
          <w:bottom w:w="28" w:type="dxa"/>
          <w:right w:w="28" w:type="dxa"/>
        </w:tblCellMar>
      </w:tblPr>
      <w:tblGrid>
        <w:gridCol w:w="4366"/>
        <w:gridCol w:w="146"/>
        <w:gridCol w:w="211"/>
        <w:gridCol w:w="63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wrote off certain contract liabilities associated with intangible assets that were determined to be impaired during the year ended December 31, 2024. Refer to Note 8, </w:t>
      </w:r>
      <w:r>
        <w:rPr>
          <w:rFonts w:ascii="Times New Roman" w:hAnsi="Times New Roman"/>
          <w:i/>
          <w:color w:val="000000"/>
          <w:sz w:val="20"/>
        </w:rPr>
        <w:t>Intangible Assets</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2025, the revenue expected to be recognized in future periods related to performance obligations that are unsatisfied for executed contracts with an original duration of one year or more was approximately $46,649. The Company expects to satisfy its remaining performance obligations over the next five years, with $15,676 to be satisfied in the next twelve months, $12,811 to be satisfied in the next two years, $9,765 to be satisfied in the next three years, $6,295 to be satisfied in the next four years, and $2,102 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Costs to Obtain Contracts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about the costs to obtain contracts associated with contracts with customers for the years ended December 31, 2025 and 2024: </w:t>
      </w:r>
    </w:p>
    <w:p>
      <w:pPr>
        <w:pStyle w:val="TextBody"/>
        <w:bidi w:val="0"/>
        <w:jc w:val="both"/>
        <w:rPr/>
      </w:pPr>
      <w:r>
        <w:rPr/>
        <w:t> </w:t>
      </w:r>
    </w:p>
    <w:tbl>
      <w:tblPr>
        <w:tblW w:w="4097" w:type="dxa"/>
        <w:jc w:val="left"/>
        <w:tblInd w:w="0" w:type="dxa"/>
        <w:tblLayout w:type="fixed"/>
        <w:tblCellMar>
          <w:top w:w="28" w:type="dxa"/>
          <w:left w:w="28" w:type="dxa"/>
          <w:bottom w:w="28" w:type="dxa"/>
          <w:right w:w="28" w:type="dxa"/>
        </w:tblCellMar>
      </w:tblPr>
      <w:tblGrid>
        <w:gridCol w:w="1666"/>
        <w:gridCol w:w="146"/>
        <w:gridCol w:w="248"/>
        <w:gridCol w:w="566"/>
        <w:gridCol w:w="195"/>
        <w:gridCol w:w="171"/>
        <w:gridCol w:w="248"/>
        <w:gridCol w:w="566"/>
        <w:gridCol w:w="2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10, </w:t>
      </w:r>
      <w:r>
        <w:rPr>
          <w:rFonts w:ascii="Times New Roman" w:hAnsi="Times New Roman"/>
          <w:i/>
          <w:color w:val="000000"/>
          <w:sz w:val="20"/>
        </w:rPr>
        <w:t>Warrant Liabilities</w:t>
      </w:r>
      <w:r>
        <w:rPr>
          <w:rFonts w:ascii="Times New Roman" w:hAnsi="Times New Roman"/>
          <w:color w:val="000000"/>
          <w:sz w:val="2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Company's assets and liabilities at fair value as of December 31, 2025 and 2024:</w:t>
      </w:r>
    </w:p>
    <w:tbl>
      <w:tblPr>
        <w:tblW w:w="6965"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fair value hierarchy levels during the years ended December 31, 2025 and 2024.</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Company’s financial assets that are measured at fair value on a recurring basis as of December 31, 2025 and 2024 are as follows:</w:t>
      </w:r>
    </w:p>
    <w:tbl>
      <w:tblPr>
        <w:tblW w:w="8476" w:type="dxa"/>
        <w:jc w:val="left"/>
        <w:tblInd w:w="0" w:type="dxa"/>
        <w:tblLayout w:type="fixed"/>
        <w:tblCellMar>
          <w:top w:w="28" w:type="dxa"/>
          <w:left w:w="28" w:type="dxa"/>
          <w:bottom w:w="28" w:type="dxa"/>
          <w:right w:w="28" w:type="dxa"/>
        </w:tblCellMar>
      </w:tblPr>
      <w:tblGrid>
        <w:gridCol w:w="2401"/>
        <w:gridCol w:w="146"/>
        <w:gridCol w:w="296"/>
        <w:gridCol w:w="949"/>
        <w:gridCol w:w="146"/>
        <w:gridCol w:w="146"/>
        <w:gridCol w:w="510"/>
        <w:gridCol w:w="840"/>
        <w:gridCol w:w="146"/>
        <w:gridCol w:w="146"/>
        <w:gridCol w:w="522"/>
        <w:gridCol w:w="858"/>
        <w:gridCol w:w="146"/>
        <w:gridCol w:w="146"/>
        <w:gridCol w:w="211"/>
        <w:gridCol w:w="676"/>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fair value of warrant liabilities measured on a recurring basis using unobservable Level 3 inputs for the year ended December 31, 2025 is set forth below:</w:t>
      </w:r>
    </w:p>
    <w:tbl>
      <w:tblPr>
        <w:tblW w:w="6487" w:type="dxa"/>
        <w:jc w:val="left"/>
        <w:tblInd w:w="0" w:type="dxa"/>
        <w:tblLayout w:type="fixed"/>
        <w:tblCellMar>
          <w:top w:w="28" w:type="dxa"/>
          <w:left w:w="28" w:type="dxa"/>
          <w:bottom w:w="28" w:type="dxa"/>
          <w:right w:w="28" w:type="dxa"/>
        </w:tblCellMar>
      </w:tblPr>
      <w:tblGrid>
        <w:gridCol w:w="2026"/>
        <w:gridCol w:w="146"/>
        <w:gridCol w:w="299"/>
        <w:gridCol w:w="961"/>
        <w:gridCol w:w="146"/>
        <w:gridCol w:w="146"/>
        <w:gridCol w:w="242"/>
        <w:gridCol w:w="778"/>
        <w:gridCol w:w="146"/>
        <w:gridCol w:w="146"/>
        <w:gridCol w:w="299"/>
        <w:gridCol w:w="96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5. Inventories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balances were as follows: </w:t>
      </w:r>
    </w:p>
    <w:p>
      <w:pPr>
        <w:pStyle w:val="TextBody"/>
        <w:bidi w:val="0"/>
        <w:jc w:val="both"/>
        <w:rPr/>
      </w:pPr>
      <w:r>
        <w:rPr/>
        <w:t> </w:t>
      </w:r>
    </w:p>
    <w:tbl>
      <w:tblPr>
        <w:tblW w:w="3859" w:type="dxa"/>
        <w:jc w:val="left"/>
        <w:tblInd w:w="0" w:type="dxa"/>
        <w:tblLayout w:type="fixed"/>
        <w:tblCellMar>
          <w:top w:w="28" w:type="dxa"/>
          <w:left w:w="28" w:type="dxa"/>
          <w:bottom w:w="28" w:type="dxa"/>
          <w:right w:w="28" w:type="dxa"/>
        </w:tblCellMar>
      </w:tblPr>
      <w:tblGrid>
        <w:gridCol w:w="1456"/>
        <w:gridCol w:w="146"/>
        <w:gridCol w:w="211"/>
        <w:gridCol w:w="676"/>
        <w:gridCol w:w="146"/>
        <w:gridCol w:w="146"/>
        <w:gridCol w:w="211"/>
        <w:gridCol w:w="67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Write downs of inventories to net realizable value amounted to $0 and $94 for the years ended December 31, 2025 and 2024, respectively.</w:t>
      </w:r>
    </w:p>
    <w:p>
      <w:pPr>
        <w:pStyle w:val="TextBody"/>
        <w:bidi w:val="0"/>
        <w:spacing w:before="360" w:after="283"/>
        <w:jc w:val="both"/>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Lessee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its corporate office. In September 2025, the Company amended the lease to clarify the timing of access and rent payments for additional space in the building. The lease amendment constituted a modification as it changed the amount and timing of the consideration, which required evaluation of the remeasurement of the lease liability and corresponding right-of-use-asset. The reassessment resulted in continuing to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classify the lease as an operating lease and remeasurement of the lease liability on the basis of the payment terms and the incremental borrowing rate at the effective date of modification of 10%. The Company previously concluded the lease of additional space was treated as a separate lease and recorded when access to the new space was granted, which was September 2025. The Company’s operating lease has a remaining lease term of 3.4 years as of December 31, 2025. The Company also has an operating lease for office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lease expense are as follows: </w:t>
      </w:r>
    </w:p>
    <w:p>
      <w:pPr>
        <w:pStyle w:val="TextBody"/>
        <w:bidi w:val="0"/>
        <w:jc w:val="both"/>
        <w:rPr/>
      </w:pPr>
      <w:r>
        <w:rPr/>
        <w:t> </w:t>
      </w:r>
    </w:p>
    <w:tbl>
      <w:tblPr>
        <w:tblW w:w="4132" w:type="dxa"/>
        <w:jc w:val="left"/>
        <w:tblInd w:w="0" w:type="dxa"/>
        <w:tblLayout w:type="fixed"/>
        <w:tblCellMar>
          <w:top w:w="28" w:type="dxa"/>
          <w:left w:w="28" w:type="dxa"/>
          <w:bottom w:w="28" w:type="dxa"/>
          <w:right w:w="28" w:type="dxa"/>
        </w:tblCellMar>
      </w:tblPr>
      <w:tblGrid>
        <w:gridCol w:w="1801"/>
        <w:gridCol w:w="146"/>
        <w:gridCol w:w="270"/>
        <w:gridCol w:w="540"/>
        <w:gridCol w:w="187"/>
        <w:gridCol w:w="187"/>
        <w:gridCol w:w="270"/>
        <w:gridCol w:w="540"/>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Supplemental cash flow information related to leases, including the lease modification, is as follows: </w:t>
      </w:r>
    </w:p>
    <w:p>
      <w:pPr>
        <w:pStyle w:val="TextBody"/>
        <w:bidi w:val="0"/>
        <w:jc w:val="both"/>
        <w:rPr/>
      </w:pPr>
      <w:r>
        <w:rPr/>
        <w:t> </w:t>
      </w:r>
    </w:p>
    <w:tbl>
      <w:tblPr>
        <w:tblW w:w="6652" w:type="dxa"/>
        <w:jc w:val="left"/>
        <w:tblInd w:w="0" w:type="dxa"/>
        <w:tblLayout w:type="fixed"/>
        <w:tblCellMar>
          <w:top w:w="28" w:type="dxa"/>
          <w:left w:w="28" w:type="dxa"/>
          <w:bottom w:w="28" w:type="dxa"/>
          <w:right w:w="28" w:type="dxa"/>
        </w:tblCellMar>
      </w:tblPr>
      <w:tblGrid>
        <w:gridCol w:w="4321"/>
        <w:gridCol w:w="146"/>
        <w:gridCol w:w="270"/>
        <w:gridCol w:w="540"/>
        <w:gridCol w:w="187"/>
        <w:gridCol w:w="187"/>
        <w:gridCol w:w="270"/>
        <w:gridCol w:w="540"/>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w:t>
              <w:br/>
              <w: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Right-of-use-assets obtained in exchange for lease</w:t>
              <w:br/>
              <w: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lease balances within the balance sheet, weighted-average remaining lease term, and weighted-average discount rates related to the Company’s operating leases: </w:t>
      </w:r>
    </w:p>
    <w:p>
      <w:pPr>
        <w:pStyle w:val="TextBody"/>
        <w:bidi w:val="0"/>
        <w:jc w:val="both"/>
        <w:rPr/>
      </w:pPr>
      <w:r>
        <w:rPr/>
        <w:t> </w:t>
      </w:r>
    </w:p>
    <w:tbl>
      <w:tblPr>
        <w:tblW w:w="9069" w:type="dxa"/>
        <w:jc w:val="left"/>
        <w:tblInd w:w="0" w:type="dxa"/>
        <w:tblLayout w:type="fixed"/>
        <w:tblCellMar>
          <w:top w:w="28" w:type="dxa"/>
          <w:left w:w="28" w:type="dxa"/>
          <w:bottom w:w="28" w:type="dxa"/>
          <w:right w:w="28" w:type="dxa"/>
        </w:tblCellMar>
      </w:tblPr>
      <w:tblGrid>
        <w:gridCol w:w="3331"/>
        <w:gridCol w:w="146"/>
        <w:gridCol w:w="3061"/>
        <w:gridCol w:w="146"/>
        <w:gridCol w:w="222"/>
        <w:gridCol w:w="604"/>
        <w:gridCol w:w="271"/>
        <w:gridCol w:w="146"/>
        <w:gridCol w:w="222"/>
        <w:gridCol w:w="604"/>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Maturities of operating lease liabilities as of December 31, 2025 are as follows: </w:t>
      </w:r>
    </w:p>
    <w:p>
      <w:pPr>
        <w:pStyle w:val="TextBody"/>
        <w:bidi w:val="0"/>
        <w:jc w:val="both"/>
        <w:rPr/>
      </w:pPr>
      <w:r>
        <w:rPr/>
        <w:t> </w:t>
      </w:r>
    </w:p>
    <w:tbl>
      <w:tblPr>
        <w:tblW w:w="3795" w:type="dxa"/>
        <w:jc w:val="left"/>
        <w:tblInd w:w="0" w:type="dxa"/>
        <w:tblLayout w:type="fixed"/>
        <w:tblCellMar>
          <w:top w:w="28" w:type="dxa"/>
          <w:left w:w="28" w:type="dxa"/>
          <w:bottom w:w="28" w:type="dxa"/>
          <w:right w:w="28" w:type="dxa"/>
        </w:tblCellMar>
      </w:tblPr>
      <w:tblGrid>
        <w:gridCol w:w="2656"/>
        <w:gridCol w:w="146"/>
        <w:gridCol w:w="211"/>
        <w:gridCol w:w="57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operating leases for LLS and ALLY Systems, which occur primarily in the United States. The Company’s leases have remaining lease terms of less than one year to five years. Lease revenue for the years ended December 31, 2025 and 2024 was as follows: </w:t>
      </w:r>
    </w:p>
    <w:p>
      <w:pPr>
        <w:pStyle w:val="TextBody"/>
        <w:bidi w:val="0"/>
        <w:jc w:val="both"/>
        <w:rPr/>
      </w:pPr>
      <w:r>
        <w:rPr/>
        <w:t> </w:t>
      </w:r>
    </w:p>
    <w:tbl>
      <w:tblPr>
        <w:tblW w:w="3575" w:type="dxa"/>
        <w:jc w:val="left"/>
        <w:tblInd w:w="0" w:type="dxa"/>
        <w:tblLayout w:type="fixed"/>
        <w:tblCellMar>
          <w:top w:w="28" w:type="dxa"/>
          <w:left w:w="28" w:type="dxa"/>
          <w:bottom w:w="28" w:type="dxa"/>
          <w:right w:w="28" w:type="dxa"/>
        </w:tblCellMar>
      </w:tblPr>
      <w:tblGrid>
        <w:gridCol w:w="1276"/>
        <w:gridCol w:w="146"/>
        <w:gridCol w:w="223"/>
        <w:gridCol w:w="604"/>
        <w:gridCol w:w="154"/>
        <w:gridCol w:w="154"/>
        <w:gridCol w:w="223"/>
        <w:gridCol w:w="604"/>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Equipment under lease is as follows: </w:t>
      </w:r>
    </w:p>
    <w:p>
      <w:pPr>
        <w:pStyle w:val="TextBody"/>
        <w:bidi w:val="0"/>
        <w:jc w:val="both"/>
        <w:rPr/>
      </w:pPr>
      <w:r>
        <w:rPr/>
        <w:t> </w:t>
      </w:r>
    </w:p>
    <w:tbl>
      <w:tblPr>
        <w:tblW w:w="5189" w:type="dxa"/>
        <w:jc w:val="left"/>
        <w:tblInd w:w="0" w:type="dxa"/>
        <w:tblLayout w:type="fixed"/>
        <w:tblCellMar>
          <w:top w:w="28" w:type="dxa"/>
          <w:left w:w="28" w:type="dxa"/>
          <w:bottom w:w="28" w:type="dxa"/>
          <w:right w:w="28" w:type="dxa"/>
        </w:tblCellMar>
      </w:tblPr>
      <w:tblGrid>
        <w:gridCol w:w="2626"/>
        <w:gridCol w:w="146"/>
        <w:gridCol w:w="211"/>
        <w:gridCol w:w="736"/>
        <w:gridCol w:w="166"/>
        <w:gridCol w:w="146"/>
        <w:gridCol w:w="211"/>
        <w:gridCol w:w="736"/>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on equipment under lease amounted to $3,433 and $2,776 for the years ended December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Maturities of operating lease payments as of December 31, 2025 are as follows: </w:t>
      </w:r>
    </w:p>
    <w:p>
      <w:pPr>
        <w:pStyle w:val="TextBody"/>
        <w:bidi w:val="0"/>
        <w:jc w:val="both"/>
        <w:rPr/>
      </w:pPr>
      <w:r>
        <w:rPr/>
        <w:t> </w:t>
      </w:r>
    </w:p>
    <w:tbl>
      <w:tblPr>
        <w:tblW w:w="3715" w:type="dxa"/>
        <w:jc w:val="left"/>
        <w:tblInd w:w="0" w:type="dxa"/>
        <w:tblLayout w:type="fixed"/>
        <w:tblCellMar>
          <w:top w:w="28" w:type="dxa"/>
          <w:left w:w="28" w:type="dxa"/>
          <w:bottom w:w="28" w:type="dxa"/>
          <w:right w:w="28" w:type="dxa"/>
        </w:tblCellMar>
      </w:tblPr>
      <w:tblGrid>
        <w:gridCol w:w="2596"/>
        <w:gridCol w:w="146"/>
        <w:gridCol w:w="211"/>
        <w:gridCol w:w="5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7. 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details of property and equipment, net: </w:t>
      </w:r>
    </w:p>
    <w:p>
      <w:pPr>
        <w:pStyle w:val="TextBody"/>
        <w:bidi w:val="0"/>
        <w:jc w:val="both"/>
        <w:rPr/>
      </w:pPr>
      <w:r>
        <w:rPr/>
        <w:t> </w:t>
      </w:r>
    </w:p>
    <w:tbl>
      <w:tblPr>
        <w:tblW w:w="4979" w:type="dxa"/>
        <w:jc w:val="left"/>
        <w:tblInd w:w="0" w:type="dxa"/>
        <w:tblLayout w:type="fixed"/>
        <w:tblCellMar>
          <w:top w:w="28" w:type="dxa"/>
          <w:left w:w="28" w:type="dxa"/>
          <w:bottom w:w="28" w:type="dxa"/>
          <w:right w:w="28" w:type="dxa"/>
        </w:tblCellMar>
      </w:tblPr>
      <w:tblGrid>
        <w:gridCol w:w="2626"/>
        <w:gridCol w:w="146"/>
        <w:gridCol w:w="211"/>
        <w:gridCol w:w="631"/>
        <w:gridCol w:w="166"/>
        <w:gridCol w:w="146"/>
        <w:gridCol w:w="211"/>
        <w:gridCol w:w="631"/>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and laser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on property and equipment amounted to $148 and $185 for the years ended December 31,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8.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intangible assets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95"/>
        <w:gridCol w:w="146"/>
        <w:gridCol w:w="211"/>
        <w:gridCol w:w="676"/>
        <w:gridCol w:w="146"/>
        <w:gridCol w:w="146"/>
        <w:gridCol w:w="270"/>
        <w:gridCol w:w="811"/>
        <w:gridCol w:w="166"/>
        <w:gridCol w:w="146"/>
        <w:gridCol w:w="211"/>
        <w:gridCol w:w="571"/>
        <w:gridCol w:w="146"/>
        <w:gridCol w:w="146"/>
        <w:gridCol w:w="211"/>
        <w:gridCol w:w="676"/>
        <w:gridCol w:w="146"/>
        <w:gridCol w:w="146"/>
        <w:gridCol w:w="270"/>
        <w:gridCol w:w="811"/>
        <w:gridCol w:w="166"/>
        <w:gridCol w:w="146"/>
        <w:gridCol w:w="240"/>
        <w:gridCol w:w="721"/>
        <w:gridCol w:w="166"/>
        <w:gridCol w:w="146"/>
        <w:gridCol w:w="211"/>
        <w:gridCol w:w="571"/>
        <w:gridCol w:w="191"/>
      </w:tblGrid>
      <w:tr>
        <w:trPr/>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technology </w:t>
            </w:r>
            <w:r>
              <w:rPr>
                <w:rFonts w:ascii="Times New Roman" w:hAnsi="Times New Roman"/>
                <w:color w:val="000000"/>
                <w:sz w:val="13"/>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trademarks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Certain intangible assets were established upon PDL BioPharma, Inc.’s (“PDL”)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200" w:after="283"/>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The Company acquired certain intangible assets for customer relationships from a domestic distributor in an asset acquisition, which are being amortized on a straight-line basis over a period of 10 years. </w:t>
      </w:r>
    </w:p>
    <w:p>
      <w:pPr>
        <w:pStyle w:val="TextBody"/>
        <w:bidi w:val="0"/>
        <w:spacing w:before="200" w:after="283"/>
        <w:jc w:val="both"/>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 xml:space="preserve">The Company acquired certain intangible assets from a medical technology company in an asset acquisition, which were being amortized on a straight-line basis over a period of 15 years. </w:t>
      </w:r>
    </w:p>
    <w:p>
      <w:pPr>
        <w:pStyle w:val="TextBody"/>
        <w:bidi w:val="0"/>
        <w:spacing w:before="200" w:after="283"/>
        <w:jc w:val="both"/>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In 2019, the Company acquired certain intellectual property from a third party. Pursuant to the Company’s agreement with the third party, the Company made milestone payments of $2,400 during the year ended December 31, 2022.</w:t>
      </w:r>
    </w:p>
    <w:p>
      <w:pPr>
        <w:pStyle w:val="TextBody"/>
        <w:bidi w:val="0"/>
        <w:spacing w:before="200" w:after="283"/>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In April 2024, the Company notified its third-party supplier of the phacoemulsification component in the ALLY System that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contract liabilities associated with the intangible assets of $214.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for the years ended December 31, 2025 and 2024 was $921 and $970,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the intangible assets recorded at December 31, 2025, and assuming no subsequent additions to or impairment of the underlying assets, the remaining amortization expense is expected to be as follows: </w:t>
      </w:r>
    </w:p>
    <w:p>
      <w:pPr>
        <w:pStyle w:val="TextBody"/>
        <w:bidi w:val="0"/>
        <w:jc w:val="both"/>
        <w:rPr/>
      </w:pPr>
      <w:r>
        <w:rPr/>
        <w:t> </w:t>
      </w:r>
    </w:p>
    <w:tbl>
      <w:tblPr>
        <w:tblW w:w="5155" w:type="dxa"/>
        <w:jc w:val="left"/>
        <w:tblInd w:w="0" w:type="dxa"/>
        <w:tblLayout w:type="fixed"/>
        <w:tblCellMar>
          <w:top w:w="28" w:type="dxa"/>
          <w:left w:w="28" w:type="dxa"/>
          <w:bottom w:w="28" w:type="dxa"/>
          <w:right w:w="28" w:type="dxa"/>
        </w:tblCellMar>
      </w:tblPr>
      <w:tblGrid>
        <w:gridCol w:w="4036"/>
        <w:gridCol w:w="146"/>
        <w:gridCol w:w="211"/>
        <w:gridCol w:w="57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estimated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9. Accrued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liabilities consist of the following: </w:t>
      </w:r>
    </w:p>
    <w:p>
      <w:pPr>
        <w:pStyle w:val="TextBody"/>
        <w:bidi w:val="0"/>
        <w:jc w:val="both"/>
        <w:rPr/>
      </w:pPr>
      <w:r>
        <w:rPr/>
        <w:t> </w:t>
      </w:r>
    </w:p>
    <w:tbl>
      <w:tblPr>
        <w:tblW w:w="4339" w:type="dxa"/>
        <w:jc w:val="left"/>
        <w:tblInd w:w="0" w:type="dxa"/>
        <w:tblLayout w:type="fixed"/>
        <w:tblCellMar>
          <w:top w:w="28" w:type="dxa"/>
          <w:left w:w="28" w:type="dxa"/>
          <w:bottom w:w="28" w:type="dxa"/>
          <w:right w:w="28" w:type="dxa"/>
        </w:tblCellMar>
      </w:tblPr>
      <w:tblGrid>
        <w:gridCol w:w="2146"/>
        <w:gridCol w:w="146"/>
        <w:gridCol w:w="211"/>
        <w:gridCol w:w="571"/>
        <w:gridCol w:w="146"/>
        <w:gridCol w:w="146"/>
        <w:gridCol w:w="211"/>
        <w:gridCol w:w="57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10.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12,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December 31, 2025 and 2024:</w:t>
      </w:r>
    </w:p>
    <w:tbl>
      <w:tblPr>
        <w:tblW w:w="5505" w:type="dxa"/>
        <w:jc w:val="left"/>
        <w:tblInd w:w="0" w:type="dxa"/>
        <w:tblLayout w:type="fixed"/>
        <w:tblCellMar>
          <w:top w:w="28" w:type="dxa"/>
          <w:left w:w="28" w:type="dxa"/>
          <w:bottom w:w="28" w:type="dxa"/>
          <w:right w:w="28" w:type="dxa"/>
        </w:tblCellMar>
      </w:tblPr>
      <w:tblGrid>
        <w:gridCol w:w="1876"/>
        <w:gridCol w:w="146"/>
        <w:gridCol w:w="430"/>
        <w:gridCol w:w="1070"/>
        <w:gridCol w:w="146"/>
        <w:gridCol w:w="146"/>
        <w:gridCol w:w="430"/>
        <w:gridCol w:w="107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The expected term for the warrant liabilities was based on the remaining contractual term of the Warrants.</w:t>
      </w:r>
    </w:p>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The risk-free interest rate was based on the rates paid on securities issued by the U.S. Treasury with a term approximating the expected term.</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warrant liabilities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360" w:after="283"/>
        <w:jc w:val="both"/>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party to various supply agreements for the manufacture and supply of certain components. The supply agreements commit the Company to a minimum purchase obligation of approximately $13,896 over the next 18 months. The Company expects to meet these requirements.</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 There were no provisions for legal liabilities at December 31, 2025 or 2024.</w:t>
      </w:r>
    </w:p>
    <w:p>
      <w:pPr>
        <w:pStyle w:val="TextBody"/>
        <w:bidi w:val="0"/>
        <w:spacing w:before="360" w:after="283"/>
        <w:jc w:val="both"/>
        <w:rPr>
          <w:rFonts w:ascii="Times New Roman" w:hAnsi="Times New Roman"/>
          <w:sz w:val="20"/>
        </w:rPr>
      </w:pPr>
      <w:r>
        <w:rPr>
          <w:rFonts w:ascii="Times New Roman" w:hAnsi="Times New Roman"/>
          <w:b/>
          <w:color w:val="000000"/>
          <w:sz w:val="20"/>
        </w:rPr>
        <w:t>Note 12. Redeemable Convertible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entered into the SPA with NR-GRI, whereby it sold to NR-GRI, for an aggregate purchase price of $20,000, 20 shares of Series A Redeemable Convertible Preferred Stock and the Warrants (the “Private Placement”). Refer to Note 10, </w:t>
      </w:r>
      <w:r>
        <w:rPr>
          <w:rFonts w:ascii="Times New Roman" w:hAnsi="Times New Roman"/>
          <w:i/>
          <w:color w:val="000000"/>
          <w:sz w:val="20"/>
        </w:rPr>
        <w:t>Warrant Liabilities</w:t>
      </w:r>
      <w:r>
        <w:rPr>
          <w:rFonts w:ascii="Times New Roman" w:hAnsi="Times New Roman"/>
          <w:color w:val="000000"/>
          <w:sz w:val="20"/>
        </w:rPr>
        <w:t>, for more details related to the Warrants. The Series A Redeemable Convertible Preferred Stock is convertible into 7,940 shares of common stock at the election of NR-GRI.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is classified as temporary equity in the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pStyle w:val="TextBody"/>
        <w:bidi w:val="0"/>
        <w:spacing w:before="360" w:after="283"/>
        <w:jc w:val="both"/>
        <w:rPr>
          <w:rFonts w:ascii="Times New Roman" w:hAnsi="Times New Roman"/>
          <w:sz w:val="20"/>
        </w:rPr>
      </w:pPr>
      <w:r>
        <w:rPr>
          <w:rFonts w:ascii="Times New Roman" w:hAnsi="Times New Roman"/>
          <w:b/>
          <w:color w:val="000000"/>
          <w:sz w:val="20"/>
        </w:rPr>
        <w:t>Note 13. Stockholders’ 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single class of common stock in which stockholders are entitled to one vote for each share of common stock. No cash dividend was declared on common stock during the years ended December 31, 2025 and 2024. </w:t>
      </w:r>
    </w:p>
    <w:p>
      <w:pPr>
        <w:pStyle w:val="TextBody"/>
        <w:bidi w:val="0"/>
        <w:spacing w:before="360" w:after="283"/>
        <w:jc w:val="both"/>
        <w:rPr>
          <w:rFonts w:ascii="Times New Roman" w:hAnsi="Times New Roman"/>
          <w:sz w:val="20"/>
        </w:rPr>
      </w:pPr>
      <w:r>
        <w:rPr>
          <w:rFonts w:ascii="Times New Roman" w:hAnsi="Times New Roman"/>
          <w:b/>
          <w:color w:val="000000"/>
          <w:sz w:val="20"/>
        </w:rPr>
        <w:t>Note 14.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Stock-Based Incentive Plans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2020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December 31, 2025, the Company has reserved a total of 6,133 shares of common stock for issuance under the 2020 Plan.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The Inducement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or her commencement of employment with the Company and such grant is an inducement material to his or her entering into employment with the Company.</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A summary of the shares available for issuance under the 2020 Plan and Inducement Plan (collectively, the “Incentive Plans”) is as follows:</w:t>
      </w:r>
    </w:p>
    <w:tbl>
      <w:tblPr>
        <w:tblW w:w="5525" w:type="dxa"/>
        <w:jc w:val="left"/>
        <w:tblInd w:w="0" w:type="dxa"/>
        <w:tblLayout w:type="fixed"/>
        <w:tblCellMar>
          <w:top w:w="28" w:type="dxa"/>
          <w:left w:w="28" w:type="dxa"/>
          <w:bottom w:w="28" w:type="dxa"/>
          <w:right w:w="28" w:type="dxa"/>
        </w:tblCellMar>
      </w:tblPr>
      <w:tblGrid>
        <w:gridCol w:w="2596"/>
        <w:gridCol w:w="146"/>
        <w:gridCol w:w="195"/>
        <w:gridCol w:w="645"/>
        <w:gridCol w:w="166"/>
        <w:gridCol w:w="146"/>
        <w:gridCol w:w="339"/>
        <w:gridCol w:w="981"/>
        <w:gridCol w:w="3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 Plan</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 award activity under the Incentive Plans is set forth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93"/>
        <w:gridCol w:w="146"/>
        <w:gridCol w:w="208"/>
        <w:gridCol w:w="816"/>
        <w:gridCol w:w="166"/>
        <w:gridCol w:w="146"/>
        <w:gridCol w:w="419"/>
        <w:gridCol w:w="1142"/>
        <w:gridCol w:w="146"/>
        <w:gridCol w:w="146"/>
        <w:gridCol w:w="723"/>
        <w:gridCol w:w="1794"/>
        <w:gridCol w:w="146"/>
        <w:gridCol w:w="146"/>
        <w:gridCol w:w="326"/>
        <w:gridCol w:w="1046"/>
        <w:gridCol w:w="196"/>
      </w:tblGrid>
      <w:tr>
        <w:trPr/>
        <w:tc>
          <w:tcPr>
            <w:tcW w:w="2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weighted average grant date fair value of options granted during the years ended December 31, 2025 and 2024 was $6.58 and $2.56, respectively. The total fair value of options vested during the years ended December 31, 2025 </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and 2024 was approximately $837 and $1,531, respectively. Total unrecognized compensation expense of $234 related to stock options will be recognized over a weighted average period of 1.1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and vested as of December 31, 2025:</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66"/>
        <w:gridCol w:w="146"/>
        <w:gridCol w:w="247"/>
        <w:gridCol w:w="972"/>
        <w:gridCol w:w="146"/>
        <w:gridCol w:w="146"/>
        <w:gridCol w:w="626"/>
        <w:gridCol w:w="1551"/>
        <w:gridCol w:w="146"/>
        <w:gridCol w:w="146"/>
        <w:gridCol w:w="434"/>
        <w:gridCol w:w="959"/>
        <w:gridCol w:w="146"/>
        <w:gridCol w:w="146"/>
        <w:gridCol w:w="233"/>
        <w:gridCol w:w="916"/>
        <w:gridCol w:w="146"/>
        <w:gridCol w:w="146"/>
        <w:gridCol w:w="434"/>
        <w:gridCol w:w="959"/>
        <w:gridCol w:w="194"/>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$2.15 - $3.10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$3.27 - $5.95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$6.07 - $13.48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stock-options using the Black-Scholes option pricing model. The fair value of employee and non-employee stock options is being amortized on a straight-line basis over the requisite service period of the awards. The fair value of employee and non-employee stock options was estimated using the following assumptions for the years ended December 31, 2025 and 2024:</w:t>
      </w:r>
    </w:p>
    <w:tbl>
      <w:tblPr>
        <w:tblW w:w="6059" w:type="dxa"/>
        <w:jc w:val="left"/>
        <w:tblInd w:w="0" w:type="dxa"/>
        <w:tblLayout w:type="fixed"/>
        <w:tblCellMar>
          <w:top w:w="28" w:type="dxa"/>
          <w:left w:w="28" w:type="dxa"/>
          <w:bottom w:w="28" w:type="dxa"/>
          <w:right w:w="28" w:type="dxa"/>
        </w:tblCellMar>
      </w:tblPr>
      <w:tblGrid>
        <w:gridCol w:w="1876"/>
        <w:gridCol w:w="1996"/>
        <w:gridCol w:w="146"/>
        <w:gridCol w:w="2041"/>
      </w:tblGrid>
      <w:tr>
        <w:trPr/>
        <w:tc>
          <w:tcPr>
            <w:tcW w:w="187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3.6 - 4.6%</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58 - 61%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Company’s stock-based compensation awards was based on an index of the expected terms of a group of comparable publicly-traded medical device and other peer companies, which the Company believed was representative of the expected term of its awards. </w:t>
      </w:r>
    </w:p>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units granted to employees and non-employees generally vest over one to four years in regular increments. The fair value of restricted stock units is based on the Company’s closing stock price on the date of grant.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Restricted stock unit and performance stock unit activity under the Incentive Plans is set forth below:</w:t>
      </w:r>
    </w:p>
    <w:tbl>
      <w:tblPr>
        <w:tblW w:w="5857" w:type="dxa"/>
        <w:jc w:val="left"/>
        <w:tblInd w:w="0" w:type="dxa"/>
        <w:tblLayout w:type="fixed"/>
        <w:tblCellMar>
          <w:top w:w="28" w:type="dxa"/>
          <w:left w:w="28" w:type="dxa"/>
          <w:bottom w:w="28" w:type="dxa"/>
          <w:right w:w="28" w:type="dxa"/>
        </w:tblCellMar>
      </w:tblPr>
      <w:tblGrid>
        <w:gridCol w:w="2866"/>
        <w:gridCol w:w="146"/>
        <w:gridCol w:w="225"/>
        <w:gridCol w:w="742"/>
        <w:gridCol w:w="256"/>
        <w:gridCol w:w="225"/>
        <w:gridCol w:w="325"/>
        <w:gridCol w:w="88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br/>
              <w: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total fair value of restricted stock units vested during the year ended December 31, 2025 and 2024 was $1,286 and $723, respectively. </w:t>
      </w:r>
      <w:r>
        <w:rPr>
          <w:rFonts w:ascii="Times New Roman" w:hAnsi="Times New Roman"/>
          <w:color w:val="231F20"/>
          <w:sz w:val="20"/>
        </w:rPr>
        <w:t>At December 31, 2025, there was approximately $4,225 of total unrecognized compensation expense related to restricted stock units and performance stock units, which is expected to be recognized over a weighted-average period of 2.4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As of December 31, 2025, the Company has reserved 681 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494 shares of common stock have been issued to employees participating in the 2020 ESPP and 187 shares were available for future issuance under the 2020 ESPP. The grant date fair value of the shares to be issued under the Company’s 2020 ESPP was estimated using the Black-Scholes valuation model.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following table sets forth the total stock-based compensation expense recognized under the Incentive Plans and the 2020 ESPP in the Company’s statements of operations:</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3736"/>
        <w:gridCol w:w="146"/>
        <w:gridCol w:w="226"/>
        <w:gridCol w:w="614"/>
        <w:gridCol w:w="157"/>
        <w:gridCol w:w="157"/>
        <w:gridCol w:w="226"/>
        <w:gridCol w:w="614"/>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Total unrecognized stock-based compensation expense is expected to be amortized as follows:</w:t>
      </w:r>
    </w:p>
    <w:p>
      <w:pPr>
        <w:pStyle w:val="TextBody"/>
        <w:bidi w:val="0"/>
        <w:jc w:val="left"/>
        <w:rPr/>
      </w:pPr>
      <w:r>
        <w:rPr/>
        <w:t> </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included in this table are based on restricted stock units, performance stock units, and stock options outstanding at December 31, 2025 and assumes the requisite service period is fulfilled for all awards outstanding. Actual stock-based compensation expense in future periods may vary from those reflected in the table.</w:t>
      </w:r>
    </w:p>
    <w:p>
      <w:pPr>
        <w:pStyle w:val="TextBody"/>
        <w:bidi w:val="0"/>
        <w:spacing w:before="360" w:after="283"/>
        <w:jc w:val="both"/>
        <w:rPr>
          <w:rFonts w:ascii="Times New Roman" w:hAnsi="Times New Roman"/>
          <w:sz w:val="20"/>
        </w:rPr>
      </w:pPr>
      <w:r>
        <w:rPr>
          <w:rFonts w:ascii="Times New Roman" w:hAnsi="Times New Roman"/>
          <w:b/>
          <w:color w:val="000000"/>
          <w:sz w:val="20"/>
        </w:rPr>
        <w:t>Note 15. 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financial reporting purposes, loss before income taxes includes the following components: </w:t>
      </w:r>
    </w:p>
    <w:p>
      <w:pPr>
        <w:pStyle w:val="TextBody"/>
        <w:bidi w:val="0"/>
        <w:jc w:val="both"/>
        <w:rPr/>
      </w:pPr>
      <w:r>
        <w:rPr/>
        <w:t> </w:t>
      </w:r>
    </w:p>
    <w:tbl>
      <w:tblPr>
        <w:tblW w:w="3764" w:type="dxa"/>
        <w:jc w:val="left"/>
        <w:tblInd w:w="0" w:type="dxa"/>
        <w:tblLayout w:type="fixed"/>
        <w:tblCellMar>
          <w:top w:w="28" w:type="dxa"/>
          <w:left w:w="28" w:type="dxa"/>
          <w:bottom w:w="28" w:type="dxa"/>
          <w:right w:w="28" w:type="dxa"/>
        </w:tblCellMar>
      </w:tblPr>
      <w:tblGrid>
        <w:gridCol w:w="1201"/>
        <w:gridCol w:w="146"/>
        <w:gridCol w:w="211"/>
        <w:gridCol w:w="736"/>
        <w:gridCol w:w="166"/>
        <w:gridCol w:w="146"/>
        <w:gridCol w:w="211"/>
        <w:gridCol w:w="736"/>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provision for income taxes for the years ended December 31, 2025 and 2024 consisted of the following: </w:t>
      </w:r>
    </w:p>
    <w:p>
      <w:pPr>
        <w:pStyle w:val="TextBody"/>
        <w:bidi w:val="0"/>
        <w:jc w:val="both"/>
        <w:rPr/>
      </w:pPr>
      <w:r>
        <w:rPr/>
        <w:t> </w:t>
      </w:r>
    </w:p>
    <w:tbl>
      <w:tblPr>
        <w:tblW w:w="5652" w:type="dxa"/>
        <w:jc w:val="left"/>
        <w:tblInd w:w="0" w:type="dxa"/>
        <w:tblLayout w:type="fixed"/>
        <w:tblCellMar>
          <w:top w:w="28" w:type="dxa"/>
          <w:left w:w="28" w:type="dxa"/>
          <w:bottom w:w="28" w:type="dxa"/>
          <w:right w:w="28" w:type="dxa"/>
        </w:tblCellMar>
      </w:tblPr>
      <w:tblGrid>
        <w:gridCol w:w="3121"/>
        <w:gridCol w:w="146"/>
        <w:gridCol w:w="299"/>
        <w:gridCol w:w="491"/>
        <w:gridCol w:w="207"/>
        <w:gridCol w:w="207"/>
        <w:gridCol w:w="299"/>
        <w:gridCol w:w="491"/>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has elected to prospectively adopt ASU 2023-09, </w:t>
      </w:r>
      <w:r>
        <w:rPr>
          <w:rFonts w:ascii="Times New Roman" w:hAnsi="Times New Roman"/>
          <w:i/>
          <w:color w:val="000000"/>
          <w:sz w:val="20"/>
        </w:rPr>
        <w:t>Income Taxes (Topic 740): Improvement to Income Tax Disclosures</w:t>
      </w:r>
      <w:r>
        <w:rPr>
          <w:rFonts w:ascii="Times New Roman" w:hAnsi="Times New Roman"/>
          <w:color w:val="000000"/>
          <w:sz w:val="20"/>
        </w:rPr>
        <w:t xml:space="preserve"> (“ASU 2023-09”) during the year ended December 31, 2025. A reconciliation of the income tax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provision computed using the U.S. statutory federal income tax rate compared to the income tax provision included in the statements of operations in accordance with ASU 2023-09 is as follows: </w:t>
      </w:r>
    </w:p>
    <w:tbl>
      <w:tblPr>
        <w:tblW w:w="8451" w:type="dxa"/>
        <w:jc w:val="left"/>
        <w:tblInd w:w="0" w:type="dxa"/>
        <w:tblLayout w:type="fixed"/>
        <w:tblCellMar>
          <w:top w:w="28" w:type="dxa"/>
          <w:left w:w="28" w:type="dxa"/>
          <w:bottom w:w="28" w:type="dxa"/>
          <w:right w:w="28" w:type="dxa"/>
        </w:tblCellMar>
      </w:tblPr>
      <w:tblGrid>
        <w:gridCol w:w="5431"/>
        <w:gridCol w:w="146"/>
        <w:gridCol w:w="262"/>
        <w:gridCol w:w="784"/>
        <w:gridCol w:w="206"/>
        <w:gridCol w:w="181"/>
        <w:gridCol w:w="181"/>
        <w:gridCol w:w="784"/>
        <w:gridCol w:w="47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changes in tax laws or rates enacted in the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reconciliation of the income tax provision computed using the U.S. statutory federal income tax rate compared to the income tax provision included in the statements of operations in accordance with guidance prior to ASU 2023-09 is as follows: </w:t>
      </w:r>
    </w:p>
    <w:tbl>
      <w:tblPr>
        <w:tblW w:w="6568" w:type="dxa"/>
        <w:jc w:val="left"/>
        <w:tblInd w:w="0" w:type="dxa"/>
        <w:tblLayout w:type="fixed"/>
        <w:tblCellMar>
          <w:top w:w="28" w:type="dxa"/>
          <w:left w:w="28" w:type="dxa"/>
          <w:bottom w:w="28" w:type="dxa"/>
          <w:right w:w="28" w:type="dxa"/>
        </w:tblCellMar>
      </w:tblPr>
      <w:tblGrid>
        <w:gridCol w:w="4216"/>
        <w:gridCol w:w="146"/>
        <w:gridCol w:w="500"/>
        <w:gridCol w:w="1495"/>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U.S. statutory rate on income before income</w:t>
              <w:br/>
              <w: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162(m)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Deferred tax assets and liabilities are determined based on the differences between financial reporting and income tax bases of assets and liabilities, as well as net operating loss carryforwards, and are measured using the enacted tax rates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and laws in effect when the differences are expected to reverse. The significant components of the Company’s net deferred tax assets and liabilities are as follows: </w:t>
      </w:r>
    </w:p>
    <w:p>
      <w:pPr>
        <w:pStyle w:val="TextBody"/>
        <w:bidi w:val="0"/>
        <w:jc w:val="both"/>
        <w:rPr/>
      </w:pPr>
      <w:r>
        <w:rPr/>
        <w:t> </w:t>
      </w:r>
    </w:p>
    <w:tbl>
      <w:tblPr>
        <w:tblW w:w="7474" w:type="dxa"/>
        <w:jc w:val="left"/>
        <w:tblInd w:w="0" w:type="dxa"/>
        <w:tblLayout w:type="fixed"/>
        <w:tblCellMar>
          <w:top w:w="28" w:type="dxa"/>
          <w:left w:w="28" w:type="dxa"/>
          <w:bottom w:w="28" w:type="dxa"/>
          <w:right w:w="28" w:type="dxa"/>
        </w:tblCellMar>
      </w:tblPr>
      <w:tblGrid>
        <w:gridCol w:w="4811"/>
        <w:gridCol w:w="146"/>
        <w:gridCol w:w="211"/>
        <w:gridCol w:w="736"/>
        <w:gridCol w:w="166"/>
        <w:gridCol w:w="146"/>
        <w:gridCol w:w="211"/>
        <w:gridCol w:w="736"/>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 - Section 382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Capitalization of research and experimentation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Section 481(a)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taxes paid, net of refunds received were not material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deferred tax assets associated with net operating losses included in the table above for the years ended December 31, 2025 and 2024 reflect the net operating losses the Company generated in previous years’ federal and state income tax returns in addition to losses the Company expects to generate on its federal and state income tax returns.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2024, the Company maintained U.S. federal net operating loss carryforwards of $52,559 and $37,673, respectively. As of December 31, 2025 and 2024, the Company also maintained state net operating loss carryforwards of $36,052 and $26,204, respectively. The U.S. federal net operating losses generated during years ended December 31, 2025 and 2024 (and not Code Section 382 limited; see below) may only be utilized to offset 80% of taxable income annually and may be carried forward indefinitely. Certain of the state net operating loss carryforwards generated will begin expiring in the year 2028, if not utilized.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our U.S. federal and state tax attributes are subject to change of ownership limitations provided by the Code and similar state provisions. In general, if the aggregate change in stock ownership of one or more stockholders or groups of stockholders owning at least 5% of a corporation’s stock exceeds 50 percentage points (by value) over a rolling three-year period (a “Section 382 ownership change”), utilization of such corporation’s pre-change NOL and credit carryforwards are subject to an annual limitation. The Company completed a Code Section 382 study through December 31, 2023 and determined that a Section 382 ownership change occurred on May 18, 2023 in connection with the Private Placement. At the time, the Company was in a net unrealized built-in loss position (“NUBIL”). The amount of pre-change NOL carryforwards which are subject to this limitation are $25,741.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Company determined that it continued to be more likely than not that certain deferred tax assets would not be realized in the near future and maintained a $26,142 valuation allowance against deferred tax assets. The net change in total valuation allowance between the years ended December 31, 2025 and 2024 was an increase of $5,867 and the net change between the years ended December 31, 2024 and 2023 was an increase of $2,404. The Company’s determination was based on its review and analysis of all the available evidence as of the balance sheet date, both positive and negative.</w:t>
      </w:r>
    </w:p>
    <w:p>
      <w:pPr>
        <w:pStyle w:val="TextBody"/>
        <w:bidi w:val="0"/>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uncertainty provisions of ASC 740 also require the Company to recognize the impact of a tax position in its financial statements only if the technical merits of that position indicate that the position is more likely than not of being sustained upon audit. During the years ended December 31, 2025 and 2024, the Company did not record a reserve for uncertain tax positions.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income tax returns for periods separate from the consolidation with PDL are subject to examination by U.S. federal, state and local tax authorities for tax years 2021 forward. The Company's separate state and local tax returns are generally not subject to examination by authorities for tax years prior to 2017; however, as we utilize our net operating loss carryforwards, prior years can be subject to examination from 2012 forward. The Company is not currently under examination in any significant tax jurisdictions. Interest and penalties associated with unrecognized tax benefits accrued on the balance sheet were $0 as of December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2017 Tax Cuts and Jobs Act required taxpayers to capitalize research and experimental (“R&amp;E”) expenditures effective for taxable years beginning after December 31, 2021. R&amp;E expenditures attributable to U.S.-based research were required to be amortized over a period of 5 years and R&amp;E expenditures attributable to research conducted outside of the U.S. were required to be amortized over a period of 15 years. On July 4, 2025, new U.S. tax legislation was signed into law (known as the “One Big Beautiful Bill Act”) which generally allows taxpayers to (i) immediately deduct R&amp;E expenditures attributable to U.S.-based research paid or incurred in taxable years beginning after December 31, 2024 and (ii) elect to accelerate, over a period of one or two years, any unamortized R&amp;E expenditures attributable to U.S.-based research incurred in taxable years beginning after December 31, 2021 and before January 1, 2025. These tax law changes have not had a material impact on the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Note 16.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reconciliation of the numerator (net loss) and the denominator (number of shares) used in the basic and diluted net loss per share calculations: </w:t>
      </w:r>
    </w:p>
    <w:p>
      <w:pPr>
        <w:pStyle w:val="TextBody"/>
        <w:bidi w:val="0"/>
        <w:jc w:val="both"/>
        <w:rPr/>
      </w:pPr>
      <w:r>
        <w:rPr/>
        <w:t> </w:t>
      </w:r>
    </w:p>
    <w:tbl>
      <w:tblPr>
        <w:tblW w:w="7004" w:type="dxa"/>
        <w:jc w:val="left"/>
        <w:tblInd w:w="0" w:type="dxa"/>
        <w:tblLayout w:type="fixed"/>
        <w:tblCellMar>
          <w:top w:w="28" w:type="dxa"/>
          <w:left w:w="28" w:type="dxa"/>
          <w:bottom w:w="28" w:type="dxa"/>
          <w:right w:w="28" w:type="dxa"/>
        </w:tblCellMar>
      </w:tblPr>
      <w:tblGrid>
        <w:gridCol w:w="4441"/>
        <w:gridCol w:w="146"/>
        <w:gridCol w:w="211"/>
        <w:gridCol w:w="736"/>
        <w:gridCol w:w="166"/>
        <w:gridCol w:w="146"/>
        <w:gridCol w:w="211"/>
        <w:gridCol w:w="73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basic net loss per share attributable to common stockholders is computed by dividing the net loss attributable to common stockholders by the weighted-average number of shares of common stock outstanding during the period.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periods presented because their effect was anti-dilutive:</w:t>
      </w:r>
    </w:p>
    <w:tbl>
      <w:tblPr>
        <w:tblW w:w="6455" w:type="dxa"/>
        <w:jc w:val="left"/>
        <w:tblInd w:w="0" w:type="dxa"/>
        <w:tblLayout w:type="fixed"/>
        <w:tblCellMar>
          <w:top w:w="28" w:type="dxa"/>
          <w:left w:w="28" w:type="dxa"/>
          <w:bottom w:w="28" w:type="dxa"/>
          <w:right w:w="28" w:type="dxa"/>
        </w:tblCellMar>
      </w:tblPr>
      <w:tblGrid>
        <w:gridCol w:w="4126"/>
        <w:gridCol w:w="146"/>
        <w:gridCol w:w="168"/>
        <w:gridCol w:w="660"/>
        <w:gridCol w:w="168"/>
        <w:gridCol w:w="168"/>
        <w:gridCol w:w="168"/>
        <w:gridCol w:w="660"/>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anti-dilutive weighted-average shares excluded from the diluted loss per share calculations were:</w:t>
      </w:r>
    </w:p>
    <w:tbl>
      <w:tblPr>
        <w:tblW w:w="6455" w:type="dxa"/>
        <w:jc w:val="left"/>
        <w:tblInd w:w="0" w:type="dxa"/>
        <w:tblLayout w:type="fixed"/>
        <w:tblCellMar>
          <w:top w:w="28" w:type="dxa"/>
          <w:left w:w="28" w:type="dxa"/>
          <w:bottom w:w="28" w:type="dxa"/>
          <w:right w:w="28" w:type="dxa"/>
        </w:tblCellMar>
      </w:tblPr>
      <w:tblGrid>
        <w:gridCol w:w="4126"/>
        <w:gridCol w:w="146"/>
        <w:gridCol w:w="150"/>
        <w:gridCol w:w="696"/>
        <w:gridCol w:w="150"/>
        <w:gridCol w:w="150"/>
        <w:gridCol w:w="150"/>
        <w:gridCol w:w="69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12,827</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17. 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December 31, 2025 and 2024, 99% and 98% of long-lived assets were in the United States, respectively. Revenue is attributed to a geographic region based on the location of the customer, refer to Note 3, </w:t>
      </w:r>
      <w:r>
        <w:rPr>
          <w:rFonts w:ascii="Times New Roman" w:hAnsi="Times New Roman"/>
          <w:i/>
          <w:color w:val="000000"/>
          <w:sz w:val="20"/>
        </w:rPr>
        <w:t>Revenue from Contracts with Customers</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reconciliation of significant segment expenses to net loss is below:</w:t>
      </w:r>
    </w:p>
    <w:tbl>
      <w:tblPr>
        <w:tblW w:w="6299" w:type="dxa"/>
        <w:jc w:val="left"/>
        <w:tblInd w:w="0" w:type="dxa"/>
        <w:tblLayout w:type="fixed"/>
        <w:tblCellMar>
          <w:top w:w="28" w:type="dxa"/>
          <w:left w:w="28" w:type="dxa"/>
          <w:bottom w:w="28" w:type="dxa"/>
          <w:right w:w="28" w:type="dxa"/>
        </w:tblCellMar>
      </w:tblPr>
      <w:tblGrid>
        <w:gridCol w:w="3656"/>
        <w:gridCol w:w="146"/>
        <w:gridCol w:w="211"/>
        <w:gridCol w:w="736"/>
        <w:gridCol w:w="166"/>
        <w:gridCol w:w="146"/>
        <w:gridCol w:w="211"/>
        <w:gridCol w:w="736"/>
        <w:gridCol w:w="2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research and development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sales and marketing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general and administrative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deducts personnel expense, stock-based compensation expense, depreciation expense, and amortization expense from GAAP expenses to arrive at other costs and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18.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Supreme Court Tariff Ruling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2026, the Supreme Court of the U.S.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The U.S. presidential administration subsequently invoked additional tariffs under other laws resulting in a rapidly changing tariff environment. At this time the Company cannot reasonably estimate the total </w:t>
      </w:r>
    </w:p>
    <w:p>
      <w:pPr>
        <w:pStyle w:val="TextBody"/>
        <w:bidi w:val="0"/>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impact of this ruling, however it, and any additional tariffs, may materially affect the Company’s future results of operations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Priority Credit Line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the Company entered into a Priority Credit Line Agreement (the “PCL Agreement”) with Wells Fargo Bank, N.A (“Wells Fargo”). The PCL Agreement provides for a revolving, non-purpose margin credit facility, secured by a first-priority lien on a designated brokerage account maintained at Wells Fargo (the “Collateral Account”). Based on the collateral value in the Collateral Account, the Company is permitted to borrow 90-95% of the Collateral Account value under the PCL Agreement. Borrowings under the PCL Agreement bear interest, at the Company’s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Termination of Merger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16, 2026, the Company entered into a Termination and Mutual Release Agreement (the “Termination Agreement”) with Alcon and Merger Sub, pursuant to which the parties agreed that the Merger Agreement was terminated, effective immediately. Pursuant to the Termination Agreement, Alcon agreed that the Company will retain the Merger Deposit of $10,000, which is classified as a current liability on the balance sheet at December 31, 2025. The parties also agreed to release each other from claims, demands, damages, actions, causes of action and liability relating to or arising out of the Merger Agreement and the transactions contemplated therein or thereby. The Merger Deposit will be recorded as Other Income for the three months ending March 31, 2026. At December 31, 2025, the Company had incurred acquisition-related costs of approximately $17,141, of which $13,806 was classified as accounts payable and $180 was classified as accrued liabilities on the balance sheet at December 31, 2025. Certain amounts of these acquisition-related costs were contingent upon the successful closing of the Merger. During the three months ending March 31, 2026, the Company will reduce acquisition-related costs and accounts payable by approximately $4,300. Furthermore, during the three months ending March 31, 2026, $5,000 of accounts payable will be reclassified from current to long-term based upon extended payment terms provided by the Company’s acquisition advisers.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spacing w:before="480" w:after="283"/>
        <w:jc w:val="right"/>
        <w:rPr>
          <w:rFonts w:ascii="Times New Roman" w:hAnsi="Times New Roman"/>
          <w:b/>
          <w:color w:val="000000"/>
          <w:sz w:val="20"/>
        </w:rPr>
      </w:pPr>
      <w:bookmarkStart w:id="41" w:name="lnsr-ex23_1.htm"/>
      <w:bookmarkStart w:id="42" w:name="kslnsrex23_1"/>
      <w:bookmarkEnd w:id="41"/>
      <w:bookmarkEnd w:id="42"/>
      <w:r>
        <w:rPr>
          <w:rFonts w:ascii="Times New Roman" w:hAnsi="Times New Roman"/>
          <w:b/>
          <w:color w:val="000000"/>
          <w:sz w:val="20"/>
        </w:rPr>
        <w:t>Exhibit 23.1</w:t>
      </w:r>
      <w:r>
        <w:br w:type="page"/>
      </w:r>
    </w:p>
    <w:p>
      <w:pPr>
        <w:pStyle w:val="TextBody"/>
        <w:bidi w:val="0"/>
        <w:spacing w:before="24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333-272930) and Form S-8 (Nos. 333-249323, 333-263276, 333-270703, 333-277665 and 333-285465) of LENSAR Inc. of our report dated March 31, 2026 relating to the financial statements, which appears in this Form 10-K.</w:t>
      </w:r>
    </w:p>
    <w:p>
      <w:pPr>
        <w:pStyle w:val="TextBody"/>
        <w:bidi w:val="0"/>
        <w:spacing w:before="0" w:after="12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PricewaterhouseCoopers LLP</w:t>
        <w:br/>
        <w:t>Raleigh, North Carolina</w:t>
        <w:br/>
        <w:t>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lnsr-ex31_1.htm"/>
      <w:bookmarkStart w:id="44" w:name="kslnsrex31_1"/>
      <w:bookmarkEnd w:id="43"/>
      <w:bookmarkEnd w:id="4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T. Curtis,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LENSAR,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1891"/>
        <w:gridCol w:w="146"/>
        <w:gridCol w:w="406"/>
        <w:gridCol w:w="259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lnsr-ex31_2.htm"/>
      <w:bookmarkStart w:id="46" w:name="kslnsrex31_2"/>
      <w:bookmarkEnd w:id="45"/>
      <w:bookmarkEnd w:id="4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R. Staab, 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LENSAR,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1891"/>
        <w:gridCol w:w="146"/>
        <w:gridCol w:w="406"/>
        <w:gridCol w:w="256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lnsr-ex32_1.htm"/>
      <w:bookmarkStart w:id="48" w:name="kslnsrex32_1"/>
      <w:bookmarkEnd w:id="47"/>
      <w:bookmarkEnd w:id="4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aps/>
          <w:color w:val="000000"/>
          <w:sz w:val="20"/>
        </w:rPr>
      </w:pPr>
      <w:r>
        <w:rPr>
          <w:rFonts w:ascii="Times New Roman" w:hAnsi="Times New Roman"/>
          <w:b/>
          <w:caps/>
          <w:color w:val="000000"/>
          <w:sz w:val="20"/>
        </w:rPr>
        <w:t>18 U.S.C. SECTION 1350, AS ADOPTED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LENSAR, Inc. (the “Company”) on Form 10-K for the fiscal year ended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1891"/>
        <w:gridCol w:w="146"/>
        <w:gridCol w:w="406"/>
        <w:gridCol w:w="259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lnsr-ex32_2.htm"/>
      <w:bookmarkStart w:id="50" w:name="kslnsrex32_2"/>
      <w:bookmarkEnd w:id="49"/>
      <w:bookmarkEnd w:id="50"/>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aps/>
          <w:color w:val="000000"/>
          <w:sz w:val="20"/>
        </w:rPr>
      </w:pPr>
      <w:r>
        <w:rPr>
          <w:rFonts w:ascii="Times New Roman" w:hAnsi="Times New Roman"/>
          <w:b/>
          <w:caps/>
          <w:color w:val="000000"/>
          <w:sz w:val="20"/>
        </w:rPr>
        <w:t>18 U.S.C. SECTION 1350, AS ADOPTED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LENSAR, Inc. (the “Company”) on Form 10-K for the fiscal year ended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1891"/>
        <w:gridCol w:w="146"/>
        <w:gridCol w:w="406"/>
        <w:gridCol w:w="256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320350/000156459021018202/lnsr-ex12_280.htm" TargetMode="External"/><Relationship Id="rId4" Type="http://schemas.openxmlformats.org/officeDocument/2006/relationships/hyperlink" Target="https://www.sec.gov/Archives/edgar/data/1320350/000119312520262511/d98252dex21.htm" TargetMode="External"/><Relationship Id="rId5" Type="http://schemas.openxmlformats.org/officeDocument/2006/relationships/hyperlink" Target="https://www.sec.gov/Archives/edgar/data/1320350/000119312525060906/d933651dex21.htm" TargetMode="External"/><Relationship Id="rId6" Type="http://schemas.openxmlformats.org/officeDocument/2006/relationships/hyperlink" Target="https://www.sec.gov/Archives/edgar/data/1320350/000119312520262511/d98252dex31.htm" TargetMode="External"/><Relationship Id="rId7" Type="http://schemas.openxmlformats.org/officeDocument/2006/relationships/hyperlink" Target="https://www.sec.gov/Archives/edgar/data/1320350/000095017024123534/lnsr-ex3_2.htm" TargetMode="External"/><Relationship Id="rId8" Type="http://schemas.openxmlformats.org/officeDocument/2006/relationships/hyperlink" Target="https://www.sec.gov/Archives/edgar/data/1320350/000119312523148214/d487803dex31.htm" TargetMode="External"/><Relationship Id="rId9" Type="http://schemas.openxmlformats.org/officeDocument/2006/relationships/hyperlink" Target="https://www.sec.gov/Archives/edgar/data/1320350/000119312520245277/d945311dex41.htm" TargetMode="External"/><Relationship Id="rId10" Type="http://schemas.openxmlformats.org/officeDocument/2006/relationships/hyperlink" Target="https://www.sec.gov/Archives/edgar/data/1320350/000095017024024807/lnsr-ex4_2.htm" TargetMode="External"/><Relationship Id="rId11" Type="http://schemas.openxmlformats.org/officeDocument/2006/relationships/hyperlink" Target="https://www.sec.gov/Archives/edgar/data/1320350/000119312523148214/d487803dex101.htm" TargetMode="External"/><Relationship Id="rId12" Type="http://schemas.openxmlformats.org/officeDocument/2006/relationships/hyperlink" Target="https://www.sec.gov/Archives/edgar/data/1320350/000119312523148214/d487803dex41.htm" TargetMode="External"/><Relationship Id="rId13" Type="http://schemas.openxmlformats.org/officeDocument/2006/relationships/hyperlink" Target="https://www.sec.gov/Archives/edgar/data/1320350/000119312523148214/d487803dex42.htm" TargetMode="External"/><Relationship Id="rId14" Type="http://schemas.openxmlformats.org/officeDocument/2006/relationships/hyperlink" Target="https://www.sec.gov/Archives/edgar/data/1320350/000119312520262511/d98252dex101.htm" TargetMode="External"/><Relationship Id="rId15" Type="http://schemas.openxmlformats.org/officeDocument/2006/relationships/hyperlink" Target="https://www.sec.gov/Archives/edgar/data/1320350/000119312520262511/d98252dex102.htm" TargetMode="External"/><Relationship Id="rId16" Type="http://schemas.openxmlformats.org/officeDocument/2006/relationships/hyperlink" Target="https://www.sec.gov/Archives/edgar/data/0001320350/000119312520263983/d39101dex101.htm" TargetMode="External"/><Relationship Id="rId17" Type="http://schemas.openxmlformats.org/officeDocument/2006/relationships/hyperlink" Target="https://www.sec.gov/Archives/edgar/data/0001320350/000119312520263983/d39101dex102.htm" TargetMode="External"/><Relationship Id="rId18" Type="http://schemas.openxmlformats.org/officeDocument/2006/relationships/hyperlink" Target="https://www.sec.gov/Archives/edgar/data/1320350/000156459022008556/lnsr-ex105_9.htm" TargetMode="External"/><Relationship Id="rId19" Type="http://schemas.openxmlformats.org/officeDocument/2006/relationships/hyperlink" Target="https://www.sec.gov/Archives/edgar/data/1320350/000156459022008556/lnsr-ex106_6.htm" TargetMode="External"/><Relationship Id="rId20" Type="http://schemas.openxmlformats.org/officeDocument/2006/relationships/hyperlink" Target="https://www.sec.gov/Archives/edgar/data/1320350/000095017024056837/lnsr-ex10_2.htm" TargetMode="External"/><Relationship Id="rId21" Type="http://schemas.openxmlformats.org/officeDocument/2006/relationships/hyperlink" Target="https://www.sec.gov/Archives/edgar/data/1320350/000095017024056837/lnsr-ex10_3.htm" TargetMode="External"/><Relationship Id="rId22" Type="http://schemas.openxmlformats.org/officeDocument/2006/relationships/hyperlink" Target="https://www.sec.gov/Archives/edgar/data/1320350/000119312520245277/d945311dex105.htm" TargetMode="External"/><Relationship Id="rId23" Type="http://schemas.openxmlformats.org/officeDocument/2006/relationships/hyperlink" Target="https://www.sec.gov/Archives/edgar/data/1320350/000095017024020190/lnsr-ex10_1.htm" TargetMode="External"/><Relationship Id="rId24" Type="http://schemas.openxmlformats.org/officeDocument/2006/relationships/hyperlink" Target="https://www.sec.gov/Archives/edgar/data/1320350/000095017024020190/lnsr-ex10_1.htm" TargetMode="External"/><Relationship Id="rId25" Type="http://schemas.openxmlformats.org/officeDocument/2006/relationships/hyperlink" Target="https://www.sec.gov/Archives/edgar/data/1320350/000095017024020190/lnsr-ex10_2.htm" TargetMode="External"/><Relationship Id="rId26" Type="http://schemas.openxmlformats.org/officeDocument/2006/relationships/hyperlink" Target="https://www.sec.gov/Archives/edgar/data/1320350/000095017024020190/lnsr-ex10_2.htm" TargetMode="External"/><Relationship Id="rId27" Type="http://schemas.openxmlformats.org/officeDocument/2006/relationships/hyperlink" Target="https://www.sec.gov/Archives/edgar/data/1320350/000095017024020190/lnsr-ex10_3.htm" TargetMode="External"/><Relationship Id="rId28" Type="http://schemas.openxmlformats.org/officeDocument/2006/relationships/hyperlink" Target="https://www.sec.gov/Archives/edgar/data/1320350/000095017024056837/lnsr-ex10_1.htm" TargetMode="External"/><Relationship Id="rId29" Type="http://schemas.openxmlformats.org/officeDocument/2006/relationships/hyperlink" Target="https://www.sec.gov/Archives/edgar/data/1320350/000119312520230231/d945311dex106.htm" TargetMode="External"/><Relationship Id="rId30" Type="http://schemas.openxmlformats.org/officeDocument/2006/relationships/hyperlink" Target="https://www.sec.gov/Archives/edgar/data/1320350/000119312520230231/d945311dex107.htm" TargetMode="External"/><Relationship Id="rId31" Type="http://schemas.openxmlformats.org/officeDocument/2006/relationships/hyperlink" Target="https://www.sec.gov/Archives/edgar/data/1320350/000119312520230231/d945311dex108.htm" TargetMode="External"/><Relationship Id="rId32" Type="http://schemas.openxmlformats.org/officeDocument/2006/relationships/hyperlink" Target="https://www.sec.gov/Archives/edgar/data/1320350/000119312520230231/d945311dex109.htm" TargetMode="External"/><Relationship Id="rId33" Type="http://schemas.openxmlformats.org/officeDocument/2006/relationships/hyperlink" Target="https://www.sec.gov/Archives/edgar/data/1320350/000119312525269428/lnsr-ex10_1.htm" TargetMode="External"/><Relationship Id="rId34" Type="http://schemas.openxmlformats.org/officeDocument/2006/relationships/hyperlink" Target="https://www.sec.gov/Archives/edgar/data/1320350/000119312523144213/d510326dex101.htm" TargetMode="External"/><Relationship Id="rId35" Type="http://schemas.openxmlformats.org/officeDocument/2006/relationships/hyperlink" Target="https://www.sec.gov/Archives/edgar/data/1320350/000119312523148214/d487803dex101.htm" TargetMode="External"/><Relationship Id="rId36" Type="http://schemas.openxmlformats.org/officeDocument/2006/relationships/hyperlink" Target="https://www.sec.gov/Archives/edgar/data/1320350/000119312526109458/d27242dex101.htm" TargetMode="External"/><Relationship Id="rId37" Type="http://schemas.openxmlformats.org/officeDocument/2006/relationships/hyperlink" Target="https://www.sec.gov/Archives/edgar/data/1320350/000095017025029003/lnsr-ex19_1.htm" TargetMode="External"/><Relationship Id="rId38" Type="http://schemas.openxmlformats.org/officeDocument/2006/relationships/hyperlink" Target="https://www.sec.gov/Archives/edgar/data/1320350/000156459021012594/lnsr-ex211_310.htm" TargetMode="External"/><Relationship Id="rId39" Type="http://schemas.openxmlformats.org/officeDocument/2006/relationships/hyperlink" Target="https://www.sec.gov/Archives/edgar/data/1320350/000095017024024807/lnsr-ex97_1.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80235</Words>
  <Characters>446799</Characters>
  <CharactersWithSpaces>527539</CharactersWithSpaces>
  <Paragraphs>8337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