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ashington</w:t>
      </w:r>
      <w:r>
        <w:rPr>
          <w:rFonts w:ascii="Times New Roman" w:cs="Times New Roman" w:eastAsia="Times New Roman" w:hAnsi="Times New Roman"/>
          <w:sz w:val="18"/>
          <w:szCs w:val="18"/>
          <w:b w:val="1"/>
          <w:bCs w:val="1"/>
          <w:color w:val="auto"/>
        </w:rPr>
        <w:t>,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74295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820" w:right="3800" w:hanging="3812"/>
        <w:spacing w:after="0" w:line="253" w:lineRule="auto"/>
        <w:tabs>
          <w:tab w:leader="none" w:pos="3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634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60"/>
        </w:trPr>
        <w:tc>
          <w:tcPr>
            <w:tcW w:w="336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001-39473</w:t>
            </w: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475"/>
        </w:trPr>
        <w:tc>
          <w:tcPr>
            <w:tcW w:w="33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rPr>
              <w:t>LENSAR, INC.</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90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318"/>
        </w:trPr>
        <w:tc>
          <w:tcPr>
            <w:tcW w:w="6340" w:type="dxa"/>
            <w:vAlign w:val="bottom"/>
            <w:gridSpan w:val="2"/>
          </w:tcPr>
          <w:p>
            <w:pPr>
              <w:jc w:val="center"/>
              <w:ind w:right="19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32-0125724</w:t>
            </w:r>
          </w:p>
        </w:tc>
      </w:tr>
      <w:tr>
        <w:trPr>
          <w:trHeight w:val="243"/>
        </w:trPr>
        <w:tc>
          <w:tcPr>
            <w:tcW w:w="6340" w:type="dxa"/>
            <w:vAlign w:val="bottom"/>
            <w:gridSpan w:val="2"/>
          </w:tcPr>
          <w:p>
            <w:pPr>
              <w:jc w:val="center"/>
              <w:ind w:right="1905"/>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536-7271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LNSR</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74295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30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2024, there were 11,396,950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9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 Summary</w:t>
            </w:r>
          </w:p>
        </w:tc>
        <w:tc>
          <w:tcPr>
            <w:tcW w:w="20" w:type="dxa"/>
            <w:vAlign w:val="bottom"/>
            <w:tcBorders>
              <w:top w:val="single" w:sz="8" w:color="0000FF"/>
              <w:bottom w:val="single" w:sz="8" w:color="0000EE"/>
            </w:tcBorders>
          </w:tcPr>
          <w:p>
            <w:pPr>
              <w:spacing w:after="0"/>
              <w:rPr>
                <w:sz w:val="21"/>
                <w:szCs w:val="21"/>
                <w:color w:val="auto"/>
              </w:rPr>
            </w:pPr>
          </w:p>
        </w:tc>
        <w:tc>
          <w:tcPr>
            <w:tcW w:w="500" w:type="dxa"/>
            <w:vAlign w:val="bottom"/>
            <w:tcBorders>
              <w:top w:val="single" w:sz="8" w:color="0000FF"/>
            </w:tcBorders>
            <w:gridSpan w:val="4"/>
          </w:tcPr>
          <w:p>
            <w:pPr>
              <w:spacing w:after="0"/>
              <w:rPr>
                <w:sz w:val="21"/>
                <w:szCs w:val="21"/>
                <w:color w:val="auto"/>
              </w:rPr>
            </w:pPr>
          </w:p>
        </w:tc>
        <w:tc>
          <w:tcPr>
            <w:tcW w:w="696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r>
      <w:tr>
        <w:trPr>
          <w:trHeight w:val="263"/>
        </w:trPr>
        <w:tc>
          <w:tcPr>
            <w:tcW w:w="20" w:type="dxa"/>
            <w:vAlign w:val="bottom"/>
          </w:tcPr>
          <w:p>
            <w:pPr>
              <w:spacing w:after="0"/>
              <w:rPr>
                <w:sz w:val="22"/>
                <w:szCs w:val="22"/>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80" w:type="dxa"/>
            <w:vAlign w:val="bottom"/>
            <w:tcBorders>
              <w:top w:val="single" w:sz="8" w:color="0000FF"/>
            </w:tcBorders>
            <w:gridSpan w:val="3"/>
          </w:tcPr>
          <w:p>
            <w:pPr>
              <w:spacing w:after="0"/>
              <w:rPr>
                <w:sz w:val="21"/>
                <w:szCs w:val="21"/>
                <w:color w:val="auto"/>
              </w:rPr>
            </w:pPr>
          </w:p>
        </w:tc>
        <w:tc>
          <w:tcPr>
            <w:tcW w:w="19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080" w:type="dxa"/>
            <w:vAlign w:val="bottom"/>
            <w:gridSpan w:val="11"/>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Operations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Balance Sheets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Cash Flows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Changes in Redeemable Convertible Preferred Stock and Stockholders’ Equity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the Condensed Financial Statements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80" w:type="dxa"/>
            <w:vAlign w:val="bottom"/>
            <w:tcBorders>
              <w:top w:val="single" w:sz="8" w:color="0000FF"/>
            </w:tcBorders>
            <w:gridSpan w:val="3"/>
          </w:tcPr>
          <w:p>
            <w:pPr>
              <w:spacing w:after="0"/>
              <w:rPr>
                <w:sz w:val="21"/>
                <w:szCs w:val="21"/>
                <w:color w:val="auto"/>
              </w:rPr>
            </w:pPr>
          </w:p>
        </w:tc>
        <w:tc>
          <w:tcPr>
            <w:tcW w:w="16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80" w:type="dxa"/>
            <w:vAlign w:val="bottom"/>
            <w:gridSpan w:val="13"/>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8"/>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8"/>
            <w:shd w:val="clear" w:color="auto" w:fill="0000FF"/>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8"/>
            <w:shd w:val="clear" w:color="auto" w:fill="0000FF"/>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730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80" w:type="dxa"/>
            <w:vAlign w:val="bottom"/>
            <w:gridSpan w:val="3"/>
          </w:tcPr>
          <w:p>
            <w:pPr>
              <w:spacing w:after="0"/>
              <w:rPr>
                <w:sz w:val="21"/>
                <w:szCs w:val="21"/>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3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spacing w:after="0" w:line="7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ability to achieve or sustain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and maintain regulatory clearance or certification of and successfully commercialize the ALLY System and to maintain our LENSAR Laser System;</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results of operations and our suppliers and distributors as a result of global macroeconomic conditions;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the price difference for our products compared to a standard cataract procedure covered by Medicare or other insurance;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 sales and marketing organization or maintain or grow an effective network of international distributors;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ability to raise additional funds on acceptable terms, or at all;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a material disruption to the supply or manufacture of our systems or necessary component parts for such system or material inflationary pressures affecting pricing of component parts;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competitors that have longer operating histories, more established products and greater resources than we do;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numerous risks associated with marketing, selling and leasing our products in markets outside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exposure to the credit risk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our inventory levels;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if we are unable to secure adequate coverage or reimbursement by government or other third-party payors for procedures using our ALLY System or our other future products, or changes in such coverage or reimbursement;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of product liability suits brought against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applicable to our products and operations;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 and other intellectual property matters.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or the context requires otherwise, references to “LENSAR,” the “Company,” “we,” “us,” and “our,” refer to LENSAR,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registered rights to certain trademarks, trade names, copyrights and other intellectual property used in our business, including LENSAR, the LENSAR logo, STREAMLINE, INTELLIAXIS, INTELLIAXIS REFRACTIVE CAPSULORHEXIS, ALLY Adaptive Cataract Treatment System, and the ALLY Adaptive Cataract Treatment System logo, each of which is considered a trademark. All other company names, product names, trade names and trademarks included in this Quarterly Report are trademarks, registered trademarks or trade names of their respective owners.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in the past, and could be in the future, adversely affected by economic uncertainty or deteriorations in economic conditions.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operating losses for the near-term future and we cannot assure you that we will be able to generate sufficient revenue to achieve or sustain profitability.</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derived our revenue from the sale or lease of our LENSAR Laser and ALLY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gain regulatory clearances and certifications, as well as our ability to meet production goals for our ALLY System.</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and such funds may not be available on acceptable terms or at all.</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compete, and expect to compete in the future against other companies, some of which have longer operating histories, more established products or greater resources than we do.</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sell and lease our products in markets outside of the United States, we must address many international business risks with which we have limited experience.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necessary clearances, certifications or approvals for our ALLY System and future products or modifications to our current products would adversely affect our ability to grow our business.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 (exclusive of amortization)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Service</w:t>
            </w:r>
          </w:p>
        </w:tc>
        <w:tc>
          <w:tcPr>
            <w:tcW w:w="10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cost of revenue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(2,850 )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(4,361 )</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(2,157 )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(4,272 )</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unrealized loss on investments</w:t>
            </w: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7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(2,162 )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(4,272 )</w:t>
            </w: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common share:</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(0.19 )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(0.40 )</w:t>
            </w: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number of common shares used in calculation of net loss per share:</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-3188335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-814070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of $44 and $62, respectively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receivable, net of allowance of $7 and $7,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under lease, 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 of allowance of $24 and $26, respectively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 par value $0.01 per share, 20 shares authorized at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2024 and December 31, 2023; 20 shares issued and outstanding at March 31, 2024 and</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 aggregate liquidation preference of $20,000 at March 31, 2024 and December 31,</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$0.01 per share, 9,980 shares authorized at March 31, 2024 and December</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2023; no shares issued and outstanding at March 31, 2024 and December 31, 2023</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150,000 shares authorized at March 31, 2024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11,395 and 11,327 shares issued and outstanding at March 31, 2024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145,770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(114,048 )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(111,891 )</w:t>
            </w: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31,835</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-4319905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-2416810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(2,157 )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Write-down of inventory</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(495 )</w:t>
            </w:r>
          </w:p>
        </w:tc>
        <w:tc>
          <w:tcPr>
            <w:tcW w:w="5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on investments, net</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(51 )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(13 )</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Notes receivable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(3,129 )</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(4,381 )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0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(1,491 )</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(138 )</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(5,307 )</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(6,696 )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(20 )</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(2,206 )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maturities</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(1,226 )</w:t>
            </w: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accrued offering costs allocable to preferred stock</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(52 )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through option exercises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settlement of stock-based compensation awards</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(83 )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(6,663 )</w:t>
            </w: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(6,704 )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-680720</wp:posOffset>
            </wp:positionV>
            <wp:extent cx="9398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-680720</wp:posOffset>
            </wp:positionV>
            <wp:extent cx="939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from Inventories to Equipment under lease,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Transfer from (to) Inventories to (from) Property and equipment, net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(428 )</w:t>
            </w:r>
          </w:p>
        </w:tc>
      </w:tr>
      <w:tr>
        <w:trPr>
          <w:trHeight w:val="234"/>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for purchases of Property and equipment,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notes are an integral part of these </w:t>
      </w:r>
      <w:r>
        <w:rPr>
          <w:rFonts w:ascii="Times New Roman" w:cs="Times New Roman" w:eastAsia="Times New Roman" w:hAnsi="Times New Roman"/>
          <w:sz w:val="18"/>
          <w:szCs w:val="18"/>
          <w:color w:val="231F20"/>
        </w:rPr>
        <w:t>condensed</w:t>
      </w:r>
      <w:r>
        <w:rPr>
          <w:rFonts w:ascii="Times New Roman" w:cs="Times New Roman" w:eastAsia="Times New Roman" w:hAnsi="Times New Roman"/>
          <w:sz w:val="18"/>
          <w:szCs w:val="18"/>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CHANGES IN REDEEMABLE CONVERTIBLE PREFERRED STOCK AND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40"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color w:val="auto"/>
        </w:rPr>
        <w:t>Exercise of stock options under the Incentive Plans Issuance of common stock under the Incentive Plans, net of forfeitures</w:t>
      </w:r>
    </w:p>
    <w:p>
      <w:pPr>
        <w:spacing w:after="0" w:line="1" w:lineRule="exact"/>
        <w:rPr>
          <w:sz w:val="20"/>
          <w:szCs w:val="20"/>
          <w:color w:val="auto"/>
        </w:rPr>
      </w:pPr>
    </w:p>
    <w:p>
      <w:pPr>
        <w:ind w:left="20" w:right="320"/>
        <w:spacing w:after="0" w:line="266" w:lineRule="auto"/>
        <w:rPr>
          <w:sz w:val="20"/>
          <w:szCs w:val="20"/>
          <w:color w:val="auto"/>
        </w:rPr>
      </w:pPr>
      <w:r>
        <w:rPr>
          <w:rFonts w:ascii="Times New Roman" w:cs="Times New Roman" w:eastAsia="Times New Roman" w:hAnsi="Times New Roman"/>
          <w:sz w:val="18"/>
          <w:szCs w:val="18"/>
          <w:color w:val="auto"/>
        </w:rPr>
        <w:t>Stock-based compensation under the Incentive Plans</w:t>
      </w: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vMerge w:val="restart"/>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gridSpan w:val="4"/>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ted</w:t>
            </w:r>
          </w:p>
        </w:tc>
        <w:tc>
          <w:tcPr>
            <w:tcW w:w="120" w:type="dxa"/>
            <w:vAlign w:val="bottom"/>
          </w:tcPr>
          <w:p>
            <w:pPr>
              <w:spacing w:after="0"/>
              <w:rPr>
                <w:sz w:val="15"/>
                <w:szCs w:val="15"/>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nsive</w:t>
            </w:r>
          </w:p>
        </w:tc>
        <w:tc>
          <w:tcPr>
            <w:tcW w:w="12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31"/>
        </w:trPr>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1"/>
                <w:szCs w:val="11"/>
                <w:color w:val="auto"/>
              </w:rPr>
            </w:pPr>
          </w:p>
        </w:tc>
        <w:tc>
          <w:tcPr>
            <w:tcW w:w="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1"/>
                <w:szCs w:val="11"/>
                <w:color w:val="auto"/>
              </w:rPr>
            </w:pPr>
          </w:p>
        </w:tc>
        <w:tc>
          <w:tcPr>
            <w:tcW w:w="7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1"/>
                <w:szCs w:val="11"/>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145,20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(111,89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6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459"/>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(2,157 )</w:t>
            </w:r>
          </w:p>
        </w:tc>
        <w:tc>
          <w:tcPr>
            <w:tcW w:w="12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(2,157 )</w:t>
            </w:r>
          </w:p>
        </w:tc>
        <w:tc>
          <w:tcPr>
            <w:tcW w:w="0" w:type="dxa"/>
            <w:vAlign w:val="bottom"/>
          </w:tcPr>
          <w:p>
            <w:pPr>
              <w:spacing w:after="0"/>
              <w:rPr>
                <w:sz w:val="1"/>
                <w:szCs w:val="1"/>
                <w:color w:val="auto"/>
              </w:rPr>
            </w:pPr>
          </w:p>
        </w:tc>
      </w:tr>
      <w:tr>
        <w:trPr>
          <w:trHeight w:val="250"/>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1"/>
        </w:trPr>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(114,04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6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-1662430</wp:posOffset>
            </wp:positionV>
            <wp:extent cx="71323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-1216660</wp:posOffset>
            </wp:positionV>
            <wp:extent cx="71323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-633730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-316230</wp:posOffset>
            </wp:positionV>
            <wp:extent cx="7132320"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160"/>
            <w:col w:w="7380"/>
          </w:cols>
          <w:pgMar w:left="320" w:top="981" w:right="339" w:bottom="1440" w:gutter="0" w:footer="0" w:header="0"/>
          <w:type w:val="continuous"/>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320" w:type="dxa"/>
            <w:vAlign w:val="bottom"/>
            <w:gridSpan w:val="3"/>
            <w:vMerge w:val="restart"/>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320" w:type="dxa"/>
            <w:vAlign w:val="bottom"/>
            <w:gridSpan w:val="3"/>
            <w:vMerge w:val="restart"/>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22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ed</w:t>
            </w:r>
          </w:p>
        </w:tc>
        <w:tc>
          <w:tcPr>
            <w:tcW w:w="120" w:type="dxa"/>
            <w:vAlign w:val="bottom"/>
          </w:tcPr>
          <w:p>
            <w:pPr>
              <w:spacing w:after="0"/>
              <w:rPr>
                <w:sz w:val="15"/>
                <w:szCs w:val="15"/>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nsive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1"/>
                <w:szCs w:val="11"/>
                <w:color w:val="auto"/>
              </w:rPr>
            </w:pPr>
          </w:p>
        </w:tc>
        <w:tc>
          <w:tcPr>
            <w:tcW w:w="58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139,38</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40" w:type="dxa"/>
            <w:vAlign w:val="bottom"/>
            <w:vMerge w:val="continue"/>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(97,508 )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2020 Plan</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Plan,</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of forfeitures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cancelled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(4,272 )</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c>
          <w:tcPr>
            <w:tcW w:w="0" w:type="dxa"/>
            <w:vAlign w:val="bottom"/>
          </w:tcPr>
          <w:p>
            <w:pPr>
              <w:spacing w:after="0"/>
              <w:rPr>
                <w:sz w:val="1"/>
                <w:szCs w:val="1"/>
                <w:color w:val="auto"/>
              </w:rPr>
            </w:pPr>
          </w:p>
        </w:tc>
      </w:tr>
      <w:tr>
        <w:trPr>
          <w:trHeight w:val="205"/>
        </w:trPr>
        <w:tc>
          <w:tcPr>
            <w:tcW w:w="384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141,10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(101,78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right w:val="single" w:sz="8" w:color="auto"/>
            </w:tcBorders>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22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-325120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-325120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-325120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-325120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-325120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-325120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Organization</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laser systems, which may include equipment, a consumable referred to as the Patient Interface Device (“PID”), procedure licenses, training, installation, limited warranty and maintenance agreements through extended warranty. The Company has developed its next-generation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(“ALLY System”), which combines all of the features from the LENSAR Laser System with a dual-pulse laser, integrated in a small, compact cataract treatment system. The ALLY System, which has received clearance from the U.S. Food and Drug Administration (“FDA”), enables cataract surgeons to complete the femtosecond-laser-assisted cataract surgery (“FLACS”) procedure in a single, sterile environment. The Company executed a controlled and targeted initial launch of the ALLY System beginning in August 2022. The ALLY System is available to U.S. cataract surgeons and has also received regulatory clearance in India and the Philippines. In addition, the Company submitted the ALLY System for certification in the European Union, or EU, in September 2022 and, in 2023, submitted documentation to distributors in South Korea, Taiwan, and China for additional marketing or certification applications.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operating cash outflows since its inception and, as of March 31, 2024, had an accumulated deficit of $114,048.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believes the Company’s cash and cash equivalents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2023 condensed balance sheet data was derived from audited financial statements, but does not include all disclosures required by U.S. GAAP.</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financial information should be read in conjunction with the Company’s annual audited financial statements and the related notes thereto for the fiscal year ended December 31, 2023, included in the Annual Report on Form 10-K (the “Annual Report”) as filed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Other than policies noted below, there have been no significant changes to the significant accounting policies disclosed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of the annual audited financial statements included in the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financial instruments to determine if such instruments are derivatives or contain features that qualify as embedded derivatives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meet the criteria for equity treatment are recorded as liabilities. We do not use financial instruments or derivatives for any trading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1—based on quoted market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3—based on unobservable inputs using management’s best estimate and assumptions when inputs are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in their entirety based on the lowest level of input that is significant to their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entered into an international distribution agreement in India with a company owned by an employee at that time. As of April 1, 2024, the owner is no longer an employee of the Company.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expenses for the three months ended March 31, 2024 associated with its Indian operations. There were no amounts due from, or due to, the distributor at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expense/(benefit) from continuing operations for the three months ended March 31, 2024 and 2023 was $0 in each period, which resulted primarily from maintaining a full valuation allowance against the Company’s net deferred tax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certain substantial changes in the Company’s ownership may result in a limitation on the amount of net operating loss and tax credit carryforwards that may be used in future years. During the second quarter of 2023, the Company experienced a change in control event resulting from the Private Placement of Series A Redeemable Convertible Preferred Stock, triggering the application of Section 382 of the Code. Refer to Note 11, Redeemable Convertible Preferred Stock, for more details related to the Private Placement. The Company has not completed an analysis to determine whether any additional limitations have been triggered under Sections 382 and 383 of the Code as of March 31, 2024. The Company computed and applied limitations of tax deductions in the income tax provision computation for the year ended December 31, 2023; however, these limitations do not have a material impact on the financial statements. Due to the existence of the valuation allowance, future changes in the Company’s deferred taxes will not impact its effective tax rate or balance sheet.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requires enhanced disclosures about segment expenses on an annual and interim basis. This standard is effective for the Company’s annual financial statements for the year ending December 31, 2024 and for interim periods beginning in 2025. The Company is currently evaluating the impact of this standard on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is currently evaluating the impact of this standard on the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product and service revenue disaggregated by geographic region, which is determined based on customer location, for the three months ended March 31, 2024 and 2023:</w:t>
      </w:r>
    </w:p>
    <w:p>
      <w:pPr>
        <w:spacing w:after="0" w:line="6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South Korea)</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40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firstLine="8"/>
        <w:spacing w:after="0" w:line="223" w:lineRule="auto"/>
        <w:tabs>
          <w:tab w:leader="none" w:pos="105"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table above does not include lease revenue of $1,947 and $1,629 for the three months ended March 31, 2024 and 2023. Substantially all lease revenue originates from the United States.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76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 long-term</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liability, long-term</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Receivables, Net – </w:t>
      </w:r>
      <w:r>
        <w:rPr>
          <w:rFonts w:ascii="Times New Roman" w:cs="Times New Roman" w:eastAsia="Times New Roman" w:hAnsi="Times New Roman"/>
          <w:sz w:val="18"/>
          <w:szCs w:val="18"/>
          <w:color w:val="auto"/>
        </w:rPr>
        <w:t>Accounts receivables, net, include amounts billed and due from customers. The amounts due are stated at their net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accounts receivable:</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5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2023</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-1353820</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-299085</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Receivables, Net </w:t>
      </w:r>
      <w:r>
        <w:rPr>
          <w:rFonts w:ascii="Times New Roman" w:cs="Times New Roman" w:eastAsia="Times New Roman" w:hAnsi="Times New Roman"/>
          <w:sz w:val="18"/>
          <w:szCs w:val="18"/>
          <w:color w:val="auto"/>
        </w:rPr>
        <w:t>– Notes receivable, net includes amounts billed and due from customers under extended payment terms with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component. Interest rates on notes receivable range from 7.0% to 8.0%. The Company recorded interest income on notes receivable during the three months ended March 31, 2024 and 2023 of $29 and $12, respectively, in other income, net in the statement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notes receivable: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5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1"/>
                <w:szCs w:val="21"/>
                <w:color w:val="auto"/>
              </w:rPr>
            </w:pPr>
          </w:p>
        </w:tc>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Pr>
          <w:p>
            <w:pPr>
              <w:spacing w:after="0"/>
              <w:rPr>
                <w:sz w:val="21"/>
                <w:szCs w:val="21"/>
                <w:color w:val="auto"/>
              </w:rPr>
            </w:pPr>
          </w:p>
        </w:tc>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1"/>
                <w:szCs w:val="21"/>
                <w:color w:val="auto"/>
              </w:rPr>
            </w:pPr>
          </w:p>
        </w:tc>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Pr>
          <w:p>
            <w:pPr>
              <w:spacing w:after="0"/>
              <w:rPr>
                <w:sz w:val="21"/>
                <w:szCs w:val="21"/>
                <w:color w:val="auto"/>
              </w:rPr>
            </w:pPr>
          </w:p>
        </w:tc>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2023</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560" w:type="dxa"/>
            <w:vAlign w:val="bottom"/>
            <w:vMerge w:val="restart"/>
          </w:tcPr>
          <w:p>
            <w:pPr>
              <w:ind w:left="33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226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-2253615</wp:posOffset>
            </wp:positionV>
            <wp:extent cx="34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-1199515</wp:posOffset>
            </wp:positionV>
            <wp:extent cx="34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798" w:gutter="0" w:footer="0" w:header="0"/>
        </w:sectPr>
      </w:pPr>
    </w:p>
    <w:bookmarkStart w:id="14" w:name="page15"/>
    <w:bookmarkEnd w:id="1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The Company's contract assets represent revenue recognized for performance obligations completed before an unconditional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exists, and therefore invoicing has not yet occurred. The Company classifies contract assets in Prepaid and other current assets in the Company's condensed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from contracts with customers: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December 31, 2023</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tcPr>
          <w:p>
            <w:pPr>
              <w:spacing w:after="0"/>
              <w:rPr>
                <w:sz w:val="20"/>
                <w:szCs w:val="20"/>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Pr>
          <w:p>
            <w:pPr>
              <w:spacing w:after="0"/>
              <w:rPr>
                <w:sz w:val="20"/>
                <w:szCs w:val="20"/>
                <w:color w:val="auto"/>
              </w:rPr>
            </w:pPr>
          </w:p>
        </w:tc>
      </w:tr>
      <w:tr>
        <w:trPr>
          <w:trHeight w:val="25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20" w:type="dxa"/>
            <w:vAlign w:val="bottom"/>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Write-off due to contract modification</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Pr>
          <w:p>
            <w:pPr>
              <w:spacing w:after="0"/>
              <w:rPr>
                <w:sz w:val="20"/>
                <w:szCs w:val="20"/>
                <w:color w:val="auto"/>
              </w:rPr>
            </w:pPr>
          </w:p>
        </w:tc>
      </w:tr>
      <w:tr>
        <w:trPr>
          <w:trHeight w:val="277"/>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March 31, 2024</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24"/>
                <w:szCs w:val="24"/>
                <w:color w:val="auto"/>
              </w:rPr>
            </w:pPr>
          </w:p>
        </w:tc>
      </w:tr>
      <w:tr>
        <w:trPr>
          <w:trHeight w:val="46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as of December 31, 2022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24"/>
                <w:szCs w:val="24"/>
                <w:color w:val="auto"/>
              </w:rPr>
            </w:pPr>
          </w:p>
        </w:tc>
      </w:tr>
      <w:tr>
        <w:trPr>
          <w:trHeight w:val="25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tcPr>
          <w:p>
            <w:pPr>
              <w:spacing w:after="0"/>
              <w:rPr>
                <w:sz w:val="20"/>
                <w:szCs w:val="20"/>
                <w:color w:val="auto"/>
              </w:rPr>
            </w:pPr>
          </w:p>
        </w:tc>
      </w:tr>
      <w:tr>
        <w:trPr>
          <w:trHeight w:val="276"/>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March 31, 2023</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-830580</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-814070</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Liabilities – </w:t>
      </w:r>
      <w:r>
        <w:rPr>
          <w:rFonts w:ascii="Times New Roman" w:cs="Times New Roman" w:eastAsia="Times New Roman" w:hAnsi="Times New Roman"/>
          <w:sz w:val="18"/>
          <w:szCs w:val="18"/>
          <w:color w:val="auto"/>
        </w:rPr>
        <w:t>The Company’s contract liabilities represent services and products sold to customers for which the performance obligation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completed by the Company. The Company classifies contract liabilities as current or noncurrent based on the timing of when it expects to recognize revenue. The noncurrent portion of contract liabilities is included in other long-term liabilities in the Company’s condensed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as of December 31, 2023</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 w:type="dxa"/>
            <w:vAlign w:val="bottom"/>
          </w:tcPr>
          <w:p>
            <w:pPr>
              <w:spacing w:after="0"/>
              <w:rPr>
                <w:sz w:val="20"/>
                <w:szCs w:val="20"/>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contract liabilities recognized as revenue</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20" w:type="dxa"/>
            <w:vAlign w:val="bottom"/>
          </w:tcPr>
          <w:p>
            <w:pPr>
              <w:spacing w:after="0"/>
              <w:rPr>
                <w:sz w:val="21"/>
                <w:szCs w:val="21"/>
                <w:color w:val="auto"/>
              </w:rPr>
            </w:pPr>
          </w:p>
        </w:tc>
      </w:tr>
      <w:tr>
        <w:trPr>
          <w:trHeight w:val="237"/>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liabilities as of March 31, 2024</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as of December 31, 2022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tcPr>
          <w:p>
            <w:pPr>
              <w:spacing w:after="0"/>
              <w:rPr>
                <w:sz w:val="21"/>
                <w:szCs w:val="21"/>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contract liabilities recognized as revenue</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20" w:type="dxa"/>
            <w:vAlign w:val="bottom"/>
          </w:tcPr>
          <w:p>
            <w:pPr>
              <w:spacing w:after="0"/>
              <w:rPr>
                <w:sz w:val="21"/>
                <w:szCs w:val="21"/>
                <w:color w:val="auto"/>
              </w:rPr>
            </w:pPr>
          </w:p>
        </w:tc>
      </w:tr>
      <w:tr>
        <w:trPr>
          <w:trHeight w:val="236"/>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liabilities as of March 31, 2023</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-993775</wp:posOffset>
            </wp:positionV>
            <wp:extent cx="34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the revenue expected to be recognized in future periods related to performance obligations that are unsatisfied for executed contracts with an original duration of one year or more was approximately $23,005. The Company expects to satisfy its remaining performance obligations by December 31, 2029, with $6,721 to be satisfied by December 31, 2024, $6,287 to be satisfied by December 31, 2025, $4,400 to be satisfied by December 31, 2026, $3,430 to be satisfied by December 31, 2027, $2,010 to be satisfied by December 31, 2028, $157 to be satisfied by December 31, 2029.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money market funds, U.S. treasury bills, certificates of deposit, and U.S. government securities as Level 1 within the fair value hierarchy as the fair value is based on quoted prices. The Company classifies U.S. government agency bonds as Level 2 within the fair value hierarchy as the fair value is based upon quoted market prices for similar instruments in active markets or quoted prices for identical or similar instruments in markets that are not active for which all significant inputs are observable in the market or can be corroborated by observable market data for substantially the full term of the assets. The Company classifies its warrant derivative liabilities as Level 3 within the fair value hierarchy as the Company estimates the fair value of the warrant liabilities using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xml:space="preserve">recently quoted market prices of the Company's common stock and the Black-Scholes option pricing model,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at fair value as of March 31, 2024 and 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7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00" w:type="dxa"/>
            <w:vAlign w:val="bottom"/>
            <w:shd w:val="clear" w:color="auto" w:fill="CFF0FC"/>
          </w:tcPr>
          <w:p>
            <w:pPr>
              <w:spacing w:after="0"/>
              <w:rPr>
                <w:sz w:val="24"/>
                <w:szCs w:val="24"/>
                <w:color w:val="auto"/>
              </w:rPr>
            </w:pPr>
          </w:p>
        </w:tc>
      </w:tr>
      <w:tr>
        <w:trPr>
          <w:trHeight w:val="228"/>
        </w:trPr>
        <w:tc>
          <w:tcPr>
            <w:tcW w:w="58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-2562225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-2545080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-2562225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-2545080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-2562225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-2545080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-1910715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-1893570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-1910715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-1893570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-1910715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-1893570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-839470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-839470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-839470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as of March 31, 2023. There were no transfers between fair value hierarchy levels during three months ended March 31,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that are measured at fair value on a recurring basis as of March 31, 2024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4"/>
                <w:szCs w:val="14"/>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0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5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4"/>
                <w:szCs w:val="14"/>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r>
      <w:tr>
        <w:trPr>
          <w:trHeight w:val="277"/>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-2005330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-2005330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-2005330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measured on a recurring basis using unobservable Level 3 inputs for the period ended March 31, 2024 is set forth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12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Warrant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84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96"/>
              </w:rPr>
              <w:t>(248 )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Series B Warrant</w:t>
            </w: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(247 )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700" w:type="dxa"/>
            <w:vAlign w:val="bottom"/>
          </w:tcPr>
          <w:p>
            <w:pPr>
              <w:spacing w:after="0"/>
              <w:rPr>
                <w:sz w:val="24"/>
                <w:szCs w:val="24"/>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warrant liabilities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96"/>
              </w:rPr>
              <w:t>(495 )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43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balances were as follows: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7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-1645285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-1628140</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-1645285</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-1628140</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-1645285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-1628140</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systems. The Company’s leases have remaining lease terms of less than one year to six years. Lease revenue for the three months ended March 31, 2024 and 2023 was as follows:</w:t>
      </w:r>
    </w:p>
    <w:p>
      <w:pPr>
        <w:spacing w:after="0" w:line="61"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5080</wp:posOffset>
            </wp:positionV>
            <wp:extent cx="1680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ind w:left="7300"/>
        <w:spacing w:after="0"/>
        <w:tabs>
          <w:tab w:leader="none" w:pos="8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16802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3" w:lineRule="exact"/>
        <w:rPr>
          <w:sz w:val="20"/>
          <w:szCs w:val="20"/>
          <w:color w:val="auto"/>
        </w:rPr>
      </w:pPr>
    </w:p>
    <w:p>
      <w:pPr>
        <w:ind w:left="1700"/>
        <w:spacing w:after="0"/>
        <w:tabs>
          <w:tab w:leader="none" w:pos="6840" w:val="left"/>
          <w:tab w:leader="none" w:pos="7620" w:val="left"/>
          <w:tab w:leader="none" w:pos="8280" w:val="left"/>
          <w:tab w:leader="none" w:pos="9040" w:val="left"/>
        </w:tabs>
        <w:rPr>
          <w:sz w:val="20"/>
          <w:szCs w:val="20"/>
          <w:color w:val="auto"/>
        </w:rPr>
      </w:pPr>
      <w:r>
        <w:rPr>
          <w:rFonts w:ascii="Times New Roman" w:cs="Times New Roman" w:eastAsia="Times New Roman" w:hAnsi="Times New Roman"/>
          <w:sz w:val="18"/>
          <w:szCs w:val="18"/>
          <w:color w:val="auto"/>
        </w:rPr>
        <w:t>Lease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1,947</w:t>
        <w:tab/>
        <w:t>$</w:t>
      </w:r>
      <w:r>
        <w:rPr>
          <w:sz w:val="20"/>
          <w:szCs w:val="20"/>
          <w:color w:val="auto"/>
        </w:rPr>
        <w:tab/>
      </w:r>
      <w:r>
        <w:rPr>
          <w:rFonts w:ascii="Times New Roman" w:cs="Times New Roman" w:eastAsia="Times New Roman" w:hAnsi="Times New Roman"/>
          <w:sz w:val="18"/>
          <w:szCs w:val="18"/>
          <w:color w:val="auto"/>
        </w:rPr>
        <w:t>1,629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8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0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4"/>
                <w:szCs w:val="24"/>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5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Acquired technology </w:t>
            </w:r>
            <w:r>
              <w:rPr>
                <w:rFonts w:ascii="Times New Roman" w:cs="Times New Roman" w:eastAsia="Times New Roman" w:hAnsi="Times New Roman"/>
                <w:sz w:val="24"/>
                <w:szCs w:val="24"/>
                <w:color w:val="auto"/>
                <w:vertAlign w:val="superscript"/>
              </w:rPr>
              <w:t>1,3,4</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(5,001 )</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(4,807 )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Acquired trademarks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(570 )</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1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-25400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80" w:hanging="372"/>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LENSAR acquired certain intangible assets for customer relationships from a domestic distributor in an asset acquisition, which are being amortized on a straight-line basis over a period of 10 years.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LENSAR acquired certain intangible assets from a medical technology company in an asset acquisition, which are being amortized on a straight-line basis over a period of 15 years.</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LENSAR acquired certain intellectual property from a third party. Pursuant to the Company's agreement with the third party, the Company made milestone payments of $2,400 during the year ended December 31, 2022. The intangible assets will be amortized on a straight-line basis over a period of 15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three months ended March 31, 2024 and 2023 was $274 and $276,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intangible assets recorded at March 31, 2024, and assuming no subsequent additions to or impairment of the underlying assets, the remaining amortization expense is expected to be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remaining estimated amortization expense</w:t>
            </w:r>
          </w:p>
        </w:tc>
        <w:tc>
          <w:tcPr>
            <w:tcW w:w="160" w:type="dxa"/>
            <w:vAlign w:val="bottom"/>
          </w:tcPr>
          <w:p>
            <w:pPr>
              <w:spacing w:after="0"/>
              <w:rPr>
                <w:sz w:val="20"/>
                <w:szCs w:val="20"/>
                <w:color w:val="auto"/>
              </w:rPr>
            </w:pPr>
          </w:p>
        </w:tc>
        <w:tc>
          <w:tcPr>
            <w:tcW w:w="14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5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20" w:type="dxa"/>
            <w:vAlign w:val="bottom"/>
            <w:shd w:val="clear" w:color="auto" w:fill="CFF0FC"/>
          </w:tcPr>
          <w:p>
            <w:pPr>
              <w:spacing w:after="0"/>
              <w:rPr>
                <w:sz w:val="20"/>
                <w:szCs w:val="20"/>
                <w:color w:val="auto"/>
              </w:rPr>
            </w:pPr>
          </w:p>
        </w:tc>
        <w:tc>
          <w:tcPr>
            <w:tcW w:w="880" w:type="dxa"/>
            <w:vAlign w:val="bottom"/>
            <w:tcBorders>
              <w:top w:val="single" w:sz="8" w:color="auto"/>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offering costs</w:t>
            </w:r>
          </w:p>
        </w:tc>
        <w:tc>
          <w:tcPr>
            <w:tcW w:w="1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right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-1996440</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May 2023, the Company completed the Private Placement, which included the issuance of warrants (the “Warrants”) to purchase an aggregate of 4,367 shares of common stock (the “Warrant Shares”). Fifty percent of the Warrants have an exercise price equal to $2.45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jc w:val="both"/>
        <w:ind w:firstLine="52"/>
        <w:spacing w:after="0" w:line="266" w:lineRule="auto"/>
        <w:rPr>
          <w:sz w:val="20"/>
          <w:szCs w:val="20"/>
          <w:color w:val="auto"/>
        </w:rPr>
      </w:pPr>
      <w:r>
        <w:rPr>
          <w:rFonts w:ascii="Times New Roman" w:cs="Times New Roman" w:eastAsia="Times New Roman" w:hAnsi="Times New Roman"/>
          <w:sz w:val="18"/>
          <w:szCs w:val="18"/>
          <w:color w:val="auto"/>
        </w:rPr>
        <w:t xml:space="preserve">per share (the “Series A Warrant”), and 50% of the Warrants have an exercise price equal to $3.0625 per share (the “Series B Warrant”), subject in each instance to adjustments as provided under the terms of the Warrants. Refer to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 of operations. Of the $20,000 gross proceeds for the Private Placement, $5,605 was allocated to the Warrants and the remaining $14,395 was allocated to the Series A Redeemable Convertible Preferred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recently quoted market prices of the Company's common stock and the Black-Scholes option pricing model. The fair value of the warrant liabilities was estimated using the following assumptions as of March 31, 2024 and December 31, 2023:</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20"/>
                <w:szCs w:val="20"/>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warrant liabilities was based on the remaining contractual term of the Warrants.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LENSAR is a party to various supply agreements for the manufacture and supply of certain components. The supply agreements commit LENSAR to a minimum purchase obligation of approximately $4,767 over the next nine months. LENSAR expects to meet these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Payments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acquired certain intellectual property that require royalty payments at a rate of 3% of certain revenue upon the phacoemulsification features being cleared for commercialization and operational in the ALLY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United States enacted the Coronavirus Aid, Relief, and Economic Security Act (“CARES Act”). The CARES Act provides for an employee retention credit (“ERC”), which is a refundable tax credit against certain employment taxes paid in 2020 and 2021. During the quarter ended September 30, 2023, the Company received a majority of the ERC. As such, the Company recorded $1,368 as a reduction of selling, general and administrative expenses, which represents the ERC net of professional fees in the quarter ended September 30, 2023. During the three months ended March 31, 2024 and 2023, no amounts were recorded related to the ERC.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medical device market in which LENSAR participates is largely technology driven. As a result, intellectual property rights, particularly patents and trade secrets, play a significant role in product development and differentiation.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We make provisions for liabilities when it is both probable that a liability has been incurred and the amount of the loss can be reasonably estimated.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14, 2023, stockholders Ryan Schaper and Christopher P. Bolster filed a Verified Amended Class Action Complaint against the Company and certain of its officers and members of the board of directors (“Defendants”) in the matter captioned Schaper v. LENSAR, Inc., et al., Case No. 1:23-cv-00692-GBW (D. Del.). On August 18, 2023, the parties filed a joint stipulation extending Defendants’ time to respond to the complaint until a lead plaintiff is appointed and plaintiffs file a second amended complaint or designate the Verified Amended Class Action Complaint as operative. On December 12, 2023, the Court appointed Ryan Schaper and Christopher P. Bolster as Lead Plaintiffs. On December 22, 2023, the parties filed a joint stipulation providing that Lead Plaintiffs' will file a second amended complaint or designate the Verified Amended Class Action Complaint as operative on or before January 12, 2024. On January 12, 2024, Lead Plaintiffs filed a Verified Second Amended Class Action Complaint. Defendants filed a motion to dismiss on February 26, 2024. The parties will complete briefing on the motion to dismiss in May 2024.</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vigorously denies that the definitive proxy statement filed with the SEC on June 20, 2023 was deficient in any respect, or that that supplemental disclosures were required or necessary under applicable laws. At this time, the Company cannot predict the outcome, or provide a reasonable estimate or range of estimates of the possible outcome or loss, if any, in this matter.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more details related to the Warrants. The Series A Redeemable Convertible Preferred Stock is convertible into 7,940 shares of common stock at the election of NR-GRI.</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condensed balance sheet.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parties’ entry into the SPA, the Company and NR-GRI entered into a Registration Rights Agreement, pursuant to which the Company filed a resale registration statement on Form S-3 (No. 333-272930) with respect to the resale of the shares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Company’s common stock issuable upon conversion of the shares of Series A Redeemable Convertible Preferred Stock and exercise of the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single class of common stock in which stockholders are entitled to one vote for each share of common stock. No cash dividend was declared on common stock during the three months ended March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2020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July 2020, the Board of Directors approved the LENSAR Inc. 2020 Incentive Award Plan (the “2020 Plan”). The 2020 Plan provides for the grant of stock options, restricted stock, restricted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March 31, 2024, the Company has reserved a total of 5,550 shares of common stock for issuance under the 2020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Inducement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shares available for issuance under the 2020 Plan and Inducement Plan (collectively, the “Incentive Plans”) is as follows:</w:t>
      </w:r>
    </w:p>
    <w:p>
      <w:pPr>
        <w:spacing w:after="0" w:line="11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 Plan</w:t>
            </w:r>
          </w:p>
        </w:tc>
        <w:tc>
          <w:tcPr>
            <w:tcW w:w="10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23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Granted/Awarded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9"/>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Option award activity under the Incentive Plans is set forth below:</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80" w:type="dxa"/>
            <w:vAlign w:val="bottom"/>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March 31,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-482600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-465455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2024 was $2.38. The total fair value of options vested during the three months ended March 31, 2024 was approximately $540. Total unrecognized compensation expense of $2,006 related to stock options will be recognized over a weighted average period of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vested as of March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88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2"/>
                <w:szCs w:val="12"/>
                <w:color w:val="auto"/>
              </w:rPr>
            </w:pPr>
          </w:p>
        </w:tc>
        <w:tc>
          <w:tcPr>
            <w:tcW w:w="8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$2.15 - $3.10</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$3.27 - $5.95</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$6.07 - $8.62</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months ended March 31, 2024 and 2023:</w:t>
      </w:r>
    </w:p>
    <w:p>
      <w:pPr>
        <w:spacing w:after="0" w:line="75"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66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3.9 - 4.2%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3.5 - 4.2%</w:t>
            </w: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Company’s stock-based compensation awards was based on an index of the expected terms of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publicly-traded medical device and other peer companies, which the Company believed was representative of the expected term of its awards.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Company’s stock-based compensation awards was based on an index of the historical volatilities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of comparable publicly-traded medical device and other peer companies, which the Company believed was representative of the volatility of its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and non-employees generally vest over one to four years in annual equal increments. The fair value of restricted stock units is based on the Company’s closing stock price on the date of grant.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under the Incentive Plans is set forth below:</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Restricted Stock Units Outstanding</w:t>
            </w: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cancelled</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three months ended March 31, 2024 was approximately $274. At March 31, 2024 there was approximately $656 of total unrecognized compensation expense related to restricted stock units, which is expected to be recognized over a weighted-average period of 0.9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cs="Times New Roman" w:eastAsia="Times New Roman" w:hAnsi="Times New Roman"/>
          <w:sz w:val="18"/>
          <w:szCs w:val="18"/>
          <w:color w:val="231F20"/>
        </w:rPr>
        <w:t>As of March 31, 2024, the Company has reserved 564 shares of common stock for issuance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2020 ESPP. </w:t>
      </w:r>
      <w:r>
        <w:rPr>
          <w:rFonts w:ascii="Times New Roman" w:cs="Times New Roman" w:eastAsia="Times New Roman" w:hAnsi="Times New Roman"/>
          <w:sz w:val="18"/>
          <w:szCs w:val="18"/>
          <w:color w:val="000000"/>
        </w:rPr>
        <w:t>The price of the common stock purchased will be the lower of 85% of the fair market value of the common stock at the beginning of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offering period or at the end of a purchase period. The 2020 ESPP is intended to qualify as an "employee stock purchase plan" within the meaning of Section 423 of the Code.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304 shares of common stock have been issued to employees participating in the 2020 ESPP and 260 shares were available for future issuance under the 2020 ESPP. The grant date fair value of the shares to be issued under the Company’s 2020 ESPP was estimated using the Black-Scholes valuation model.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total stock-based compensation expense recognized under the Incentive Plans and the 2020 ESPP in the Company's condensed statements of operations:</w:t>
      </w:r>
    </w:p>
    <w:p>
      <w:pPr>
        <w:spacing w:after="0" w:line="6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 product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 product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 – service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72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 is expected to be amortized as follows:</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6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Pr>
          <w:p>
            <w:pPr>
              <w:spacing w:after="0"/>
              <w:rPr>
                <w:sz w:val="21"/>
                <w:szCs w:val="21"/>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2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-2348230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-2331085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-1087755</wp:posOffset>
            </wp:positionV>
            <wp:extent cx="34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units and stock options outstanding at March 31, 2024 and assumes the requisite service period is fulfilled for all awards outstanding. Actual stock-based compensation expense in future periods may vary from those reflected in the 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(Loss)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(net loss) and the denominator (number of shares) used in the basic and diluted net loss per share calculations:</w:t>
      </w:r>
    </w:p>
    <w:p>
      <w:pPr>
        <w:spacing w:after="0" w:line="6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(0.40 )</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three months ended March 31, 2024 and 2023 because their effect was anti-dilutive:</w:t>
      </w:r>
    </w:p>
    <w:p>
      <w:pPr>
        <w:spacing w:after="0" w:line="7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FF0FC"/>
          </w:tcPr>
          <w:p>
            <w:pPr>
              <w:spacing w:after="0"/>
              <w:rPr>
                <w:sz w:val="21"/>
                <w:szCs w:val="21"/>
                <w:color w:val="auto"/>
              </w:rPr>
            </w:pPr>
          </w:p>
        </w:tc>
      </w:tr>
      <w:tr>
        <w:trPr>
          <w:trHeight w:val="23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anti-dilutive weighted average shares excluded from the diluted loss per share calculations were:</w:t>
      </w:r>
    </w:p>
    <w:p>
      <w:pPr>
        <w:spacing w:after="0" w:line="12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 Warrants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0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30, 2024, the Company identified a triggering event that might impact certain intangible assets and contract liabilities. The Company is currently assessing the facts and circumstances of the event and believes a net impairment of up to $3.8 million is a potential outcome after its assessment is complete. The Company anticipates completing the impairment assessment during the three months ended June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2023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an advanced femtosecond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current product portfolio includes the LENSAR Laser System and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or ALLY System,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continuous innovation and have launched our proprietary next generation ALLY System. The ALLY System enables cataract surgeons to complete the femtosecond-laser-assisted cataract surgery, or FLACS, procedure seamlessly in a single, sterile environment. Our ALLY System received clearance from the FDA in June 2022, and we executed a controlled and targeted initial launch of the ALLY System beginning in August 2022. The ALLY System is available to all U.S. cataract surgeons and has also received regulatory clearance in India and the Philippines. In 2022, we transitioned from manufacturing and selling our LENSAR Laser System to focus on our ALLY System. In September 2022, we submitted the ALLY System for certification in the European Union, or EU, and, in 2023, submitted documentation to distributors in South Korea, Taiwan, and China for additional marketing or certification applications. Our growth, market presence and ability to sell the ALLY System will depend on whether the ALLY System receives regulatory clearance in other regions outside the United States and the timing of these clearances or certifications, among other factors. In addition, based on inventory of our LENSAR Laser System, our future revenue and cash flows will depend on, among other factors, our installed base of systems and the timing of and applicable clearances for our ALLY System.</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March 31, 2024, consisted of approximately 60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increased from $8.3 million for the three months ended March 31, 2023 to $10.6 million for the three months ended March 31, 2024, representing an increase of 28%, primarily due to increased systems sales and procedure volume. Our net loss was $2.2 million and $4.3 million for the three months ended March 31, 2024 and 2023, respectively. Our installed base of LENSAR Laser Systems and ALLY Systems is approximately 310 as of March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2024, we identified a triggering event that might impact certain intangible assets and contract liabilities. We are currently assessing the facts and circumstances of the event and believe a net impairment of up to $3.8 million is a potential outcome after our assessment is complete. We anticipate completing the impairment assessment during the three months ended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that involves a number of risks, some of which are beyond our control. We are subject to risks common to medical device companies, including risks inherent in:</w:t>
      </w:r>
    </w:p>
    <w:p>
      <w:pPr>
        <w:spacing w:after="0" w:line="5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system development and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regulatory actions and marketing approvals or certifications;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network of international distributors and a network of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coverage and reimbursement by government or other third-party payors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and ability to pay for procedures with significant costs not covered by or reimbursable through government or other third-party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 and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future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safety requirements and suggestions regarding patient treatment as required or suggested by health care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certification by regulatory agencies, including the FDA, or notified bodies for our ALLY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shortages, labor market shifts and price increases resulting from various macroeconomic factors;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associated with our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practices in jurisdictions where procedures using our systems are performed, such as South Korea.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laser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economic uncertainty and other factors have impeded 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may reappear in the future.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historical results are not necessarily indicative of future performance, and any interim results we present are not indicative of the results that may be expected for the full fiscal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revenue comprises product revenue, service revenue and lease revenue. We derive product revenue from the sale of our laser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laser systems that provide additional maintenance and service beyond our standard limited warranty. In some situations, we lease our laser systems to surgeons, primarily through non-cancellable leases with a fixed lease payment. We consider all components of our revenue to be recurring source revenue, with the exception of sales of our systems. For the three months ended March 31, 2024, approximately 90% of our revenue was attributable to recurring sources compared to 92% for the three months ended March 31,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 comprises cost of product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cost of lease revenue and cost of service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personnel costs, such as salaries and wages, including stock-based compensation and benefits, professional fees, marketing, insurance, travel and other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continuing to grow our sales efforts in the United States. We expect our selling, general and administrative expenses to continue to increase in association with our planned growth.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LENSAR Laser System with a dual-pulse laser, integrated in a small, compact cataract treatment system that is designed to allow surgeons to perform a sterile femtosecond laser assisted cataract procedure in a single operating room or in-office surgical suite. Among other initiatives, further development of the ALLY System is designed to combine our existing femtosecond laser technology with phacoemulsification systems to provide an integrated cataract treatment system. The Company recognized pre-launch inventory costs as research and development expenses through April 30, 2022, when future commercialization of our ALLY System was considered probable and the future economic benefit was expected to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consists of the change in estimated fair value of the warrant liabilities using recently quoted market prices of the Company's common stock and the Black-Scholes option pricing model.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Section 174 of the Code, or Section 174. On September 8, 2023, the Internal Revenue Service, or the IRS, issued Notice 2023-63 providing interim guidance regarding the capitalization and amortization of research and experimental expenditures for U.S. tax purposes that became effective in 2022. On December 22, 2023, the Treasury Department, or Treasury, and the IRS issued Rev. Proc. 2024-9, which provides procedural guidance for taxpayers to make accounting method changes to apply the provisions of Notice 2023-63. IRS and Treasury concurrently released Notice 2024-12, which modifies certain provisions of Notice 2023-63. However, recently proposed tax legislation, if enacted, would restore the ability to deduct currently domestic research and development expenditures through 2025 and would retroactively restore this benefit for 2022 and 2023. The impact of Section 174 on the Company’s cash from operations depends primarily on the amount of research and development expenditures incurred. The Company will continue to review the applicability of new notices to its operations and will review the proposed regulations and adjust the estimates as necessary.</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from Prior</w:t>
            </w: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320" w:type="dxa"/>
            <w:vAlign w:val="bottom"/>
          </w:tcPr>
          <w:p>
            <w:pPr>
              <w:spacing w:after="0"/>
              <w:rPr>
                <w:sz w:val="14"/>
                <w:szCs w:val="14"/>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w:t>
            </w: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 (excluding intangible amortization)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compared with Three Months Ended March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three months ended March 31, 2024 increased by $2.3 million, or 28%, compared to the three months ended March 31, 2023.</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Product revenue for the three months ended March 31, 2024 increased by $1.8 million, or 31%, compared to the three months ended March 31, 2023. The increase was primarily attributable to increased procedure volume of $1.3 million and increased system revenue of $0.5 million.</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Service revenue for the three months ended March 31, 2024 increased by $0.2 million, or 25%, compared to the three months ended March 31, 2023. Our U.S. sales represented 70% and 64% of product and service revenue for the three months ended March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revenue for the three months ended March 31, 2024 increased by $0.3 million, or 20%, compared to the three months ended March 31, 2023.</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compared with Three Months Ended March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 for the three months ended March 31, 2024 increased by $1.0 million, or 25%, compared to the three months ended March 31,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 revenue for the three months ended March 31, 2024 increased by $0.3 million, or 13%, compared to the three months ended March 31, 2023. The increased cost of product revenue was attributable to increased system sales, which have a lower gross margin than procedure licenses, as well as the full costing of raw materials for ALLY Systems as all raw materials previously charged to research and development expenses have been utilized in production.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revenue for the three months ended March 31, 2024 increased by $0.6 million, or 52%, compared to the three months ended March 31, 2023 primarily due to the increased number of system placements.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lease revenue for the three months ended March 31, 2024 increased by $0.1 million, or 22%, compared to three months ended March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compared with Three Months Ended March 31, 2023</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for each of the three months ended March 31, 2024 and 2023 were $6.8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We expect selling, general and administrative expense to increase from current levels as we continue to expand our commercial infrastructure and commercialize the ALLY System.</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three months ended March 31, 2024 decreased by $0.2 million, or 12%,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three months ended March 31,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$0.3 million for the three months ended March 31, 2024, consistent with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Non-operating income and expenses, net for the three months ended March 31, 2024 were $0.7 million of income and consisted primarily of the change in fair value of warrant liabilities. Non-operating expenses, net were immaterial for the three months ended March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months ended March 31, 2024 and 2023.</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(2,157 )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(4,272 )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(198 )</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expense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0"/>
                <w:szCs w:val="20"/>
                <w:color w:val="auto"/>
              </w:rPr>
            </w:pPr>
          </w:p>
        </w:tc>
      </w:tr>
      <w:tr>
        <w:trPr>
          <w:trHeight w:val="241"/>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(1,434 )</w:t>
            </w:r>
          </w:p>
        </w:tc>
        <w:tc>
          <w:tcPr>
            <w:tcW w:w="3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(3,507 )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Change in fair value of warrant liabilities</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(495 )</w:t>
            </w: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(1,781 )</w:t>
            </w: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and change in fair value of warrant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liabilities provides meaningful supplemental information for investors when evaluating our results and comparing us to peer companies as stock-based compensation expense and change in fair value of warrant liabilities are significant non-cash charges.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we had net losses of $2.2 million and $4.3 million, respectively, and as of March 31, 2024, we had an accumulated deficit of $114.0 million. The change in fair value of warrant liabilities decreased net loss by $0.5 million in the three months ended March 31, 2024, and it is difficult to predict how the fair value of warrant liabilities will impact our future results. We expect to continue to incur losses and operating cash outflows for the near-term future as we continue to build our commercial and clinical infrastructure and pursue further regulatory clearances of our ALLY 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liquidity needs will be largely determined by our ability to successfully commercialize our products and the progression, additional regulatory clearances or certifications and launch of the ALLY System in additional jurisdictions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we transitioned from manufacturing and selling our LENSAR Laser System to focus on our ALLY System. The ALLY System has received regulatory approval in the United States, India and the Philippines. In September 2022, we submitted the ALLY System for certification in the EU, and in 2023, submitted documentation to distributors in South Korea, Taiwan, and China for additional marketing or certification applications. Our growth, market presence and ability to sell the ALLY System will depend on whether the ALLY System receives regulatory clearance in other regions outside the United States and the timing of these clearance or certifications, among other factors. In addition, our future revenue and cash flows will depend on, among other factors, our installed base of systems and the timing of and applicable clearances for our ALLY System.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March 31, 2024, we expect our current cash, cash equivalents, and investments,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revenue and expenses to increase in connection with our on-going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next generation cataract treatment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or the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material contractual obligations and commercial commitments at March 31, 2024 primarily consist of $2.2 million in operating lease liabilities for our facility lease and $4.8 million in remaining minimum purchase obligations for inventory components for the manufacture and supply of certain components within the next nine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Furthermore, the Company acquired certain intellectual property, which would result in additional royalty payments at a rate of 3% of certain revenue upon the phacoemulsification features being cleared for commercialization and operational in the ALLY System.</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filed a shelf registration statement on Form S-3 (No. 333-255136), or the Registration Statement, which provided for the Company’s offering of its securities in an amount of up to $100.0 million in the aggregate, and previously entered into a sales agreement providing for the offering, issuance and sale by the Company of up to an aggregate $35.0 million of its common stock from time to time in “at-the-market”, or ATM, offerings under the Registration Statement. No shares were sold under the ATM during the quarters ended March 31, 2024 and 2023, and the Registration Statement ceased to be effective in April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selected items in our condensed statements of cash flows:</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(5,307 )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(1,226 )</w:t>
            </w:r>
          </w:p>
        </w:tc>
        <w:tc>
          <w:tcPr>
            <w:tcW w:w="3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(130 )</w:t>
            </w:r>
          </w:p>
        </w:tc>
        <w:tc>
          <w:tcPr>
            <w:tcW w:w="3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(6,704 )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$5.3 million, consisting primarily of a net loss of $2.2 million and a decrease in net operating assets of $4.5 million, partially offset by non-cash charges of $1.3 million. The decrease in net operating assets was primarily due to changes in inventories and accrued liabilities, offset by changes in accounts receivable. Non-cash charges primarily consisted of depreciation, amortization, stock-based compensation, and change in fair value of warrant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$6.7 million, consisting primarily of a net loss of $4.3 million and a decrease in net operating assets of $5.1 million, partially offset by non-cash charges of $2.7 million. The decrease in net operating assets was primarily due to changes in inventories offset by changes in accounts receivable and accrued liabilities. Non-cash charges primarily consisted of depreciation, amortization, and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$1.2 million, consisting primarily of the purchase of investments, offset by investment maturities. Investing activities for the three months March 31, 2023 were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$0.1 million, consisting primarily of the net settlement of stock-based compensation awards and payment of accrued offering costs for the Private Placement.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Incentive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2020 Incentive Award Plan provides for the grant of stock options, restricted stock, restricted stock unit awards and other stock-based awards to recipients. During 2022, 2023 and the three months ended March 31, 2024, we granted stock options and restricted stock units to directors, employees and non-employees. We intend to grant stock options and restricted stock units as part of our overall compensation package to directors, employees, and non-employees.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At March 31, 2024, there was approximately $0.7 million and $2.0 million of total unrecognized compensation expense related to restricted stock units and stock options, respectively, which is expected to be recognized over a weighted-average period of 0.9 years and 2.0 years, respectively. Total unrecognized stock-based compensation expense is expected to be amortized as follows:</w:t>
      </w:r>
    </w:p>
    <w:p>
      <w:pPr>
        <w:spacing w:after="0" w:line="75"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60" w:type="dxa"/>
            <w:vAlign w:val="bottom"/>
            <w:shd w:val="clear" w:color="auto" w:fill="CFF0FC"/>
          </w:tcPr>
          <w:p>
            <w:pPr>
              <w:spacing w:after="0"/>
              <w:rPr>
                <w:sz w:val="20"/>
                <w:szCs w:val="20"/>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60" w:type="dxa"/>
            <w:vAlign w:val="bottom"/>
            <w:tcBorders>
              <w:top w:val="single" w:sz="8" w:color="CFF0FC"/>
            </w:tcBorders>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awards, restricted stock units, and stock options outstanding at March 31, 2024 and assumes the requisite service period is fulfilled for all awards outstanding. Actual stock-based compensation expense in future periods may vary from those reflected in the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and material changes in our critical accounting estimates during the three months ended March 31, 2024, as compared to those disclosed in “Management's Discussion and Analysis of Financial Condition and Results of Operations” included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condensed financial statements included in this Quarterly Report for a discussion of recently adopted accounting pronouncements and recently issued accounting pronouncements not yet adopted as of March 31,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and long-term investments of $19.1 million as of March 31, 2024. We generally hold our cash and cash equivalents in interest-bearing bank accounts, money market funds, and U.S. treasury bills.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March 31,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the system’s ability to operate for lack of payment and, in the case of notes receivable, repossess the system if scheduled payments lapse. As of March 31, 2024, no customers accounted for more than 10% of our accounts receivable,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limited exposure to foreign currency fluctuations and do not engage in any hedging activities as part of our normal course of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March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2024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14, 2023, stockholders Ryan Schaper and Christopher P. Bolster filed a Verified Amended Class Action Complaint (“Amended Complaint”) against the Company and certain of its officers and members of the board of directors (“Defendants”) in the matter captioned Schaper v. LENSAR, Inc., et al., Case No. 1:23-cv-00692-GBW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On August 18, 2023, the parties filed a joint stipulation extending Defendants’ time to respond to the complaint. On December 12, 2023, the Court appointed Ryan Schaper and Christopher P. Bolster as Lead Plaintiffs. On December 22, 2023, the parties filed a joint stipulation providing that Lead Plaintiffs will file a second amended complaint or designate the Amended Complaint as operative on or before January 12, 2024. On January 12, 2024, Lead Plaintiffs filed a Verified Second Amended Class Action Complaint (“Second Amended Complaint”). The Second Amended Complaint alleges that the Proxy failed to disclose details about North Run, discussion with stockholders regarding possible financing alternatives, LENSAR’s internal budget, the basis for the Board’s recommendation on the vote, potential costs to LENSAR if shareholders voted against the proposal, and purported conflicts of interest. Defendants filed a motion to dismiss on February 26, 2024. The parties will complete briefing on the motion to dismiss in May 2024.</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vigorously denies that the Proxy was deficient in any respect or that supplemental disclosures were required or necessary under applicable laws. At this time, the Company cannot predict the outcome, or provide a reasonable estimate or range of estimates of the possible outcome or loss, if any, in this matter.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matter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in the past, and could be in the future, adversely affected by economic uncertainty or deteriorations in economic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uncertainty, including due to factors such as increased inflation and rising interest rates,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operating losses for the near-term future and we cannot assure you that we will be able to generate sufficient revenue to achieve or sustain profitability.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2023, we had net losses of $19.9 million and $14.4 million, respectively, and for the three months ended March 31, 2023 and 2024, we had net losses of $4.3 million and $2.2 million, respectively. As of March 31, 2024,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had an accumulated deficit of $114.0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our revenue from the sale or lease of our LENSAR Laser and ALLY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derived our revenue from the sale or lease of our LENSAR Laser and ALLY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LENSAR Laser System to focus on our ALLY System. The ALLY System has also received regulatory approval in India and the Philippines. In September 2022, we submitted the ALLY System for certification in the European Union, or EU, and, in 2023, submitted documentation to distributors in South Korea, Taiwan, and China for additional marketing or certification applications. Our growth, market presence and ability to sell the ALLY System will depend on whether the ALLY System receives regulatory clearance or certifications in other regions outside the United States and the timing of these clearance or certifications, among other factors. In addition, our future revenue and cash flows will depend on, among other factors, our installed base of systems.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maintain our market share, execute our growth strategy, achieve commercial success and become profitable will depend upon the adoption and continued acceptance of our LENSAR Laser System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LENSAR Laser System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p>
    <w:p>
      <w:pPr>
        <w:spacing w:after="0" w:line="188"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visual outcomes and economic data that show the safety, efficacy, cost effectiveness and other patient benefits from use of our LENSAR Laser System, ALLY System or other future products;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cataract surgeons and others in the medical community of our LENSAR Laser System and ALLY System;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our LENSAR Laser System and ALLY System as compared to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for procedures in which our LENSAR Laser System, ALLY System or other future products is used but for which limited reimbursement by third-party payors, including government authorities, is available;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of those of our international distributors;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complications associated with using our LENSAR Laser System or ALLY System;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reliability and convenience of our LENSAR Laser System and ALLY System relative to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outcomes for patients in procedures in which surgeons use our LENSAR Laser System and ALLY System;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 post-market clinical studies relating to the use of our LENSAR Laser System and ALLY System;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leadership of our research and development teams;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third party blocking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our products to the market with speed and on time with our projected timelines;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larger, well-capitalized and product-diverse competitors, corporate-owned ASCs, group purchasing organizations, and government payors;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for procedures using our LENSAR Laser System, ALLY System or other future products from third-party payors, including government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maintain or increase market acceptance would limit our ability to generate revenue and would have a material adverse effect on our business, financial condition and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gain regulatory clearances and certifications, as well as our ability to meet production goals for our ALLY System.</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femtosecond-laser-assisted cataract surgery, or FLACS, procedure seamlessly in a single, sterile environment. The ALLY System is available to all U.S. cataract surgeons and has also received regulatory clearance in India and the Philippines. In addition, we submitted the ALLY System for certification in the European Union, or EU, in September 2022 and, in 2023, submitted documentation to distributors in South Korea, Taiwan, and China for additional marketing or certification applications. In addition, our ability to meet production goals can also be impacted by supply chain interruptions. Our ability to place systems in 2022 was limited by supply chain constraints that delayed the delivery of certain ALLY System raw materials and the completion and testing of ALLY Systems for use as launch-stock. If we experience further supply chain constraints, we may be unable to deliver ALLY Systems as planned.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ALLY System or any other new product offering or product enhancements we pursue will depend on several factors, including our ability to:</w:t>
      </w:r>
    </w:p>
    <w:p>
      <w:pPr>
        <w:spacing w:after="0" w:line="162"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cataract surgeon and patient needs;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competition based on our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 (or other regulatory authority)-compliant with manufacturing and marketing of new devices or modified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these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ALLY System or any other products we may develop in the future;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not successful in expanding our product offering, our ability to increase our revenue may be impaired, which could have a material adverse effect on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LENSAR Laser System or ALLY System,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LENSAR Laser System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rely exclusively on a network of independent distributors to generate sales and leases of our LENSAR Laser System and ALLY System as well as purchases of our consumables and licensed applications outside of the United States. For the three months ended March 31, 2024, one customer accounted for 13%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LENSAR Laser System, and our ALLY System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83"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the sale, lease or use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procuring, manufacturing and selling our systems, including increased costs, uncertainties, and delays associated with global supply chain disruptions and inflationary pressures;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the ALLY System, including increased costs associated with supply chain disruptions and inflationary pressures or other new products or technologies;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 that we are currently conducting or may conduct in the future;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and maintaining regulatory approval, certification or clearance of our products and planned or future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complying with state, federal and foreign laws and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and other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 or other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increased capital expenditures;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unanticipated general and administrative expenses, including expenses related to operating as a public company and insurance expenses;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51.9% of our total outstanding shares of common stock based on our shares outstanding as of March 31, 2024,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(including a resurgence of COVID-19 and its variants), epidemic or infectious disease, this could materially impact our ability to operate.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Manufacture of the phacoemulsification component of the ALLY System also requires us to rely on third parties.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our systems resulting from inflationary pressures and other macroeconomic conditions may necessitate an increase in the overall cost to customers, which in turn may have an adverse impact on customer demand.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compete, and expect to compete in the future, against other companies, some of which have longer operating histories, more established products or greater resources than we do.</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competitors are large publicly traded companies or divisions of publicly-traded companies and have several competitive advantages, including:</w:t>
      </w:r>
    </w:p>
    <w:p>
      <w:pPr>
        <w:spacing w:after="0" w:line="16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many of our competitors have their own intraocular lens, or IOLs, while we do not, which could put us at a competitive disadvantage. If we are unable to compete effectively in this environment, it could adversely affect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successfully market, sell and lease our products in markets outside of the United States, we must address many international business risks with which we have limited experience.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sold and leased a significant portion of our LENSAR Laser Systems outside of the United States through a network of independent distributors and intend to increase our international presence in Germany, China, India, and South Korea, as well as other international markets, including through sales and leases of our ALLY System once regulatory clearance in these regions has been obtained. Our international business operations are subject to a number of risks, including:</w:t>
      </w:r>
    </w:p>
    <w:p>
      <w:pPr>
        <w:spacing w:after="0" w:line="180"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as a result of more products and procedures receiving regulatory approval, certification or clearance or otherwise becoming free to market in international markets;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restrictions, trade regulations, and foreign tax 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effective marketing campaigns in unfamiliar international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clearance and shipping delays;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including the ongoing war between Russia and Ukraine, conflicts in the Middle East, potential conflict between China and Taiwan, terrorist attacks, and security concerns in general;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produced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 In addition,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some of our customers, which could result in material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customer demand and our inventory levels.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do not maintain large volumes of finished goods and anticipating demand for our products may be challenging as cataract surgeon demand and adoption rates can be unpredictable. In addition, as use of our LENSAR Laser System and ALLY System is adopted by more cataract surgeons, we anticipate greater fluctuations in demand for our products, which makes demand forecasting more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LENSAR Laser Systems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secure adequate coverage or reimbursement by government or other third-party payors for certain procedures using our ALLY Adaptive Cataract Treatment System or our other future products, or changes in current coverage or reimbursement, could materially impact our revenue and future growth.</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coverage and reimbursement from third-party payors, including government programs such as Medicare and Medicaid, private insurance plans and managed care programs, for certain procedures (e.g., phacoemulsification)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limited warranty for our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brought against us could cause us to incur substantial liabilities, limit the selling or leasing of our existing products and interfere with commercialization of any products that we may develop.</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 and may not fully reflect the underlying performance of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being the strongest and the first or third quarter being the slowest. We believe these seasonal changes are consistent across our industry. Other factors that may cause fluctuations in our quarterly and annual results include:</w:t>
      </w:r>
    </w:p>
    <w:p>
      <w:pPr>
        <w:spacing w:after="0" w:line="16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the more advanced, patient-pay procedures in which our systems are used;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LENSAR Laser Systems and ALLY Systems;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organization in the United States and network of independent distributors outside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from competitor pricing;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studies on our products or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and leases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delivery of systems,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surgeons, hospitals and ASCs to defer acquisitions of systems in anticipation of the introduction of new products or product enhancements by us or our competitors;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sampling by and additional training requirements for cataract surgeons upon the commercialization of a new product by us or one of our competitors;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clearances or certifications and legislative changes affecting the products we may offer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and raw material deliveries by our suppliers;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obtain regulatory clearance, certification or approval for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anticipated growth effectively, or are unable to increase or maintain our manufacturing capacity, we may not be able to meet customer demand for our products and our business could suffer.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p>
    <w:p>
      <w:pPr>
        <w:spacing w:after="0" w:line="176"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responsibilities for our management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our operating, financial and reporting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to anticipate and satisfy market demand;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capacity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our ability to source a larger supply of components, including as a result of ongoing supply chain issues, in order to meet our required specifications on a timely basis;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increasing number of relationships with our customers, suppliers and other third 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international territories with unfamiliar regulations and business approaches;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train and manage additional qualified personnel;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manufacturing from our LENSAR Laser System to our ALLY System.</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retain members of our senior management and other key employees. If we are unable to retain or recruit qualified personnel for growth, our business results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the use of information technology. Cybersecurity risks – any technology failures causing a material disruption to operational technology or cyber-attacks on our systems affecting our ability to protect the integrity and security 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 customer and employee information – could harm our reputation and/or could disrupt our operations and negatively impact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 depends on streamlined processes made available through our uninhibited access to information technology systems, global communications, internet activity and other network processes.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most companies, despite our current security measures, our information technology systems, and those of our third-party service providers, may be vulnerable to information security breaches, acts of vandalism, computer viruses and interruption,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Hackers and data thieves are increasingly sophisticated and operate large-scale and complex automated attacks which may remain undetected until after they occur. Even if identified, we may be unable to adequately investigate or remediate incidents or breaches due to attackers increasingly using tools and techniques that are designed to circumvent controls, to avoid detection, and to remove or obfuscate forensic evidence. We and certain of our service providers are from time to time subject to cyberattacks and security incidents.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and data subjects, and have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carry cyber insurance, which may expose us to certain potential losses for damages or result in penalization with fines in an amount exceeding our resources.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to comply with data privacy and security laws and other obligations could have a material adverse effect on our business, results of operations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We could be subject to attacks on our information technology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 consumer class action litigation and governmental investigations and proceedings by federal, state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or, collectively, HIPAA, the EU’s General Data Protection Regulation 2016/679 and applicable national supplementing laws, or GDPR, and the California Consumer Privacy Act, as amended by the California Privacy Rights Act, or,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imposes comprehensive compliance obligations regarding our processing of personal data of individuals within the EEA or in the context of our activities within the EEA,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SSCs -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or DPF, on July 10, 2023, rendering the DPF effective as a GDPR transfer mechanism to U.S. entities self-certified under the DPF.</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the SCCs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SSCs for existing arrangements within required time frame; and/or it could otherwise adversely affect the manner in which we provide our services and thus materially affect our operations and financial results. Failure to comply with the GDPR could result in penalties for certain breaches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of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the United Kingdom General Data Protection Regulation and Data Protection Act 2018, which collectively impose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information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products on a timely basis.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on our books may lead to significant impairment charges.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may incur significant impairment charges if the fair value of the intangible assets would be less than their carrying value on our balance sheet at any point in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continuing contingent liabilities of PDL BioPharma, Inc. following the Spin-Off.</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2020, we completed the Spin-Off and became an independent public company. There are several significant areas where the liabilities of PDL may become our obligations, notwithstanding the Spin-Off. For example, under the Internal Revenue Code of 1986, as amended, or the Code, and the related rules and regulations, each corporation that was a member of the PDL consolidated U.S. federal income tax reporting group during any taxable period or portion of any taxable period ending on or before the effective time of 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but in different amounts or at different times, on a standalone basis outside of the PDL consolidated group, and the amount of such taxes could be significant. If PDL is unable to pay any prior period taxes for which it is responsible, we could be required to pay the entire amount of such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indemnification obligations to PDL pursuant to the Separation and Distribution Agreement could materially and adversely affect 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Spin-Off, the Company and PDL entered into a Separation and Distribution Agreement, dated September 30, 2020, or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necessary additional clearances, certifications or approvals for our ALLY System and future products or modifications to our current products would adversely affect our ability to grow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have obtained clearance of our LENSAR Laser System and ALLY System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FLACS procedure seamlessly in a single, sterile environment. The ALLY System is available to all U.S. cataract surgeons and has also received regulatory clearance in India and the Philippines.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foreign regulatory authorities or notified bodies can delay, limit or deny clearance, certification or approval of a device for many reasons, including:</w:t>
      </w:r>
    </w:p>
    <w:p>
      <w:pPr>
        <w:spacing w:after="0" w:line="162" w:lineRule="exact"/>
        <w:rPr>
          <w:sz w:val="20"/>
          <w:szCs w:val="20"/>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authority or notified body that our products are safe or effective for their intended uses;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or notified body with the design or implementation of our clinical trials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certification or approval, where required;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2022, we submitted an application for certification of the ALLY System in the EU and, in 2023, we submitted documentation to distributors in South Korea, Taiwan, and China for additional marketing or certification applications. 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European Economic Area, or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UK, on June 26, 2022, the Medicines and Healthcare products Regulatory Agency, or MHRA, published its response to a 10-week consultation on the future regulation of medical devices in the United Kingdom.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Regulations implementing the new regime were originally scheduled to come into force in July 2023, but the MHRA has recently updated guidance to reflect that it is now aiming for core aspects of the future regime for medical devices to apply from July 1, 2025. Medical devices bearing CE marks issued by EU notified bodies under the EU Medical Devices Regulation or EU Medical Devices Directive are now subject to transitional arrangements. Medical devices compliant with the EU Medical Devices Directive or EU Active Implantable Medical Devices Directive with a valid declaration and CE marking can be placed on the Great Britain market up until the sooner of expiry of certificate or June 30, 2028. Medical devices compliant with the EU Medical Devices Regulation can be placed on the Great Britain market up until June 30, 2030. Following these transitional periods, all medical devices will require a UK Conformity Assessed, or UKCA, mark. Manufacturers may choose to use the UKCA mark on a voluntary basis prior to the regulations coming into force; however, UKCA marking will not be recognized in the EU. Following the transitional period, compliance with the UK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will be a prerequisite to be able to affix the UKCA mark to medical devices, without which they cannot be sold or marketed in Great Britain. The rules for placing medical devices on the Northern Ireland market will differ from those in the Great Britain and will continue to be governed according to EU requirements. These modifications may have an effect on the way we intend to conduct our business in these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89"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certifications or approvals (including foreign regulatory approvals)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or any of our suppliers could be forced to recall products or terminate production if we fail to comply with these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LENSAR Laser System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LENSAR Laser System and ALLY System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certifications or approvals for our products, we will be unable to market and sell our products outside of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Results of earlier studies may not be predictive of future clinical trial results, or the safety or efficacy profile for such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76" w:lineRule="exact"/>
        <w:rPr>
          <w:sz w:val="20"/>
          <w:szCs w:val="20"/>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other reviewing bodies may not authorize us or our investigators to commence a clinical trial, or to conduct or continue a clinical trial at a prospective or specific trial site;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or notified bodies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certification policies or regulations of FDA or applicable foreign regulatory agencies may change in a manner rendering our clinical data insufficient for certification or approval;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any further disruptions related to public health crises, such as a resurgence of COVID-19, may increase the likelihood that we encounter such difficulties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COVID-19 virus or emergence of new variants may lead to further inspectional delays. Regulatory authorities outside the United States have also adopted similar restrictions or other policy measures at times in response to the COVID-19 pandemic and may adopt similar restrictions or other policy measures in the future.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EU, notified bodies must be officially designated to certify products and services in accordance with the EU Medical Devices Regulation. Their designation process, which is significantly stricter under the new Regulation, has experienced considerable delays due to the COVID-19 pandemic. Despite a recent increase in designations, the current number of notified bodies designated under the new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commercialize our ALLY Adaptive Cataract Treatment System or other products we may develop in the future and may affect the prices we may set.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EU states, in December 2021, the EU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spacing w:after="0" w:line="180" w:lineRule="exact"/>
        <w:rPr>
          <w:sz w:val="20"/>
          <w:szCs w:val="20"/>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76" w:lineRule="exact"/>
        <w:rPr>
          <w:sz w:val="20"/>
          <w:szCs w:val="20"/>
          <w:color w:val="auto"/>
        </w:rPr>
      </w:pPr>
    </w:p>
    <w:p>
      <w:pPr>
        <w:jc w:val="both"/>
        <w:ind w:left="760" w:hanging="378"/>
        <w:spacing w:after="0" w:line="255"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spacing w:after="0" w:line="18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18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any violations by us of such laws could result in fines or other penalties.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w:t>
      </w:r>
    </w:p>
    <w:p>
      <w:pPr>
        <w:spacing w:after="0" w:line="3" w:lineRule="exact"/>
        <w:rPr>
          <w:sz w:val="20"/>
          <w:szCs w:val="20"/>
          <w:color w:val="auto"/>
        </w:rPr>
      </w:pPr>
    </w:p>
    <w:p>
      <w:pPr>
        <w:jc w:val="both"/>
        <w:ind w:firstLine="8"/>
        <w:spacing w:after="0" w:line="251" w:lineRule="auto"/>
        <w:tabs>
          <w:tab w:leader="none" w:pos="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enforcing of any patents or other intellectual property rights. The process of applying for and obtaining a patent is expensive, time-consuming and complex, and we may not be able to file, prosecute, maintain, enforce or license all necessary or desirable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March 31, 2024, we owned approximately 60 U.S. patents, 32 pending U.S. patent applications, 162 issued foreign patents, and 76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our relevant patents we may have expire;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technology on reasonable terms, we may not be able to successfully commercialize our products. Our licensed or acquired technology may lose value or utility or over time.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54" w:lineRule="auto"/>
        <w:rPr>
          <w:sz w:val="20"/>
          <w:szCs w:val="20"/>
          <w:color w:val="auto"/>
        </w:rPr>
      </w:pPr>
      <w:r>
        <w:rPr>
          <w:rFonts w:ascii="Times New Roman" w:cs="Times New Roman" w:eastAsia="Times New Roman" w:hAnsi="Times New Roman"/>
          <w:sz w:val="18"/>
          <w:szCs w:val="18"/>
          <w:color w:val="auto"/>
        </w:rPr>
        <w:t>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16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to others or to collect royalty payments based upon successful protection and assertion of our intellectual property rights against others; incur significant legal expenses;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technologies that contain the allegedly infringing intellectual property, which could be costly and disruptive, and may be infeasible;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technologies, we may have to withdraw existing products from the market or may be unable to commercialize one or more of our products.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confidential or proprietary information. Any of the foregoing could materially and adversely affect our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16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to our standards or legal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produce reliable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maintain confidentiality of our proprietary information;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rights to technology developed with our partners, and those disputes may be resolved against us;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cause delays in, or termination of, the research, development or commercialization of our products or result in litigation or arbitration.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jointly developing certain technologies with Oertli Instrumente AG, or Oertli, and our agreements with Oertli may restrict our freedom to practice and may not protect us against potential competition with respect to jointly-developed intellectual property.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entered into development and supply agreements with Oertli pursuant to which we are collaborating on the development and supply of the phacoemulsification component in our ALLY System. Under these agreements, intellectual property invented individually by either party is owned exclusively by such party and intellectual property jointly developed by us and Oertli will be jointly and severally owned by us and Oertli, and by the terms of our agreements, we and Oertli are entitled to practice such jointly owned intellectual property in our respective sole discretion. Our agreements with Oertli do not restrict how individually or jointly developed intellectual property may be used, exploited, or enforced. With respect to jointly developed intellectual property, both parties will be subject to default rules under the laws of various countries pertaining to joint ownership. Some countries require the consent of all joint owners to exploit, license or assign jointly owned patents, and if either party is unable to obtain that consent from the other party, the party requesting consent may be unable to exploit the invention or to license or assign its rights under these patents and patent applications in those countries. Additionally, in the United States, the other party may be required to be joined as a party to any claim or action a party may wish to bring to enforce these patent rights, which may limit its ability to pursue third party infringement claims. In some countries, Oertli will have a right to develop and commercialize products and technology invented during the course of our agreements, and to license to third parties the right to do so. This may lead to the development and commercialization of products and technology by others that are based on technology similar to our ALLY System, which may impair our competitive position in the marketplace and have an adverse impact on our business. If we cannot obtain distribution rights for such jointly-owned intellectual property or Oertli-owned intellectual property, our future product development and commercialization plans and competitive position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in our industry may be adversely affected, which may have a material adverse impact on our business, financial condition and results of operation.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51.9% of our total outstanding shares of common stock based on our shares outstanding as of March 31, 2024,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us will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on which adoption of such standards is required for non-emerging growth companies. As a result of this election, our financial statements may not be comparable to the financial statements of other public companies.</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 exceeds $700.0 million as of any June 30, in which case we would cease to be an “emerging growth company” as of December 31, (2) if our gross revenue exceeds $1.235 billion in any fiscal year or (3) if we issue more than $1.0 billion in nonconvertible notes in any three-year period.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decline or become more volatile.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shares of redeemable convertible preferred stock, and may in the future issue additional shares of preferred stock, with terms that could dilute the voting power or reduce the value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and its affiliates’ ownership may limit or preclude other stockholders’ ability to influence corporate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Run Capital, LP, or North Run, and its affiliates held 46.8% of the voting power of our capital stock based on shares outstanding as of March 31, 2024,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Delaware law could discourage takeover attempts and lead to management entrenchment and, therefore, may depress the trading price of our common stock.</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62" w:lineRule="exact"/>
        <w:rPr>
          <w:sz w:val="20"/>
          <w:szCs w:val="20"/>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be sustained, and the trading price of our common stock is likely to be volatile.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p>
    <w:p>
      <w:pPr>
        <w:spacing w:after="0" w:line="180"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operating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similar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publicly owned and available for trading;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governmental investigations;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business, including tax legislation;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earnings guidance;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changes in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volumes of sales of our shares of common stock by existing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and the conflicts in the Middle East, acts of terrorism, natural disasters and public health crises, such as a resurgence of COVID-19.</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For example, on August 18, 2023, two stockholders filed a Verified Amended Class Action Complaint against the Company and certain of its officers and members of the board of directors in the matter captioned Schaper v. LENSAR, Inc., et al., Case No. 1:23-cv-00692-GBW (D. Del.), alleging violations of Sections 14(a) and 20(a) of the Exchange Act, as well as Rule 14d-9 promulgated thereunder, and asserting claims challenging the adequacy of disclosures in the definitive proxy statement filed with the SEC on June 20, 2023. This type of litigation could result in very substantial costs, divert our management’s attention and resources, and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and will be subject to other requirements that will be burdensome and costly.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unqualified attestation report on the effectiveness of our internal control over financial reporting, investor confidence and, in turn, the market price of our common stock, could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stakeholder expectations regarding environmental, social, and governance matters may cause us to incur expenses and liabilities or otherwise adversely impact our business, financial condition, or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net operating loss, or NOL, carryforwards of $32.5 million for federal income tax purposes and $22.6 million for state income tax purposes, which may be available to offset our future taxable income, if any. Our state NOL carryforwards begin to expire in 2028. Our NOL carryforwards could expire unused, to the extent subject to expiration, and be unavailable to offset future taxable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likely to be limited as a result of such ownership change. However, we may have experienced additional ownership changes since December 31, 2023, and we may experience ownership changes in the future as a result of future transactions in our stock, some of which may be outside our control. If we have undergone additional ownership changes, or if we undergo ownership changes in the future, our ability to use our NOL carryforwards could be further limited. We have recorded a valuation allowance of $17.9 million related to our NOL carryforwards and other deferred tax assets due to the uncertainty of the ultimate realization of the future tax benefits of such assets.</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no directors or “officers” (as defined in Rule 16a-1(f) under the Exchange Act) of the Company adopted, modified or terminated a “Rule 10b5-1 trading arrangement” and/or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740" w:type="dxa"/>
            <w:vAlign w:val="bottom"/>
            <w:gridSpan w:val="1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29"/>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434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434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2.1+</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Separation and Distribution Agreement between PDL BioPharma,</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5"/>
            <w:vMerge w:val="restart"/>
          </w:tcPr>
          <w:p>
            <w:pPr>
              <w:spacing w:after="0" w:line="183"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Inc. and LENSAR, Inc.</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Amended and Restated Certificate of Incorporation of LENSAR,</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5"/>
            <w:vMerge w:val="restart"/>
          </w:tcPr>
          <w:p>
            <w:pPr>
              <w:spacing w:after="0" w:line="183"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Inc.</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Second Amended and Restated Bylaws of LENSAR, Inc.</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Certificate of Designations, Preferences and Rights of Series A</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5"/>
            <w:vMerge w:val="restart"/>
          </w:tcPr>
          <w:p>
            <w:pPr>
              <w:spacing w:after="0" w:line="183"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Convertible Preferred Stock filed May 18, 2023</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Form of Certificate of Common Stock</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Registration Rights Agreement, dated May 12, 2023, between</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5"/>
            <w:vMerge w:val="restart"/>
          </w:tcPr>
          <w:p>
            <w:pPr>
              <w:spacing w:after="0" w:line="183"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LENSAR, Inc, and NR-GRI Partners, LP</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Class A Common Stock Purchase Warrant, dated May 18, 2023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4.4</w:t>
            </w:r>
          </w:p>
        </w:tc>
        <w:tc>
          <w:tcPr>
            <w:tcW w:w="400" w:type="dxa"/>
            <w:vAlign w:val="bottom"/>
          </w:tcPr>
          <w:p>
            <w:pPr>
              <w:spacing w:after="0"/>
              <w:rPr>
                <w:sz w:val="24"/>
                <w:szCs w:val="24"/>
                <w:color w:val="auto"/>
              </w:rPr>
            </w:pPr>
          </w:p>
        </w:tc>
        <w:tc>
          <w:tcPr>
            <w:tcW w:w="4340" w:type="dxa"/>
            <w:vAlign w:val="bottom"/>
            <w:gridSpan w:val="15"/>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Class B Common Stock Purchase Warrant, dated May 18, 2023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10.1</w:t>
            </w: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Non-Employee Director Compensation Program, as 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10.2</w:t>
            </w: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Form of Performance Stock Unit Agreement pursuant to 2020</w:t>
            </w: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5"/>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Incentive Award Plan</w:t>
            </w:r>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10.3</w:t>
            </w: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Form of Restricted Stock Unit Agreement pursuant to 2020</w:t>
            </w: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5"/>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Incentive Award Plan</w:t>
            </w:r>
          </w:p>
        </w:tc>
        <w:tc>
          <w:tcPr>
            <w:tcW w:w="0" w:type="dxa"/>
            <w:vAlign w:val="bottom"/>
          </w:tcPr>
          <w:p>
            <w:pPr>
              <w:spacing w:after="0"/>
              <w:rPr>
                <w:sz w:val="1"/>
                <w:szCs w:val="1"/>
                <w:color w:val="auto"/>
              </w:rPr>
            </w:pPr>
          </w:p>
        </w:tc>
      </w:tr>
      <w:tr>
        <w:trPr>
          <w:trHeight w:val="74"/>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96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304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304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32.1</w:t>
            </w: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304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1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32.2</w:t>
            </w: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4260" w:type="dxa"/>
            <w:vAlign w:val="bottom"/>
            <w:gridSpan w:val="1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0" w:type="dxa"/>
            <w:vAlign w:val="bottom"/>
          </w:tcPr>
          <w:p>
            <w:pPr>
              <w:spacing w:after="0"/>
              <w:rPr>
                <w:sz w:val="1"/>
                <w:szCs w:val="1"/>
                <w:color w:val="auto"/>
              </w:rPr>
            </w:pPr>
          </w:p>
        </w:tc>
      </w:tr>
      <w:tr>
        <w:trPr>
          <w:trHeight w:val="203"/>
        </w:trPr>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400" w:type="dxa"/>
            <w:vAlign w:val="bottom"/>
          </w:tcPr>
          <w:p>
            <w:pPr>
              <w:spacing w:after="0"/>
              <w:rPr>
                <w:sz w:val="17"/>
                <w:szCs w:val="17"/>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0" w:type="dxa"/>
            <w:vAlign w:val="bottom"/>
          </w:tcPr>
          <w:p>
            <w:pPr>
              <w:spacing w:after="0"/>
              <w:rPr>
                <w:sz w:val="1"/>
                <w:szCs w:val="1"/>
                <w:color w:val="auto"/>
              </w:rPr>
            </w:pPr>
          </w:p>
        </w:tc>
      </w:tr>
    </w:tbl>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101.SCH</w:t>
            </w:r>
          </w:p>
        </w:tc>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 With Embedded</w:t>
            </w: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41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Linkbase Documents</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020" w:right="260" w:hanging="999"/>
        <w:spacing w:after="0" w:line="183" w:lineRule="auto"/>
        <w:tabs>
          <w:tab w:leader="none" w:pos="1020" w:val="left"/>
        </w:tabs>
        <w:numPr>
          <w:ilvl w:val="0"/>
          <w:numId w:val="34"/>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Cover Page Interactive Data File (as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9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50"/>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10/2/2020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10/2/2020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10-K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3/12/2021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8"/>
              </w:rPr>
              <w:t>Form 10/A</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9/14/2020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5/15/2023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2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w:t>
      </w:r>
    </w:p>
    <w:p>
      <w:pPr>
        <w:spacing w:after="0" w:line="333" w:lineRule="exact"/>
        <w:rPr>
          <w:sz w:val="20"/>
          <w:szCs w:val="20"/>
          <w:color w:val="auto"/>
        </w:rPr>
      </w:pPr>
    </w:p>
    <w:p>
      <w:pPr>
        <w:sectPr>
          <w:pgSz w:w="11900" w:h="16838" w:orient="portrait"/>
          <w:cols w:equalWidth="0" w:num="2">
            <w:col w:w="5380" w:space="220"/>
            <w:col w:w="5320"/>
          </w:cols>
          <w:pgMar w:left="320" w:top="981" w:right="659" w:bottom="1440" w:gutter="0" w:footer="0" w:header="0"/>
        </w:sectPr>
      </w:pPr>
    </w:p>
    <w:p>
      <w:pPr>
        <w:spacing w:after="0" w:line="45" w:lineRule="exact"/>
        <w:rPr>
          <w:sz w:val="20"/>
          <w:szCs w:val="20"/>
          <w:color w:val="auto"/>
        </w:rPr>
      </w:pPr>
    </w:p>
    <w:p>
      <w:pPr>
        <w:ind w:right="1760" w:firstLine="8"/>
        <w:spacing w:after="0" w:line="375" w:lineRule="auto"/>
        <w:tabs>
          <w:tab w:leader="none" w:pos="1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attachments to certain of these exhibits have been omitted pursuant to Regulation S-K, Item 601(a)(5).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81" w:right="65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800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rPr>
              <w:t>LENSAR, Inc.</w:t>
            </w:r>
          </w:p>
        </w:tc>
      </w:tr>
      <w:tr>
        <w:trPr>
          <w:trHeight w:val="45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800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NICHOLAS T. CURTIS</w:t>
            </w:r>
          </w:p>
        </w:tc>
      </w:tr>
      <w:tr>
        <w:trPr>
          <w:trHeight w:val="234"/>
        </w:trPr>
        <w:tc>
          <w:tcPr>
            <w:tcW w:w="3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Nicholas T. Curtis</w:t>
            </w:r>
          </w:p>
        </w:tc>
      </w:tr>
      <w:tr>
        <w:trPr>
          <w:trHeight w:val="238"/>
        </w:trPr>
        <w:tc>
          <w:tcPr>
            <w:tcW w:w="3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2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396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234"/>
        </w:trPr>
        <w:tc>
          <w:tcPr>
            <w:tcW w:w="3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 Staab, II</w:t>
            </w:r>
          </w:p>
        </w:tc>
      </w:tr>
      <w:tr>
        <w:trPr>
          <w:trHeight w:val="238"/>
        </w:trPr>
        <w:tc>
          <w:tcPr>
            <w:tcW w:w="3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2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396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KENDRA W. WONG</w:t>
            </w:r>
          </w:p>
        </w:tc>
      </w:tr>
      <w:tr>
        <w:trPr>
          <w:trHeight w:val="234"/>
        </w:trPr>
        <w:tc>
          <w:tcPr>
            <w:tcW w:w="3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Kendra W. Wong</w:t>
            </w:r>
          </w:p>
        </w:tc>
      </w:tr>
      <w:tr>
        <w:trPr>
          <w:trHeight w:val="238"/>
        </w:trPr>
        <w:tc>
          <w:tcPr>
            <w:tcW w:w="3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43"/>
        </w:trPr>
        <w:tc>
          <w:tcPr>
            <w:tcW w:w="32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62"/>
        </w:trPr>
        <w:tc>
          <w:tcPr>
            <w:tcW w:w="3240" w:type="dxa"/>
            <w:vAlign w:val="bottom"/>
          </w:tcPr>
          <w:p>
            <w:pPr>
              <w:spacing w:after="0"/>
              <w:rPr>
                <w:sz w:val="24"/>
                <w:szCs w:val="24"/>
                <w:color w:val="auto"/>
              </w:rPr>
            </w:pPr>
          </w:p>
        </w:tc>
        <w:tc>
          <w:tcPr>
            <w:tcW w:w="39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70</w:t>
            </w:r>
          </w:p>
        </w:tc>
        <w:tc>
          <w:tcPr>
            <w:tcW w:w="4040" w:type="dxa"/>
            <w:vAlign w:val="bottom"/>
          </w:tcPr>
          <w:p>
            <w:pPr>
              <w:spacing w:after="0"/>
              <w:rPr>
                <w:sz w:val="24"/>
                <w:szCs w:val="24"/>
                <w:color w:val="auto"/>
              </w:rPr>
            </w:pPr>
          </w:p>
        </w:tc>
      </w:tr>
      <w:tr>
        <w:trPr>
          <w:trHeight w:val="763"/>
        </w:trPr>
        <w:tc>
          <w:tcPr>
            <w:tcW w:w="32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LENSAR,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Effective May 3, 2024)</w:t>
      </w:r>
    </w:p>
    <w:p>
      <w:pPr>
        <w:spacing w:after="0" w:line="22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LENSAR,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receive cash and equity compensation as set forth in this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This Program has been adopted under the Company’s 2020 Incentive Award Plan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equity awards to be automatically granted pursuant to the Program. Capitalized terms not otherwise defined herein shall have the meanings ascribed in the Equity Plan.</w:t>
      </w:r>
    </w:p>
    <w:p>
      <w:pPr>
        <w:spacing w:after="0" w:line="194" w:lineRule="exact"/>
        <w:rPr>
          <w:sz w:val="20"/>
          <w:szCs w:val="20"/>
          <w:color w:val="auto"/>
        </w:rPr>
      </w:pPr>
    </w:p>
    <w:p>
      <w:pPr>
        <w:ind w:left="1160" w:hanging="403"/>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901"/>
        <w:spacing w:after="0" w:line="269" w:lineRule="auto"/>
        <w:tabs>
          <w:tab w:leader="none" w:pos="2316"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Each Non-Employee Director (other than the Executive Chairman) shall receive an annual retainer of $50,000 for service on the Board.</w:t>
      </w:r>
    </w:p>
    <w:p>
      <w:pPr>
        <w:spacing w:after="0" w:line="159"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642" w:val="left"/>
        </w:tabs>
        <w:numPr>
          <w:ilvl w:val="3"/>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Board/Lead Independent Director</w:t>
      </w:r>
      <w:r>
        <w:rPr>
          <w:rFonts w:ascii="Times New Roman" w:cs="Times New Roman" w:eastAsia="Times New Roman" w:hAnsi="Times New Roman"/>
          <w:sz w:val="20"/>
          <w:szCs w:val="20"/>
          <w:color w:val="auto"/>
        </w:rPr>
        <w:t>. A Non-Employee Director serving as Chairman of the Board or Lead Independent Director shall receive, in lieu of the annual retainer in clause (a) above, an annual retainer of $75,000 for such service.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each Non-Employee Director shall receive the following additional annual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retainers, as applicable:</w:t>
      </w:r>
    </w:p>
    <w:p>
      <w:pPr>
        <w:spacing w:after="0" w:line="193"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74"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696"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$7,000 for such service.</w:t>
      </w:r>
    </w:p>
    <w:p>
      <w:pPr>
        <w:spacing w:after="0" w:line="17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55"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$9,000 for such service. A Non-Employee Director serving as a member of the Nominating and Corporate Governance Committee (other than the Chairperson) shall receive an additional annual retainer of $4,500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both"/>
        <w:ind w:firstLine="1505"/>
        <w:spacing w:after="0" w:line="246" w:lineRule="auto"/>
        <w:tabs>
          <w:tab w:leader="none" w:pos="1893"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1(a) or 1(b), for an entire calendar quarter, the retainer paid to such Non-Employee Director shall be prorated for the portion of such calendar quarter actually served as a Non-Employee Director, or in such position, as applicable.</w:t>
      </w:r>
    </w:p>
    <w:p>
      <w:pPr>
        <w:spacing w:after="0" w:line="198" w:lineRule="exact"/>
        <w:rPr>
          <w:rFonts w:ascii="Times New Roman" w:cs="Times New Roman" w:eastAsia="Times New Roman" w:hAnsi="Times New Roman"/>
          <w:sz w:val="20"/>
          <w:szCs w:val="20"/>
          <w:color w:val="auto"/>
        </w:rPr>
      </w:pPr>
    </w:p>
    <w:p>
      <w:pPr>
        <w:jc w:val="both"/>
        <w:ind w:firstLine="757"/>
        <w:spacing w:after="0" w:line="248" w:lineRule="auto"/>
        <w:tabs>
          <w:tab w:leader="none" w:pos="115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awards hereby are subject in all respects to the terms of the Equity Plan and the applicable award agreement.</w:t>
      </w:r>
    </w:p>
    <w:p>
      <w:pPr>
        <w:spacing w:after="0" w:line="180"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3"/>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Non-Employee Director who is initially elected or appointed to the Board shall be automatically granted a number of stock options to purchase shares of the Company’s common stock under the Equity Plan, or any other applicable Company equity incentive plan then-maintained by the Company, equal to (i) $200,000, divided by (ii) the dollar value, using the Black-Scholes valuation methodology, of the right to purchase one share of the Company’s common stock on the date of such initial election or appointment (using the assumptions used by the Company for financial statement purposes and the closing price per share of the Company’s common stock on the date of such initial election or appointment as the price per share for purposes of such Black-Scholes valuation). The awards described in this Section 2(a) shall be referred to as “</w:t>
      </w:r>
      <w:r>
        <w:rPr>
          <w:rFonts w:ascii="Times New Roman" w:cs="Times New Roman" w:eastAsia="Times New Roman" w:hAnsi="Times New Roman"/>
          <w:sz w:val="20"/>
          <w:szCs w:val="20"/>
          <w:b w:val="1"/>
          <w:bCs w:val="1"/>
          <w:i w:val="1"/>
          <w:iCs w:val="1"/>
          <w:color w:val="auto"/>
        </w:rPr>
        <w:t>Initial Awards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505"/>
        <w:spacing w:after="0" w:line="255" w:lineRule="auto"/>
        <w:tabs>
          <w:tab w:leader="none" w:pos="1893" w:val="left"/>
        </w:tabs>
        <w:numPr>
          <w:ilvl w:val="3"/>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Subsequent Awards</w:t>
      </w:r>
      <w:r>
        <w:rPr>
          <w:rFonts w:ascii="Times New Roman" w:cs="Times New Roman" w:eastAsia="Times New Roman" w:hAnsi="Times New Roman"/>
          <w:sz w:val="19"/>
          <w:szCs w:val="19"/>
          <w:color w:val="auto"/>
        </w:rPr>
        <w:t>. A Non-Employee Director who (i) is serving on the Board as of the date of any annual meeting of the Company’s stockholders, and (ii) will continue to serve as a Non-Employee Director immediately following such meeting, shall be automatically granted a number of Restricted Stock Units under the Equity Plan, or any other applicable Company equity incentive plan then-maintained by the Company, equal to (A) $100,000, divided by (B) the closing price per share for the Company’s common stock on the date of such annual meeting. Notwithstanding the foregoing, with respect to the Subsequent Awards to be granted in 2024 pursuant to this Section 2(b), the maximum number of Restricted Stock Units granted to each Non-Employee Director as a Subsequent Award shall not exceed 22,000 Restricted Stock Units. To the extent a Non-Employee Director’s 2024 Subsequent Award is subject to cutback as a result of the previous sentence, the Non-Employee Director shall be entitled to receive a cash payment equal to the amount by which (I) $100,000 exceeds</w:t>
      </w:r>
    </w:p>
    <w:p>
      <w:pPr>
        <w:jc w:val="both"/>
        <w:ind w:firstLine="8"/>
        <w:spacing w:after="0" w:line="239" w:lineRule="auto"/>
        <w:tabs>
          <w:tab w:leader="none" w:pos="33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number of Restricted Stock Units granted to the Non-Employee Director pursuant to this Section 2(b), multiplied by (b) the closing price per share of the Company’s common stock on the date of the 2024 annual meeting of the Company’s stockholders, which cash payment shall be paid within 30 days following the 2024 annual meeting of the Company’s stockholders. To the extent a Non-Employee Director receives any portion of the 2024 Subsequent Award amount in cash, such cash payment shall not be subject to vesting under Section 2(d). The awards described in this Section 2(b) shall be referred to as “</w:t>
      </w:r>
      <w:r>
        <w:rPr>
          <w:rFonts w:ascii="Times New Roman" w:cs="Times New Roman" w:eastAsia="Times New Roman" w:hAnsi="Times New Roman"/>
          <w:sz w:val="20"/>
          <w:szCs w:val="20"/>
          <w:b w:val="1"/>
          <w:bCs w:val="1"/>
          <w:i w:val="1"/>
          <w:iCs w:val="1"/>
          <w:color w:val="auto"/>
        </w:rPr>
        <w:t>Subsequent Awards</w:t>
      </w:r>
      <w:r>
        <w:rPr>
          <w:rFonts w:ascii="Times New Roman" w:cs="Times New Roman" w:eastAsia="Times New Roman" w:hAnsi="Times New Roman"/>
          <w:sz w:val="20"/>
          <w:szCs w:val="20"/>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3" w:lineRule="exact"/>
        <w:rPr>
          <w:rFonts w:ascii="Times New Roman" w:cs="Times New Roman" w:eastAsia="Times New Roman" w:hAnsi="Times New Roman"/>
          <w:sz w:val="20"/>
          <w:szCs w:val="20"/>
          <w:color w:val="auto"/>
        </w:rPr>
      </w:pPr>
    </w:p>
    <w:p>
      <w:pPr>
        <w:jc w:val="both"/>
        <w:ind w:firstLine="799"/>
        <w:spacing w:after="0" w:line="242" w:lineRule="auto"/>
        <w:tabs>
          <w:tab w:leader="none" w:pos="1187"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line="250" w:lineRule="auto"/>
        <w:rPr>
          <w:sz w:val="20"/>
          <w:szCs w:val="20"/>
          <w:color w:val="auto"/>
        </w:rPr>
      </w:pPr>
      <w:r>
        <w:rPr>
          <w:rFonts w:ascii="Times New Roman" w:cs="Times New Roman" w:eastAsia="Times New Roman" w:hAnsi="Times New Roman"/>
          <w:sz w:val="20"/>
          <w:szCs w:val="20"/>
          <w:color w:val="auto"/>
        </w:rPr>
        <w:t>entitled, will receive, after termination from employment with the Company and any parent or subsidiary of the Company, Subsequent Awards as described in Section 2(b) above.</w:t>
      </w:r>
    </w:p>
    <w:p>
      <w:pPr>
        <w:spacing w:after="0" w:line="1" w:lineRule="exact"/>
        <w:rPr>
          <w:sz w:val="20"/>
          <w:szCs w:val="20"/>
          <w:color w:val="auto"/>
        </w:rPr>
      </w:pPr>
    </w:p>
    <w:p>
      <w:pPr>
        <w:ind w:left="1920" w:hanging="415"/>
        <w:spacing w:after="0"/>
        <w:tabs>
          <w:tab w:leader="none" w:pos="19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Awards Granted to Non-Employee Directors</w:t>
      </w:r>
      <w:r>
        <w:rPr>
          <w:rFonts w:ascii="Times New Roman" w:cs="Times New Roman" w:eastAsia="Times New Roman" w:hAnsi="Times New Roman"/>
          <w:sz w:val="20"/>
          <w:szCs w:val="20"/>
          <w:color w:val="auto"/>
        </w:rPr>
        <w:t>.  Each Initial Award shall vest and become exercisable as</w:t>
      </w:r>
    </w:p>
    <w:p>
      <w:pPr>
        <w:jc w:val="both"/>
        <w:spacing w:after="0" w:line="23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 one-third of the shares subject to the Initial Award shall vest and/or become exercisable on the first anniversary of the date of the Non-Employee Director’s election or appointment to the Board, and the remaining shares subject to the Initial Award shall vest and/or become exercisable in substantially equal monthly installments over the two years thereafter, subject to the Non-Employee Director continuing in service on the Board through each such vesting date. Each Subsequent Award granted in the form of Restricted Stock Units shall vest in full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anniversary of the date of grant, subject to the Non-Employee Director continuing in service on the Board through each such vesting date. Unless the Board otherwise determines, no portion of an Initial Award or Subsequent Award which is unvested and/or exercisable at the time of a Non-Employee Director’s termination of service on the Board shall become vested and/or exercisable thereafter. Upon a Non-Employee Director’s death or Disability, or upon a Change in Control, all outstanding equity awards granted under the Equity Plan, and any other equity incentive plan maintained by the Company, that are held by a Non-Employee Director shall become fully vested and/or exercisable, irrespective of any other provisions of the Equity Plan or any award agreement.</w:t>
      </w:r>
    </w:p>
    <w:p>
      <w:pPr>
        <w:spacing w:after="0" w:line="192" w:lineRule="exact"/>
        <w:rPr>
          <w:rFonts w:ascii="Times New Roman" w:cs="Times New Roman" w:eastAsia="Times New Roman" w:hAnsi="Times New Roman"/>
          <w:sz w:val="20"/>
          <w:szCs w:val="20"/>
          <w:color w:val="auto"/>
        </w:rPr>
      </w:pPr>
    </w:p>
    <w:p>
      <w:pPr>
        <w:jc w:val="both"/>
        <w:ind w:firstLine="1505"/>
        <w:spacing w:after="0" w:line="236" w:lineRule="auto"/>
        <w:tabs>
          <w:tab w:leader="none" w:pos="190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Election for Subsequent Awards</w:t>
      </w:r>
      <w:r>
        <w:rPr>
          <w:rFonts w:ascii="Times New Roman" w:cs="Times New Roman" w:eastAsia="Times New Roman" w:hAnsi="Times New Roman"/>
          <w:sz w:val="20"/>
          <w:szCs w:val="20"/>
          <w:color w:val="auto"/>
        </w:rPr>
        <w:t>. Commencing with the Subsequent Awards to be granted in 2024, each Non-Employee Director shall be permitted to elect to defer, or not defer, the payment date of any Subsequent Award granted to such Non-Employee Director for service to the Company (excluding, for clarity, any portion of any 2024 Subsequent Award that is paid in cash) (such election, a “</w:t>
      </w:r>
      <w:r>
        <w:rPr>
          <w:rFonts w:ascii="Times New Roman" w:cs="Times New Roman" w:eastAsia="Times New Roman" w:hAnsi="Times New Roman"/>
          <w:sz w:val="20"/>
          <w:szCs w:val="20"/>
          <w:b w:val="1"/>
          <w:bCs w:val="1"/>
          <w:i w:val="1"/>
          <w:iCs w:val="1"/>
          <w:color w:val="auto"/>
        </w:rPr>
        <w:t>Deferral Election</w:t>
      </w:r>
      <w:r>
        <w:rPr>
          <w:rFonts w:ascii="Times New Roman" w:cs="Times New Roman" w:eastAsia="Times New Roman" w:hAnsi="Times New Roman"/>
          <w:sz w:val="20"/>
          <w:szCs w:val="20"/>
          <w:color w:val="auto"/>
        </w:rPr>
        <w:t>”). Any Deferral Election for a Subsequent Award granted in 2024 (excluding, for clarity, any portion of such 2024 Subsequent Award that is paid in cash) shall be made at such time(s) prior to the date of the 2024 annual meeting of the Company’s stockholders as may be determined by the Board. Any Deferral Election for a Subsequent Award payable in respect of service to the Company for any subsequent calendar year shall be made on or prior to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the immediately preceding calendar year (or by such other date as determined by the Board in its discretion). Any such Deferral Election shall be made in accordance with election procedures established by the Board, as in effect from time to time.</w:t>
      </w:r>
    </w:p>
    <w:p>
      <w:pPr>
        <w:spacing w:after="0" w:line="191"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to Form of Equity Awards in the Future</w:t>
      </w:r>
      <w:r>
        <w:rPr>
          <w:rFonts w:ascii="Times New Roman" w:cs="Times New Roman" w:eastAsia="Times New Roman" w:hAnsi="Times New Roman"/>
          <w:sz w:val="20"/>
          <w:szCs w:val="20"/>
          <w:color w:val="auto"/>
        </w:rPr>
        <w:t>. Notwithstanding the provisions of this Section 2, the Board may, in its discretion, determine that any Initial Awards or Subsequent Awards to be granted in the future may be granted, in whole or in part, in the form of alternative equity awards, such as restricted stock or restricted stock units, in such manner as the Board may determine.</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Reimbursements</w:t>
      </w:r>
      <w:r>
        <w:rPr>
          <w:rFonts w:ascii="Times New Roman" w:cs="Times New Roman" w:eastAsia="Times New Roman" w:hAnsi="Times New Roman"/>
          <w:sz w:val="20"/>
          <w:szCs w:val="20"/>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78" w:lineRule="exact"/>
        <w:rPr>
          <w:rFonts w:ascii="Times New Roman" w:cs="Times New Roman" w:eastAsia="Times New Roman" w:hAnsi="Times New Roman"/>
          <w:sz w:val="20"/>
          <w:szCs w:val="20"/>
          <w:color w:val="auto"/>
        </w:rPr>
      </w:pPr>
    </w:p>
    <w:p>
      <w:pPr>
        <w:ind w:left="5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 * * *</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514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LENSAR,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GRANT NOTICE</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Capitalized terms not specifically defined in this Performance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LENSAR,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Performance Restricted Stock Units described in this Grant Notice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xml:space="preserve">”), subject to the terms and conditions of the Plan and the Performance Restricted Stock Unit Agreement attached hereto as </w:t>
      </w:r>
      <w:r>
        <w:rPr>
          <w:rFonts w:ascii="Times New Roman" w:cs="Times New Roman" w:eastAsia="Times New Roman" w:hAnsi="Times New Roman"/>
          <w:sz w:val="20"/>
          <w:szCs w:val="20"/>
          <w:b w:val="1"/>
          <w:bCs w:val="1"/>
          <w:color w:val="auto"/>
        </w:rPr>
        <w:t xml:space="preserve">Exhibit A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129540</wp:posOffset>
            </wp:positionV>
            <wp:extent cx="7057390" cy="10477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057390" cy="1047750"/>
                    </a:xfrm>
                    <a:prstGeom prst="rect">
                      <a:avLst/>
                    </a:prstGeom>
                    <a:noFill/>
                  </pic:spPr>
                </pic:pic>
              </a:graphicData>
            </a:graphic>
          </wp:anchor>
        </w:drawing>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5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Participant:</w:t>
            </w:r>
          </w:p>
        </w:tc>
        <w:tc>
          <w:tcPr>
            <w:tcW w:w="7960" w:type="dxa"/>
            <w:vAlign w:val="bottom"/>
          </w:tcPr>
          <w:p>
            <w:pPr>
              <w:spacing w:after="0"/>
              <w:rPr>
                <w:sz w:val="22"/>
                <w:szCs w:val="22"/>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7960" w:type="dxa"/>
            <w:vAlign w:val="bottom"/>
          </w:tcPr>
          <w:p>
            <w:pPr>
              <w:spacing w:after="0"/>
              <w:rPr>
                <w:sz w:val="24"/>
                <w:szCs w:val="24"/>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Number of PSUs:</w:t>
            </w:r>
          </w:p>
        </w:tc>
        <w:tc>
          <w:tcPr>
            <w:tcW w:w="7960" w:type="dxa"/>
            <w:vAlign w:val="bottom"/>
          </w:tcPr>
          <w:p>
            <w:pPr>
              <w:spacing w:after="0"/>
              <w:rPr>
                <w:sz w:val="24"/>
                <w:szCs w:val="24"/>
                <w:color w:val="auto"/>
              </w:rPr>
            </w:pPr>
          </w:p>
        </w:tc>
      </w:tr>
      <w:tr>
        <w:trPr>
          <w:trHeight w:val="31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796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8"/>
              </w:rPr>
              <w:t xml:space="preserve">The PSUs shall vest as described in Article II of this Agreement and </w:t>
            </w:r>
            <w:r>
              <w:rPr>
                <w:rFonts w:ascii="Times New Roman" w:cs="Times New Roman" w:eastAsia="Times New Roman" w:hAnsi="Times New Roman"/>
                <w:sz w:val="20"/>
                <w:szCs w:val="20"/>
                <w:b w:val="1"/>
                <w:bCs w:val="1"/>
                <w:color w:val="auto"/>
                <w:w w:val="98"/>
              </w:rPr>
              <w:t>Schedule 1</w:t>
            </w:r>
            <w:r>
              <w:rPr>
                <w:rFonts w:ascii="Times New Roman" w:cs="Times New Roman" w:eastAsia="Times New Roman" w:hAnsi="Times New Roman"/>
                <w:sz w:val="20"/>
                <w:szCs w:val="20"/>
                <w:color w:val="auto"/>
                <w:w w:val="98"/>
              </w:rPr>
              <w:t xml:space="preserve"> to</w:t>
            </w:r>
          </w:p>
        </w:tc>
      </w:tr>
      <w:tr>
        <w:trPr>
          <w:trHeight w:val="258"/>
        </w:trPr>
        <w:tc>
          <w:tcPr>
            <w:tcW w:w="2820" w:type="dxa"/>
            <w:vAlign w:val="bottom"/>
          </w:tcPr>
          <w:p>
            <w:pPr>
              <w:spacing w:after="0"/>
              <w:rPr>
                <w:sz w:val="22"/>
                <w:szCs w:val="22"/>
                <w:color w:val="auto"/>
              </w:rPr>
            </w:pPr>
          </w:p>
        </w:tc>
        <w:tc>
          <w:tcPr>
            <w:tcW w:w="79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the Agreement.</w:t>
            </w:r>
          </w:p>
        </w:tc>
      </w:tr>
    </w:tbl>
    <w:p>
      <w:pPr>
        <w:spacing w:after="0" w:line="20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E*Trade)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By Participant’s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Participant has been provided with a copy or electronic access to a copy of the prospectus for the Plan.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AGREEMENT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1.1 Award of PSUs</w:t>
      </w:r>
      <w:r>
        <w:rPr>
          <w:rFonts w:ascii="Times New Roman" w:cs="Times New Roman" w:eastAsia="Times New Roman" w:hAnsi="Times New Roman"/>
          <w:sz w:val="20"/>
          <w:szCs w:val="20"/>
          <w:color w:val="auto"/>
        </w:rPr>
        <w:t>. The Company has granted the PSUs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PSU represents the right to receive one Share, as set forth in this Agreement. Participant will have no right to the distribution of any Shares until the time (if ever) the PSUs have vested.</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1.2 Incorporation of Terms of Plan</w:t>
      </w:r>
      <w:r>
        <w:rPr>
          <w:rFonts w:ascii="Times New Roman" w:cs="Times New Roman" w:eastAsia="Times New Roman" w:hAnsi="Times New Roman"/>
          <w:sz w:val="20"/>
          <w:szCs w:val="20"/>
          <w:color w:val="auto"/>
        </w:rPr>
        <w:t>. The PSUs are subject to the terms and conditions set forth in this Agreement and the Plan, which is incorporated herein by reference. In the event of any inconsistency between the Plan and this Agreement, the terms of the Plan will control.</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1.3 Unsecured Promise</w:t>
      </w:r>
      <w:r>
        <w:rPr>
          <w:rFonts w:ascii="Times New Roman" w:cs="Times New Roman" w:eastAsia="Times New Roman" w:hAnsi="Times New Roman"/>
          <w:sz w:val="20"/>
          <w:szCs w:val="20"/>
          <w:color w:val="auto"/>
        </w:rPr>
        <w:t>. The PSUs will at all times prior to settlement represent an unsecured Company obligation payable only from the Company’s general assets.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u w:val="single" w:color="auto"/>
          <w:color w:val="auto"/>
        </w:rPr>
        <w:t>2.1 Vesting; Forfeiture</w:t>
      </w:r>
      <w:r>
        <w:rPr>
          <w:rFonts w:ascii="Times New Roman" w:cs="Times New Roman" w:eastAsia="Times New Roman" w:hAnsi="Times New Roman"/>
          <w:sz w:val="20"/>
          <w:szCs w:val="20"/>
          <w:color w:val="auto"/>
        </w:rPr>
        <w:t xml:space="preserve">. The PSUs will vest according to the vesting schedule set forth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i w:val="1"/>
          <w:iCs w:val="1"/>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Schedule</w:t>
      </w:r>
      <w:r>
        <w:rPr>
          <w:rFonts w:ascii="Times New Roman" w:cs="Times New Roman" w:eastAsia="Times New Roman" w:hAnsi="Times New Roman"/>
          <w:sz w:val="20"/>
          <w:szCs w:val="20"/>
          <w:color w:val="auto"/>
        </w:rPr>
        <w:t>”). Except as provided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in the event of Participant’s Termination of Service for any reason, all unvested PSUs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immediately and automatically be cancelled and forfeited, except as otherwise determined by the Administrator or provided in a binding written agreement between Participant and the Company. Unless and until the PSUs have vested in accordance with the Vesting Schedule, Participant will have no right to any distribution with respect to such PSUs.</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2.2 Settlement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505"/>
        <w:spacing w:after="0" w:line="269"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will be paid in Shares as soon as administratively practicable after the vesting of the applicable PSUs, but in no event more than thirty (30) days after the applicable vesting date.</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PSUs may be changed, except as may be permitted by the Administrator in accordance with the Plan and Section 409A of the Code and the Treasury Regulations thereunder.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9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3.1 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0" w:name="page81"/>
    <w:bookmarkEnd w:id="80"/>
    <w:p>
      <w:pPr>
        <w:spacing w:after="0" w:line="269" w:lineRule="auto"/>
        <w:rPr>
          <w:sz w:val="20"/>
          <w:szCs w:val="20"/>
          <w:color w:val="auto"/>
        </w:rPr>
      </w:pPr>
      <w:r>
        <w:rPr>
          <w:rFonts w:ascii="Times New Roman" w:cs="Times New Roman" w:eastAsia="Times New Roman" w:hAnsi="Times New Roman"/>
          <w:sz w:val="20"/>
          <w:szCs w:val="20"/>
          <w:color w:val="auto"/>
        </w:rPr>
        <w:t>the Grant Notice and this Agreement. Participant is relying solely on such advisors and not on any statements or representations of the Company or any of its agents.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3.2 Tax Withholding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3"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authority and the right to deduct or withhold, or require Participant to remit to the Company, an amount sufficient to satisfy federal, state, local and foreign taxes (including Participant’s employment tax obligation) required by Applicable Law to be withheld with respect to any taxable event concerning Participant arising as a result of the grant, vesting or settlement of the PSUs or otherwise under this Agreement, including, without limitation, the authority to deduct such amounts from other compensation payable to Participant by the Company. Further, the Company has the right and option, but not the obligation, to treat Participant’s failure to provide timely payment in accordance with the Plan of any withholding tax arising in connection with the PSUs as Participant’s election to satisfy all or any portion of the withholding tax by requesting the Company retain Shares otherwise issuable under the Award (provided that if Participant is subject to Section 16 of the Exchange Act, any such action by the Company shall require the approval of the Administrator).</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9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4.1 Award Not Transferable</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4.2 Adjustments</w:t>
      </w:r>
      <w:r>
        <w:rPr>
          <w:rFonts w:ascii="Times New Roman" w:cs="Times New Roman" w:eastAsia="Times New Roman" w:hAnsi="Times New Roman"/>
          <w:sz w:val="20"/>
          <w:szCs w:val="20"/>
          <w:color w:val="auto"/>
        </w:rPr>
        <w:t>. Participant acknowledges that the PSUs and the Shares subject to the PSUs are subject to adjustment, modification and termination in certain events as provided in this Agreement and the Plan.</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4.3 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4.4 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4.5 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4.6 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4.7 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4.8 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4.9 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4.10Limitation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4.11Not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4.12Counterparts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153"/>
        <w:spacing w:after="0" w:line="254" w:lineRule="auto"/>
        <w:tabs>
          <w:tab w:leader="none" w:pos="15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50" w:lineRule="auto"/>
        <w:rPr>
          <w:sz w:val="20"/>
          <w:szCs w:val="20"/>
          <w:color w:val="auto"/>
        </w:rPr>
      </w:pPr>
      <w:r>
        <w:rPr>
          <w:rFonts w:ascii="Times New Roman" w:cs="Times New Roman" w:eastAsia="Times New Roman" w:hAnsi="Times New Roman"/>
          <w:sz w:val="20"/>
          <w:szCs w:val="20"/>
          <w:color w:val="auto"/>
        </w:rPr>
        <w:t>such regulations or other guidance that may be issued after the Grant Date,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80" w:lineRule="exact"/>
        <w:rPr>
          <w:sz w:val="20"/>
          <w:szCs w:val="20"/>
          <w:color w:val="auto"/>
        </w:rPr>
      </w:pPr>
    </w:p>
    <w:p>
      <w:pPr>
        <w:jc w:val="both"/>
        <w:ind w:firstLine="1153"/>
        <w:spacing w:after="0" w:line="245" w:lineRule="auto"/>
        <w:tabs>
          <w:tab w:leader="none" w:pos="1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not intended to provide for any deferral of compensation subject to Section 409A of the Code, and, accordingly, the Shares issuable pursuant to the PSUs hereunder shall be distributed to Participant no later than the later of: (A) the fifteenth (15th) day of the third month following Participant’s first taxable year in which such PSUs are no longer subject to a substantial risk of forfeiture, and (B) the fifteenth (15th) day of the third month following first taxable year of the Company in which such PSUs are no longer subject to substantial risk of forfeiture, as determined in accordance with Section 409A and any Treasury Regulations and other guidance issued thereunder.</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thereunder, including the PSUs, shall be governed by and interpreted in accordance with the laws of the State of Delaware, disregarding choice-of-law principles of the law of any state that would require the application of the laws of a jurisdiction other than such state.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1743075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514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LENSAR,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 – DIRECTOR DEFERRAL</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LENSAR,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129540</wp:posOffset>
            </wp:positionV>
            <wp:extent cx="7057390" cy="9709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057390" cy="970915"/>
                    </a:xfrm>
                    <a:prstGeom prst="rect">
                      <a:avLst/>
                    </a:prstGeom>
                    <a:noFill/>
                  </pic:spPr>
                </pic:pic>
              </a:graphicData>
            </a:graphic>
          </wp:anchor>
        </w:drawing>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Participant:</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Grant Date:</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Number of RSUs:</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Vest Commencement Date:</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Subject to any acceleration provisions contained in the Plan or set forth below, the RSUs shall vest in accordance with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248" w:lineRule="exact"/>
        <w:rPr>
          <w:sz w:val="20"/>
          <w:szCs w:val="20"/>
          <w:color w:val="auto"/>
        </w:rPr>
      </w:pPr>
    </w:p>
    <w:p>
      <w:pPr>
        <w:ind w:left="2460"/>
        <w:spacing w:after="0"/>
        <w:tabs>
          <w:tab w:leader="none" w:pos="7820" w:val="left"/>
        </w:tabs>
        <w:rPr>
          <w:sz w:val="20"/>
          <w:szCs w:val="20"/>
          <w:color w:val="auto"/>
        </w:rPr>
      </w:pPr>
      <w:r>
        <w:rPr>
          <w:rFonts w:ascii="Times New Roman" w:cs="Times New Roman" w:eastAsia="Times New Roman" w:hAnsi="Times New Roman"/>
          <w:sz w:val="20"/>
          <w:szCs w:val="20"/>
          <w:u w:val="single" w:color="auto"/>
          <w:color w:val="auto"/>
        </w:rPr>
        <w:t>Shares</w:t>
      </w:r>
      <w:r>
        <w:rPr>
          <w:sz w:val="20"/>
          <w:szCs w:val="20"/>
          <w:color w:val="auto"/>
        </w:rPr>
        <w:tab/>
      </w:r>
      <w:r>
        <w:rPr>
          <w:rFonts w:ascii="Times New Roman" w:cs="Times New Roman" w:eastAsia="Times New Roman" w:hAnsi="Times New Roman"/>
          <w:sz w:val="20"/>
          <w:szCs w:val="20"/>
          <w:u w:val="single" w:color="auto"/>
          <w:color w:val="auto"/>
        </w:rPr>
        <w:t>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the RSUs shall vest in full immediately upon a Change in Control.</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E*Trade)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By Participant’s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Participant has been provided with a copy or electronic access to a copy of the prospectus for the Plan.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1.1 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the distribution of any Shares until the time (if ever) the RSUs have vested.</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1.2 Incorporation of Terms of Plan</w:t>
      </w:r>
      <w:r>
        <w:rPr>
          <w:rFonts w:ascii="Times New Roman" w:cs="Times New Roman" w:eastAsia="Times New Roman" w:hAnsi="Times New Roman"/>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1.3 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2.1 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 except that any fraction of an RSU that would otherwise be vested will be accumulated and will vest only when a whole RSU has accumulated. Except as provided in the Grant Notice, in the event of Participant’s Termination of Service for any reason, all unvested RSUs will immediately and automatically be cancelled and forfeited, except as otherwise determined by the Administrator or provided in a binding written agreement between Participant and the Company. Unless and until the RSUs have vested in accordance with the Vesting Schedule set forth in the Grant Notice, Participant will have no right to any distribution with respect to such RSUs.</w:t>
      </w:r>
    </w:p>
    <w:p>
      <w:pPr>
        <w:spacing w:after="0" w:line="200" w:lineRule="exact"/>
        <w:rPr>
          <w:sz w:val="20"/>
          <w:szCs w:val="20"/>
          <w:color w:val="auto"/>
        </w:rPr>
      </w:pP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2.2 Settlement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505"/>
        <w:spacing w:after="0" w:line="269" w:lineRule="auto"/>
        <w:tabs>
          <w:tab w:leader="none" w:pos="203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2.3, RSUs will be paid in Shares as soon as administratively practicable after the vesting of the applicable RSU, but in no event more than sixty (60) days after the applicable vesting date.</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RSUs may be changed, except as may be permitted by the Administrator in accordance with the Plan and Section 409A of the Code and the Treasury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ind w:left="760"/>
        <w:spacing w:after="0"/>
        <w:rPr>
          <w:sz w:val="20"/>
          <w:szCs w:val="20"/>
          <w:color w:val="auto"/>
        </w:rPr>
      </w:pPr>
      <w:r>
        <w:rPr>
          <w:rFonts w:ascii="Times New Roman" w:cs="Times New Roman" w:eastAsia="Times New Roman" w:hAnsi="Times New Roman"/>
          <w:sz w:val="20"/>
          <w:szCs w:val="20"/>
          <w:u w:val="single" w:color="auto"/>
          <w:color w:val="auto"/>
        </w:rPr>
        <w:t>2.3 Deferral Election.</w:t>
      </w:r>
    </w:p>
    <w:p>
      <w:pPr>
        <w:spacing w:after="0" w:line="216" w:lineRule="exact"/>
        <w:rPr>
          <w:sz w:val="20"/>
          <w:szCs w:val="20"/>
          <w:color w:val="auto"/>
        </w:rPr>
      </w:pPr>
    </w:p>
    <w:p>
      <w:pPr>
        <w:jc w:val="both"/>
        <w:ind w:firstLine="1505"/>
        <w:spacing w:after="0" w:line="245" w:lineRule="auto"/>
        <w:tabs>
          <w:tab w:leader="none" w:pos="203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makes a valid deferral election within the time period specified by the Company in the deferral election form, then Participant may elect to change the timing of receipt of the Shares otherwise distributable under Section 2.2. Any such deferral election must comply with the requirements of Section 409A as well as any Plan rules on deferrals and must be made on a form approved by the Company. Any such deferral election form shall be incorporated herein by this reference and considered a part of this Agreement. To the extent a valid deferral election is made by Participant, Participant’s RSUs shall be distributed in Shares within thirty (30) days following the first to occur of:</w:t>
      </w:r>
    </w:p>
    <w:p>
      <w:pPr>
        <w:spacing w:after="0" w:line="180" w:lineRule="exact"/>
        <w:rPr>
          <w:rFonts w:ascii="Times New Roman" w:cs="Times New Roman" w:eastAsia="Times New Roman" w:hAnsi="Times New Roman"/>
          <w:sz w:val="20"/>
          <w:szCs w:val="20"/>
          <w:color w:val="auto"/>
        </w:rPr>
      </w:pPr>
    </w:p>
    <w:p>
      <w:pPr>
        <w:jc w:val="both"/>
        <w:ind w:firstLine="1548"/>
        <w:spacing w:after="0" w:line="245" w:lineRule="auto"/>
        <w:tabs>
          <w:tab w:leader="none" w:pos="19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“separation from service” (as defined in Section 1.409A-1(h) of the Treasury Regulations) (“</w:t>
      </w:r>
      <w:r>
        <w:rPr>
          <w:rFonts w:ascii="Times New Roman" w:cs="Times New Roman" w:eastAsia="Times New Roman" w:hAnsi="Times New Roman"/>
          <w:sz w:val="20"/>
          <w:szCs w:val="20"/>
          <w:b w:val="1"/>
          <w:bCs w:val="1"/>
          <w:i w:val="1"/>
          <w:iCs w:val="1"/>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from Service</w:t>
      </w:r>
      <w:r>
        <w:rPr>
          <w:rFonts w:ascii="Times New Roman" w:cs="Times New Roman" w:eastAsia="Times New Roman" w:hAnsi="Times New Roman"/>
          <w:sz w:val="20"/>
          <w:szCs w:val="20"/>
          <w:color w:val="auto"/>
        </w:rPr>
        <w:t>”); provided, that if Participant is a “specified employee” (as determined in accordance with Section 409A(a)(2)(B)(i)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Code and Treasury Regulation Section 1.409A-1(i)) on the date of his or her Separation from Service, the delivery of any shares of Common Stock to be delivered to Participant upon and as a result of such Separation from Service shall be delayed to the extent necessary to avoid a prohibited distribution under Section 409A(2)(B)(i) of the Code, and such shares of Common Stock shall be distributed to Participant on the earliest of (A) the expiration of the six-month period measured from the date of Participant’s Separation from Service, (B) the date of Participant’s death, or (C) such earlier date as is permitted under Section 409A;</w:t>
      </w:r>
    </w:p>
    <w:p>
      <w:pPr>
        <w:spacing w:after="0" w:line="183" w:lineRule="exact"/>
        <w:rPr>
          <w:rFonts w:ascii="Times New Roman" w:cs="Times New Roman" w:eastAsia="Times New Roman" w:hAnsi="Times New Roman"/>
          <w:sz w:val="20"/>
          <w:szCs w:val="20"/>
          <w:color w:val="auto"/>
        </w:rPr>
      </w:pPr>
    </w:p>
    <w:p>
      <w:pPr>
        <w:jc w:val="both"/>
        <w:ind w:firstLine="1562"/>
        <w:spacing w:after="0" w:line="245" w:lineRule="auto"/>
        <w:tabs>
          <w:tab w:leader="none" w:pos="1949"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provided, that such Change in Control also constitutes a “change in control event” (as defined in Treasury Regulation §1.409A-3(i)(5)) and provided, further, that any distribution of shares of Common Stock upon a Change in Control shall occur immediately prior to the Change in Control. If such Change in Control does not constitute a “change in control event,” as defined in Treasury Regulation §1.409A-3(i)(5), the shares of Common Stock (or such consideration as is payable with respect to the RSUs pursuant to such Change in Control), shall be paid to Participant on the occurrence of the next occurring distribution event to occur under this Section 2.3(a) following the date of such Change in Control;</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(iv) Participant’s death;</w:t>
      </w:r>
    </w:p>
    <w:p>
      <w:pPr>
        <w:spacing w:after="0" w:line="216" w:lineRule="exact"/>
        <w:rPr>
          <w:sz w:val="20"/>
          <w:szCs w:val="20"/>
          <w:color w:val="auto"/>
        </w:rPr>
      </w:pPr>
    </w:p>
    <w:p>
      <w:pPr>
        <w:ind w:left="1940" w:hanging="392"/>
        <w:spacing w:after="0"/>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Disability (provided such Disability also constitutes a “disability” (as defined in Treasury Regulation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§1.409A-1(a)(5))); or</w:t>
      </w:r>
    </w:p>
    <w:p>
      <w:pPr>
        <w:spacing w:after="0" w:line="194" w:lineRule="exact"/>
        <w:rPr>
          <w:sz w:val="20"/>
          <w:szCs w:val="20"/>
          <w:color w:val="auto"/>
        </w:rPr>
      </w:pPr>
    </w:p>
    <w:p>
      <w:pPr>
        <w:jc w:val="both"/>
        <w:ind w:right="20" w:firstLine="1548"/>
        <w:spacing w:after="0" w:line="254" w:lineRule="auto"/>
        <w:tabs>
          <w:tab w:leader="none" w:pos="233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has elected a fixed date distribution in his or her deferral election form, during the calendar year specified in Participant’s deferral election form, if any, for such fixed date distribution (and, for the avoidance of doubt, if Participant has not elected a fixed date distribution in Participant’s deferral election form, this clause (viii) shall not apply to this Award).</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and agrees that certain tax withholding amounts may be due prior to an issuance of shares of Common Stock under this Section 2.3 if the RSUs fail to be subject to a substantial risk of forfeiture for purposes of Section 83 of the Code prior to such date. In addition, in the event Shares are issued on an accelerated basis to satisfy the Federal Insurance Contributions Act tax imposed under Sections 3101, 3121(a) or 3121(v)(2) of the Code (the “</w:t>
      </w:r>
      <w:r>
        <w:rPr>
          <w:rFonts w:ascii="Times New Roman" w:cs="Times New Roman" w:eastAsia="Times New Roman" w:hAnsi="Times New Roman"/>
          <w:sz w:val="20"/>
          <w:szCs w:val="20"/>
          <w:b w:val="1"/>
          <w:bCs w:val="1"/>
          <w:i w:val="1"/>
          <w:iCs w:val="1"/>
          <w:color w:val="auto"/>
        </w:rPr>
        <w:t>FICA Tax</w:t>
      </w:r>
      <w:r>
        <w:rPr>
          <w:rFonts w:ascii="Times New Roman" w:cs="Times New Roman" w:eastAsia="Times New Roman" w:hAnsi="Times New Roman"/>
          <w:sz w:val="20"/>
          <w:szCs w:val="20"/>
          <w:color w:val="auto"/>
        </w:rPr>
        <w:t>”) as provided in this Section 2.3(b) as a result of the lapse of the substantial risk of forfeiture for purposes of Section 83 of the Code prior to the issuance of Shares under this Section 2.3, then Participant may have income tax at source on wages imposed under Section 3401 of the Code or the corresponding withholding provisions of applicable state, local or foreign tax laws (together with the FICA Tax, the “</w:t>
      </w:r>
      <w:r>
        <w:rPr>
          <w:rFonts w:ascii="Times New Roman" w:cs="Times New Roman" w:eastAsia="Times New Roman" w:hAnsi="Times New Roman"/>
          <w:sz w:val="20"/>
          <w:szCs w:val="20"/>
          <w:b w:val="1"/>
          <w:bCs w:val="1"/>
          <w:i w:val="1"/>
          <w:iCs w:val="1"/>
          <w:color w:val="auto"/>
        </w:rPr>
        <w:t>FICA-Related Taxes</w:t>
      </w:r>
      <w:r>
        <w:rPr>
          <w:rFonts w:ascii="Times New Roman" w:cs="Times New Roman" w:eastAsia="Times New Roman" w:hAnsi="Times New Roman"/>
          <w:sz w:val="20"/>
          <w:szCs w:val="20"/>
          <w:color w:val="auto"/>
        </w:rPr>
        <w:t xml:space="preserve">”). Participant’s FICA-Related Taxes in respect of the RSUs shall be satisfied by Participant by cash, wire transfer of immediately available funds or check, payable to the order of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subject to the consent of the Administrator, and solely to the extent any such action would not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46" w:lineRule="auto"/>
        <w:rPr>
          <w:sz w:val="20"/>
          <w:szCs w:val="20"/>
          <w:color w:val="auto"/>
        </w:rPr>
      </w:pPr>
      <w:r>
        <w:rPr>
          <w:rFonts w:ascii="Times New Roman" w:cs="Times New Roman" w:eastAsia="Times New Roman" w:hAnsi="Times New Roman"/>
          <w:sz w:val="20"/>
          <w:szCs w:val="20"/>
          <w:color w:val="auto"/>
        </w:rPr>
        <w:t>in the imposition of additional tax on Participant under, or an impermissible acceleration under, Section 409A of the Code, the Company shall have the right, but not the obligation, to elect to satisfy Participant’s FICA-Related Taxes in respect of the RSUs through the accelerated issuance and withholding of Shares otherwise issuable pursuant to the RSUs having a then-current Fair Market Value not exceeding the amount necessary to satisfy the FICA-Related Taxes of the Company and its Subsidiaries based on Participant’s applicable tax withholding rate.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3.1 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3.2 Tax Withholding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3" w:lineRule="auto"/>
        <w:tabs>
          <w:tab w:leader="none" w:pos="189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authority and the right to deduct or withhold, or require Participant to remit to the Company, an amount sufficient to satisfy federal, state, local and foreign taxes (including Participant’s employment tax obligation) required by Applicable Law to be withheld with respect to any taxable event concerning Participant arising as a result of the grant, vesting or settlement of the RSUs or otherwise under this Agreement, including, without limitation, the authority to deduct such amounts from other compensation payable to Participant by the Company. Further, the Company has the right and option, but not the obligation, to treat Participant’s failure to provide timely payment in accordance with the Plan of any withholding tax arising in connection with the RSUs as Participant’s election to satisfy all or any portion of the withholding tax by requesting the Company retain Shares otherwise issuable under the Award (provided that if Participant is subject to Section 16 of the Exchange Act, any such action by the Company shall require the approval of the Administrator).</w:t>
      </w:r>
    </w:p>
    <w:p>
      <w:pPr>
        <w:spacing w:after="0" w:line="185"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9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4.1 Award Not Transferable</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4.2 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4.3 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46" w:lineRule="auto"/>
        <w:rPr>
          <w:sz w:val="20"/>
          <w:szCs w:val="20"/>
          <w:color w:val="auto"/>
        </w:rPr>
      </w:pPr>
      <w:r>
        <w:rPr>
          <w:rFonts w:ascii="Times New Roman" w:cs="Times New Roman" w:eastAsia="Times New Roman" w:hAnsi="Times New Roman"/>
          <w:sz w:val="20"/>
          <w:szCs w:val="20"/>
          <w:color w:val="auto"/>
        </w:rPr>
        <w:t>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4.4 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4.5 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4.6 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4.7 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4.8 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4.9 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4.10Limitation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4.11Not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4.12Counterparts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153"/>
        <w:spacing w:after="0" w:line="244" w:lineRule="auto"/>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85" w:lineRule="exact"/>
        <w:rPr>
          <w:rFonts w:ascii="Times New Roman" w:cs="Times New Roman" w:eastAsia="Times New Roman" w:hAnsi="Times New Roman"/>
          <w:sz w:val="20"/>
          <w:szCs w:val="20"/>
          <w:color w:val="auto"/>
        </w:rPr>
      </w:pPr>
    </w:p>
    <w:p>
      <w:pPr>
        <w:jc w:val="both"/>
        <w:ind w:firstLine="1153"/>
        <w:spacing w:after="0" w:line="244" w:lineRule="auto"/>
        <w:tabs>
          <w:tab w:leader="none" w:pos="15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Participant makes a valid deferral election within the time period specified by the Company in the deferral election form, this Agreement is not intended to provide for any deferral of compensation subject to Section 409A of the Code, and, accordingly, the Shares issuable pursuant to the RSUs hereunder shall be distributed to Participant no later than the later of: (A) the fifteenth (15th) day of the third month following Participant’s first taxable year in which such RSUs are no longer subject to a substantial risk of forfeiture, and (B) the fifteenth (15th) day of the third month following first taxable year of the Company in which such RSUs are no longer subject to substantial risk of forfeiture, as determined in accordance with Section 409A and any Treasury Regulations and other guidance issued thereunder.</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(including, without limitation, for purposes of Treasury Regulation Section 1.409A-2(b)(2)(iii)), each payment that Participant may be eligible to receive under this Agreement shall be treated as a separate and distinct payment.</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constitutes a payment event with respect to any portion of the RSUs which constitute a deferral of compensation and is subject to Section 409A, the transaction or event described above with respect to such payment must also constitute a “change in control event,” as defined in Treasury Regulation §1.409A-3(i)(5) to the extent required by Section 409A.</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Disability constitutes a payment event with respect to any portion of the RSUs which constitute a deferral of compensation and is subject to Section 409A, the Disability must also constitute a “disability,” as defined in Treasury Regulation §1.409A-1(a)(5) to the extent required by Section 409A.</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T. Curtis, certify that:</w:t>
      </w:r>
    </w:p>
    <w:p>
      <w:pPr>
        <w:spacing w:after="0" w:line="22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3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Staab, II,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3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4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4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bullet"/>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lowerRoman"/>
      <w:start w:val="4"/>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decimal"/>
      <w:start w:val="104"/>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36">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7">
    <w:nsid w:val="32FFF90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38">
    <w:nsid w:val="684A481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39">
    <w:nsid w:val="579478FE"/>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40">
    <w:nsid w:val="749ABB43"/>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41">
    <w:nsid w:val="3DC240F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8">
    <w:nsid w:val="374A3FE6"/>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61"/>
    </w:lvl>
  </w:abstractNum>
  <w:abstractNum w:abstractNumId="49">
    <w:nsid w:val="4F4EF005"/>
    <w:multiLevelType w:val="hybridMultilevel"/>
    <w:lvl w:ilvl="0">
      <w:lvlJc w:val="left"/>
      <w:lvlText w:val="(%1)"/>
      <w:numFmt w:val="lowerRoman"/>
      <w:start w:val="6"/>
    </w:lvl>
  </w:abstractNum>
  <w:abstractNum w:abstractNumId="50">
    <w:nsid w:val="23F9C13C"/>
    <w:multiLevelType w:val="hybridMultilevel"/>
    <w:lvl w:ilvl="0">
      <w:lvlJc w:val="left"/>
      <w:lvlText w:val="%1"/>
      <w:numFmt w:val="lowerLetter"/>
      <w:start w:val="1"/>
    </w:lvl>
    <w:lvl w:ilvl="1">
      <w:lvlJc w:val="left"/>
      <w:lvlText w:val="(%2)"/>
      <w:numFmt w:val="lowerRoman"/>
      <w:start w:val="8"/>
    </w:lvl>
  </w:abstractNum>
  <w:abstractNum w:abstractNumId="51">
    <w:nsid w:val="649BB77C"/>
    <w:multiLevelType w:val="hybridMultilevel"/>
    <w:lvl w:ilvl="0">
      <w:lvlJc w:val="left"/>
      <w:lvlText w:val="(%1)"/>
      <w:numFmt w:val="lowerLetter"/>
      <w:start w:val="2"/>
    </w:lvl>
    <w:lvl w:ilvl="1">
      <w:lvlJc w:val="left"/>
      <w:lvlText w:val="%2"/>
      <w:numFmt w:val="lowerRoman"/>
      <w:start w:val="1"/>
    </w:lvl>
  </w:abstractNum>
  <w:abstractNum w:abstractNumId="52">
    <w:nsid w:val="275AC794"/>
    <w:multiLevelType w:val="hybridMultilevel"/>
    <w:lvl w:ilvl="0">
      <w:lvlJc w:val="left"/>
      <w:lvlText w:val="%1"/>
      <w:numFmt w:val="lowerLetter"/>
      <w:start w:val="1"/>
    </w:lvl>
    <w:lvl w:ilvl="1">
      <w:lvlJc w:val="left"/>
      <w:lvlText w:val="(%2)"/>
      <w:numFmt w:val="lowerLetter"/>
      <w:start w:val="1"/>
    </w:lvl>
  </w:abstractNum>
  <w:abstractNum w:abstractNumId="53">
    <w:nsid w:val="39386575"/>
    <w:multiLevelType w:val="hybridMultilevel"/>
    <w:lvl w:ilvl="0">
      <w:lvlJc w:val="left"/>
      <w:lvlText w:val="(%1)"/>
      <w:numFmt w:val="lowerLetter"/>
      <w:start w:val="2"/>
    </w:lvl>
    <w:lvl w:ilvl="1">
      <w:lvlJc w:val="left"/>
      <w:lvlText w:val="%2"/>
      <w:numFmt w:val="lowerLetter"/>
      <w:start w:val="1"/>
    </w:lvl>
  </w:abstractNum>
  <w:abstractNum w:abstractNumId="54">
    <w:nsid w:val="1CF10FD8"/>
    <w:multiLevelType w:val="hybridMultilevel"/>
    <w:lvl w:ilvl="0">
      <w:lvlJc w:val="left"/>
      <w:lvlText w:val="(%1)"/>
      <w:numFmt w:val="lowerLetter"/>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20" Type="http://schemas.openxmlformats.org/officeDocument/2006/relationships/hyperlink" Target="https://www.sec.gov/Archives/edgar/data/1320350/000119312520262511/d98252dex21.htm" TargetMode="External"/><Relationship Id="rId221" Type="http://schemas.openxmlformats.org/officeDocument/2006/relationships/hyperlink" Target="https://www.sec.gov/Archives/edgar/data/1320350/000119312520262511/d98252dex31.htm" TargetMode="External"/><Relationship Id="rId222" Type="http://schemas.openxmlformats.org/officeDocument/2006/relationships/hyperlink" Target="https://www.sec.gov/Archives/edgar/data/0001320350/000156459021012594/lnsr-ex32_419.htm" TargetMode="External"/><Relationship Id="rId223" Type="http://schemas.openxmlformats.org/officeDocument/2006/relationships/hyperlink" Target="https://www.sec.gov/Archives/edgar/data/1320350/000119312523148214/d487803dex31.htm" TargetMode="External"/><Relationship Id="rId224" Type="http://schemas.openxmlformats.org/officeDocument/2006/relationships/hyperlink" Target="https://www.sec.gov/Archives/edgar/data/1320350/000119312520245277/d945311dex41.htm" TargetMode="External"/><Relationship Id="rId225" Type="http://schemas.openxmlformats.org/officeDocument/2006/relationships/hyperlink" Target="https://www.sec.gov/Archives/edgar/data/1320350/000119312523144213/d510326dex102.htm" TargetMode="External"/><Relationship Id="rId226" Type="http://schemas.openxmlformats.org/officeDocument/2006/relationships/hyperlink" Target="https://www.sec.gov/Archives/edgar/data/1320350/000119312523148214/d487803dex41.htm" TargetMode="External"/><Relationship Id="rId227" Type="http://schemas.openxmlformats.org/officeDocument/2006/relationships/hyperlink" Target="https://www.sec.gov/Archives/edgar/data/1320350/000119312523148214/d48780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2024-05-09T15:16:28Z</dcterms:created>
  <dcterms:modified xsi:type="dcterms:W3CDTF">2024-05-09T15:16:28Z</dcterms:modified>
</cp:coreProperties>
</file>