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ashington</w:t>
      </w:r>
      <w:r>
        <w:rPr>
          <w:rFonts w:ascii="Times New Roman" w:cs="Times New Roman" w:eastAsia="Times New Roman" w:hAnsi="Times New Roman"/>
          <w:sz w:val="22"/>
          <w:szCs w:val="22"/>
          <w:b w:val="1"/>
          <w:bCs w:val="1"/>
          <w:color w:val="auto"/>
        </w:rPr>
        <w:t>,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73660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4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480" w:type="dxa"/>
            <w:vAlign w:val="bottom"/>
          </w:tcPr>
          <w:p>
            <w:pPr>
              <w:spacing w:after="0"/>
              <w:rPr>
                <w:sz w:val="18"/>
                <w:szCs w:val="18"/>
                <w:color w:val="auto"/>
              </w:rPr>
            </w:pPr>
          </w:p>
        </w:tc>
        <w:tc>
          <w:tcPr>
            <w:tcW w:w="3440" w:type="dxa"/>
            <w:vAlign w:val="bottom"/>
            <w:gridSpan w:val="7"/>
          </w:tcPr>
          <w:p>
            <w:pPr>
              <w:ind w:left="70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w:t>
            </w:r>
          </w:p>
        </w:tc>
        <w:tc>
          <w:tcPr>
            <w:tcW w:w="3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1"/>
                <w:szCs w:val="21"/>
                <w:color w:val="auto"/>
              </w:rPr>
            </w:pPr>
          </w:p>
        </w:tc>
        <w:tc>
          <w:tcPr>
            <w:tcW w:w="3440" w:type="dxa"/>
            <w:vAlign w:val="bottom"/>
            <w:gridSpan w:val="7"/>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rPr>
              <w:t>Commission File Number: 001-39473</w:t>
            </w:r>
          </w:p>
        </w:tc>
        <w:tc>
          <w:tcPr>
            <w:tcW w:w="4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3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2"/>
        </w:trPr>
        <w:tc>
          <w:tcPr>
            <w:tcW w:w="3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gridSpan w:val="4"/>
          </w:tcPr>
          <w:p>
            <w:pPr>
              <w:jc w:val="center"/>
              <w:ind w:right="200"/>
              <w:spacing w:after="0"/>
              <w:rPr>
                <w:sz w:val="20"/>
                <w:szCs w:val="20"/>
                <w:color w:val="auto"/>
              </w:rPr>
            </w:pPr>
            <w:r>
              <w:rPr>
                <w:rFonts w:ascii="Times New Roman" w:cs="Times New Roman" w:eastAsia="Times New Roman" w:hAnsi="Times New Roman"/>
                <w:sz w:val="32"/>
                <w:szCs w:val="32"/>
                <w:b w:val="1"/>
                <w:bCs w:val="1"/>
                <w:color w:val="auto"/>
              </w:rPr>
              <w:t>LENSAR, INC.</w:t>
            </w:r>
          </w:p>
        </w:tc>
        <w:tc>
          <w:tcPr>
            <w:tcW w:w="4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80" w:type="dxa"/>
            <w:vAlign w:val="bottom"/>
          </w:tcPr>
          <w:p>
            <w:pPr>
              <w:spacing w:after="0"/>
              <w:rPr>
                <w:sz w:val="18"/>
                <w:szCs w:val="18"/>
                <w:color w:val="auto"/>
              </w:rPr>
            </w:pPr>
          </w:p>
        </w:tc>
        <w:tc>
          <w:tcPr>
            <w:tcW w:w="3860" w:type="dxa"/>
            <w:vAlign w:val="bottom"/>
            <w:gridSpan w:val="8"/>
          </w:tcPr>
          <w:p>
            <w:pPr>
              <w:jc w:val="center"/>
              <w:ind w:left="3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3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3480" w:type="dxa"/>
            <w:vAlign w:val="bottom"/>
            <w:vMerge w:val="restart"/>
          </w:tcPr>
          <w:p>
            <w:pPr>
              <w:jc w:val="center"/>
              <w:ind w:left="207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900" w:type="dxa"/>
            <w:vAlign w:val="bottom"/>
            <w:vMerge w:val="restart"/>
          </w:tcPr>
          <w:p>
            <w:pPr>
              <w:jc w:val="right"/>
              <w:ind w:right="2390"/>
              <w:spacing w:after="0"/>
              <w:rPr>
                <w:sz w:val="20"/>
                <w:szCs w:val="20"/>
                <w:color w:val="auto"/>
              </w:rPr>
            </w:pPr>
            <w:r>
              <w:rPr>
                <w:rFonts w:ascii="Times New Roman" w:cs="Times New Roman" w:eastAsia="Times New Roman" w:hAnsi="Times New Roman"/>
                <w:sz w:val="14"/>
                <w:szCs w:val="14"/>
                <w:b w:val="1"/>
                <w:bCs w:val="1"/>
                <w:color w:val="auto"/>
              </w:rPr>
              <w:t>32-0125724</w:t>
            </w:r>
          </w:p>
        </w:tc>
        <w:tc>
          <w:tcPr>
            <w:tcW w:w="0" w:type="dxa"/>
            <w:vAlign w:val="bottom"/>
          </w:tcPr>
          <w:p>
            <w:pPr>
              <w:spacing w:after="0"/>
              <w:rPr>
                <w:sz w:val="1"/>
                <w:szCs w:val="1"/>
                <w:color w:val="auto"/>
              </w:rPr>
            </w:pPr>
          </w:p>
        </w:tc>
      </w:tr>
      <w:tr>
        <w:trPr>
          <w:trHeight w:val="187"/>
        </w:trPr>
        <w:tc>
          <w:tcPr>
            <w:tcW w:w="348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920" w:type="dxa"/>
            <w:vAlign w:val="bottom"/>
            <w:gridSpan w:val="8"/>
          </w:tcPr>
          <w:p>
            <w:pPr>
              <w:jc w:val="center"/>
              <w:ind w:right="1280"/>
              <w:spacing w:after="0" w:line="155" w:lineRule="exact"/>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20" w:type="dxa"/>
            <w:vAlign w:val="bottom"/>
          </w:tcPr>
          <w:p>
            <w:pPr>
              <w:spacing w:after="0"/>
              <w:rPr>
                <w:sz w:val="13"/>
                <w:szCs w:val="13"/>
                <w:color w:val="auto"/>
              </w:rPr>
            </w:pPr>
          </w:p>
        </w:tc>
        <w:tc>
          <w:tcPr>
            <w:tcW w:w="3900" w:type="dxa"/>
            <w:vAlign w:val="bottom"/>
          </w:tcPr>
          <w:p>
            <w:pPr>
              <w:jc w:val="center"/>
              <w:ind w:right="1650"/>
              <w:spacing w:after="0" w:line="155" w:lineRule="exact"/>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2800 Discovery Drive</w:t>
            </w:r>
          </w:p>
        </w:tc>
        <w:tc>
          <w:tcPr>
            <w:tcW w:w="4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Orlando, Florida 32826</w:t>
            </w:r>
          </w:p>
        </w:tc>
        <w:tc>
          <w:tcPr>
            <w:tcW w:w="4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80" w:type="dxa"/>
            <w:vAlign w:val="bottom"/>
          </w:tcPr>
          <w:p>
            <w:pPr>
              <w:spacing w:after="0"/>
              <w:rPr>
                <w:sz w:val="18"/>
                <w:szCs w:val="18"/>
                <w:color w:val="auto"/>
              </w:rPr>
            </w:pPr>
          </w:p>
        </w:tc>
        <w:tc>
          <w:tcPr>
            <w:tcW w:w="3860" w:type="dxa"/>
            <w:vAlign w:val="bottom"/>
            <w:gridSpan w:val="8"/>
          </w:tcPr>
          <w:p>
            <w:pPr>
              <w:jc w:val="center"/>
              <w:ind w:left="33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3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480" w:type="dxa"/>
            <w:vAlign w:val="bottom"/>
          </w:tcPr>
          <w:p>
            <w:pPr>
              <w:spacing w:after="0"/>
              <w:rPr>
                <w:sz w:val="22"/>
                <w:szCs w:val="22"/>
                <w:color w:val="auto"/>
              </w:rPr>
            </w:pPr>
          </w:p>
        </w:tc>
        <w:tc>
          <w:tcPr>
            <w:tcW w:w="3260" w:type="dxa"/>
            <w:vAlign w:val="bottom"/>
            <w:gridSpan w:val="4"/>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rPr>
              <w:t>(888) 536-7271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480" w:type="dxa"/>
            <w:vAlign w:val="bottom"/>
          </w:tcPr>
          <w:p>
            <w:pPr>
              <w:spacing w:after="0"/>
              <w:rPr>
                <w:sz w:val="18"/>
                <w:szCs w:val="18"/>
                <w:color w:val="auto"/>
              </w:rPr>
            </w:pPr>
          </w:p>
        </w:tc>
        <w:tc>
          <w:tcPr>
            <w:tcW w:w="3860" w:type="dxa"/>
            <w:vAlign w:val="bottom"/>
            <w:gridSpan w:val="8"/>
          </w:tcPr>
          <w:p>
            <w:pPr>
              <w:jc w:val="center"/>
              <w:ind w:left="33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7760" w:type="dxa"/>
            <w:vAlign w:val="bottom"/>
            <w:gridSpan w:val="9"/>
          </w:tcPr>
          <w:p>
            <w:pPr>
              <w:jc w:val="center"/>
              <w:ind w:right="339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188"/>
        </w:trPr>
        <w:tc>
          <w:tcPr>
            <w:tcW w:w="3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4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480" w:type="dxa"/>
            <w:vAlign w:val="bottom"/>
          </w:tcPr>
          <w:p>
            <w:pPr>
              <w:jc w:val="center"/>
              <w:ind w:left="85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420" w:type="dxa"/>
            <w:vAlign w:val="bottom"/>
          </w:tcPr>
          <w:p>
            <w:pPr>
              <w:spacing w:after="0"/>
              <w:rPr>
                <w:sz w:val="13"/>
                <w:szCs w:val="13"/>
                <w:color w:val="auto"/>
              </w:rPr>
            </w:pPr>
          </w:p>
        </w:tc>
        <w:tc>
          <w:tcPr>
            <w:tcW w:w="3900" w:type="dxa"/>
            <w:vAlign w:val="bottom"/>
          </w:tcPr>
          <w:p>
            <w:pPr>
              <w:jc w:val="center"/>
              <w:ind w:right="410"/>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82"/>
        </w:trPr>
        <w:tc>
          <w:tcPr>
            <w:tcW w:w="3480" w:type="dxa"/>
            <w:vAlign w:val="bottom"/>
            <w:tcBorders>
              <w:top w:val="single" w:sz="8" w:color="auto"/>
            </w:tcBorders>
          </w:tcPr>
          <w:p>
            <w:pPr>
              <w:jc w:val="center"/>
              <w:ind w:left="87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LNSR</w:t>
            </w: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900" w:type="dxa"/>
            <w:vAlign w:val="bottom"/>
            <w:tcBorders>
              <w:top w:val="single" w:sz="8" w:color="auto"/>
            </w:tcBorders>
          </w:tcPr>
          <w:p>
            <w:pPr>
              <w:jc w:val="center"/>
              <w:ind w:right="410"/>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265"/>
        </w:trPr>
        <w:tc>
          <w:tcPr>
            <w:tcW w:w="3480" w:type="dxa"/>
            <w:vAlign w:val="bottom"/>
          </w:tcPr>
          <w:p>
            <w:pPr>
              <w:spacing w:after="0"/>
              <w:rPr>
                <w:sz w:val="23"/>
                <w:szCs w:val="23"/>
                <w:color w:val="auto"/>
              </w:rPr>
            </w:pPr>
          </w:p>
        </w:tc>
        <w:tc>
          <w:tcPr>
            <w:tcW w:w="7760" w:type="dxa"/>
            <w:vAlign w:val="bottom"/>
            <w:gridSpan w:val="9"/>
          </w:tcPr>
          <w:p>
            <w:pPr>
              <w:jc w:val="center"/>
              <w:ind w:right="341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0" w:type="dxa"/>
            <w:vAlign w:val="bottom"/>
          </w:tcPr>
          <w:p>
            <w:pPr>
              <w:spacing w:after="0"/>
              <w:rPr>
                <w:sz w:val="1"/>
                <w:szCs w:val="1"/>
                <w:color w:val="auto"/>
              </w:rPr>
            </w:pPr>
          </w:p>
        </w:tc>
      </w:tr>
      <w:tr>
        <w:trPr>
          <w:trHeight w:val="87"/>
        </w:trPr>
        <w:tc>
          <w:tcPr>
            <w:tcW w:w="4500" w:type="dxa"/>
            <w:vAlign w:val="bottom"/>
            <w:gridSpan w:val="3"/>
          </w:tcPr>
          <w:p>
            <w:pPr>
              <w:spacing w:after="0"/>
              <w:rPr>
                <w:sz w:val="7"/>
                <w:szCs w:val="7"/>
                <w:color w:val="auto"/>
              </w:rPr>
            </w:pPr>
          </w:p>
        </w:tc>
        <w:tc>
          <w:tcPr>
            <w:tcW w:w="2240" w:type="dxa"/>
            <w:vAlign w:val="bottom"/>
            <w:tcBorders>
              <w:bottom w:val="single" w:sz="8" w:color="auto"/>
            </w:tcBorders>
            <w:gridSpan w:val="2"/>
          </w:tcPr>
          <w:p>
            <w:pPr>
              <w:spacing w:after="0"/>
              <w:rPr>
                <w:sz w:val="7"/>
                <w:szCs w:val="7"/>
                <w:color w:val="auto"/>
              </w:rPr>
            </w:pPr>
          </w:p>
        </w:tc>
        <w:tc>
          <w:tcPr>
            <w:tcW w:w="600" w:type="dxa"/>
            <w:vAlign w:val="bottom"/>
            <w:gridSpan w:val="4"/>
          </w:tcPr>
          <w:p>
            <w:pPr>
              <w:spacing w:after="0"/>
              <w:rPr>
                <w:sz w:val="7"/>
                <w:szCs w:val="7"/>
                <w:color w:val="auto"/>
              </w:rPr>
            </w:pPr>
          </w:p>
        </w:tc>
        <w:tc>
          <w:tcPr>
            <w:tcW w:w="3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7340" w:type="dxa"/>
            <w:vAlign w:val="bottom"/>
            <w:gridSpan w:val="9"/>
          </w:tcPr>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a well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known seasoned issuer, as defined in Rule 405 of the Securities Act. Yes </w:t>
            </w:r>
            <w:r>
              <w:rPr>
                <w:rFonts w:ascii="MS PGothic" w:cs="MS PGothic" w:eastAsia="MS PGothic" w:hAnsi="MS PGothic"/>
                <w:sz w:val="14"/>
                <w:szCs w:val="14"/>
                <w:color w:val="auto"/>
              </w:rPr>
              <w:t>☐</w:t>
            </w:r>
          </w:p>
        </w:tc>
        <w:tc>
          <w:tcPr>
            <w:tcW w:w="390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2"/>
        </w:trPr>
        <w:tc>
          <w:tcPr>
            <w:tcW w:w="7340" w:type="dxa"/>
            <w:vAlign w:val="bottom"/>
            <w:gridSpan w:val="9"/>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390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76"/>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Accelerated filer</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74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5100" w:type="dxa"/>
            <w:vAlign w:val="bottom"/>
          </w:tcPr>
          <w:p>
            <w:pPr>
              <w:ind w:left="2820"/>
              <w:spacing w:after="0"/>
              <w:rPr>
                <w:sz w:val="20"/>
                <w:szCs w:val="20"/>
                <w:color w:val="auto"/>
              </w:rPr>
            </w:pPr>
            <w:r>
              <w:rPr>
                <w:rFonts w:ascii="Times New Roman" w:cs="Times New Roman" w:eastAsia="Times New Roman" w:hAnsi="Times New Roman"/>
                <w:sz w:val="14"/>
                <w:szCs w:val="14"/>
                <w:color w:val="auto"/>
              </w:rPr>
              <w:t>Emerging growth company</w:t>
            </w:r>
          </w:p>
        </w:tc>
        <w:tc>
          <w:tcPr>
            <w:tcW w:w="8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9"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ind w:right="120"/>
        <w:spacing w:after="0" w:line="17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8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20" w:val="left"/>
          <w:tab w:leader="none" w:pos="72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61" w:lineRule="exact"/>
        <w:rPr>
          <w:sz w:val="24"/>
          <w:szCs w:val="24"/>
          <w:color w:val="auto"/>
        </w:rPr>
      </w:pPr>
    </w:p>
    <w:p>
      <w:pPr>
        <w:ind w:right="240"/>
        <w:spacing w:after="0" w:line="261" w:lineRule="auto"/>
        <w:rPr>
          <w:sz w:val="20"/>
          <w:szCs w:val="20"/>
          <w:color w:val="auto"/>
        </w:rPr>
      </w:pPr>
      <w:r>
        <w:rPr>
          <w:rFonts w:ascii="Times New Roman" w:cs="Times New Roman" w:eastAsia="Times New Roman" w:hAnsi="Times New Roman"/>
          <w:sz w:val="14"/>
          <w:szCs w:val="14"/>
          <w:color w:val="auto"/>
        </w:rPr>
        <w:t>As of June 30, 2024, the last business day of the registrant's most recently completed second quarter, the approximate market value of the registrant's common stock held by non-affiliates was $37.5 million. As of January 31, 2025, there were 11,789,492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2025 annual meeting of stockholders, which the registrant intends to file pursuant to Regulation 14A with the Securities and Exchange Commission not later than 120 days after the registrant’s fiscal year ended December 31, 2024,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1134110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440" w:right="8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0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20" w:type="dxa"/>
            <w:vAlign w:val="bottom"/>
          </w:tcPr>
          <w:p>
            <w:pPr>
              <w:spacing w:after="0"/>
              <w:rPr>
                <w:sz w:val="20"/>
                <w:szCs w:val="20"/>
                <w:color w:val="auto"/>
              </w:rPr>
            </w:pPr>
          </w:p>
        </w:tc>
      </w:tr>
      <w:tr>
        <w:trPr>
          <w:trHeight w:val="459"/>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Page</w:t>
            </w:r>
          </w:p>
        </w:tc>
      </w:tr>
      <w:tr>
        <w:trPr>
          <w:trHeight w:val="229"/>
        </w:trPr>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Forward-Looking Statements</w:t>
            </w:r>
          </w:p>
        </w:tc>
        <w:tc>
          <w:tcPr>
            <w:tcW w:w="20" w:type="dxa"/>
            <w:vAlign w:val="bottom"/>
            <w:tcBorders>
              <w:bottom w:val="single" w:sz="8" w:color="0000EE"/>
            </w:tcBorders>
          </w:tcPr>
          <w:p>
            <w:pPr>
              <w:spacing w:after="0"/>
              <w:rPr>
                <w:sz w:val="19"/>
                <w:szCs w:val="19"/>
                <w:color w:val="auto"/>
              </w:rPr>
            </w:pPr>
          </w:p>
        </w:tc>
        <w:tc>
          <w:tcPr>
            <w:tcW w:w="6700" w:type="dxa"/>
            <w:vAlign w:val="bottom"/>
            <w:gridSpan w:val="14"/>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0"/>
        </w:trPr>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Trademarks and Trade Names</w:t>
            </w:r>
          </w:p>
        </w:tc>
        <w:tc>
          <w:tcPr>
            <w:tcW w:w="6660" w:type="dxa"/>
            <w:vAlign w:val="bottom"/>
            <w:gridSpan w:val="13"/>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Market and Industry Data and Forecasts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Risk Factor Summary</w:t>
            </w:r>
          </w:p>
        </w:tc>
        <w:tc>
          <w:tcPr>
            <w:tcW w:w="5960" w:type="dxa"/>
            <w:vAlign w:val="bottom"/>
            <w:gridSpan w:val="11"/>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320" w:type="dxa"/>
            <w:vAlign w:val="bottom"/>
            <w:gridSpan w:val="4"/>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200" w:type="dxa"/>
            <w:vAlign w:val="bottom"/>
          </w:tcPr>
          <w:p>
            <w:pPr>
              <w:spacing w:after="0"/>
              <w:rPr>
                <w:sz w:val="21"/>
                <w:szCs w:val="21"/>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21"/>
                <w:szCs w:val="21"/>
                <w:color w:val="auto"/>
              </w:rPr>
            </w:pPr>
          </w:p>
        </w:tc>
        <w:tc>
          <w:tcPr>
            <w:tcW w:w="8180" w:type="dxa"/>
            <w:vAlign w:val="bottom"/>
            <w:gridSpan w:val="28"/>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200" w:type="dxa"/>
            <w:vAlign w:val="bottom"/>
          </w:tcPr>
          <w:p>
            <w:pPr>
              <w:spacing w:after="0"/>
              <w:rPr>
                <w:sz w:val="21"/>
                <w:szCs w:val="21"/>
                <w:color w:val="auto"/>
              </w:rPr>
            </w:pPr>
          </w:p>
        </w:tc>
        <w:tc>
          <w:tcPr>
            <w:tcW w:w="8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200" w:type="dxa"/>
            <w:vAlign w:val="bottom"/>
          </w:tcPr>
          <w:p>
            <w:pPr>
              <w:spacing w:after="0"/>
              <w:rPr>
                <w:sz w:val="21"/>
                <w:szCs w:val="21"/>
                <w:color w:val="auto"/>
              </w:rPr>
            </w:pPr>
          </w:p>
        </w:tc>
        <w:tc>
          <w:tcPr>
            <w:tcW w:w="8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1C.</w:t>
            </w:r>
          </w:p>
        </w:tc>
        <w:tc>
          <w:tcPr>
            <w:tcW w:w="200" w:type="dxa"/>
            <w:vAlign w:val="bottom"/>
          </w:tcPr>
          <w:p>
            <w:pPr>
              <w:spacing w:after="0"/>
              <w:rPr>
                <w:sz w:val="21"/>
                <w:szCs w:val="21"/>
                <w:color w:val="auto"/>
              </w:rPr>
            </w:pPr>
          </w:p>
        </w:tc>
        <w:tc>
          <w:tcPr>
            <w:tcW w:w="20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800" w:type="dxa"/>
            <w:vAlign w:val="bottom"/>
            <w:gridSpan w:val="16"/>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200" w:type="dxa"/>
            <w:vAlign w:val="bottom"/>
          </w:tcPr>
          <w:p>
            <w:pPr>
              <w:spacing w:after="0"/>
              <w:rPr>
                <w:sz w:val="21"/>
                <w:szCs w:val="21"/>
                <w:color w:val="auto"/>
              </w:rPr>
            </w:pPr>
          </w:p>
        </w:tc>
        <w:tc>
          <w:tcPr>
            <w:tcW w:w="10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40" w:type="dxa"/>
            <w:vAlign w:val="bottom"/>
            <w:gridSpan w:val="24"/>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200" w:type="dxa"/>
            <w:vAlign w:val="bottom"/>
          </w:tcPr>
          <w:p>
            <w:pPr>
              <w:spacing w:after="0"/>
              <w:rPr>
                <w:sz w:val="21"/>
                <w:szCs w:val="21"/>
                <w:color w:val="auto"/>
              </w:rPr>
            </w:pPr>
          </w:p>
        </w:tc>
        <w:tc>
          <w:tcPr>
            <w:tcW w:w="1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21"/>
                <w:szCs w:val="21"/>
                <w:color w:val="auto"/>
              </w:rPr>
            </w:pPr>
          </w:p>
        </w:tc>
        <w:tc>
          <w:tcPr>
            <w:tcW w:w="7480" w:type="dxa"/>
            <w:vAlign w:val="bottom"/>
            <w:gridSpan w:val="21"/>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200" w:type="dxa"/>
            <w:vAlign w:val="bottom"/>
          </w:tcPr>
          <w:p>
            <w:pPr>
              <w:spacing w:after="0"/>
              <w:rPr>
                <w:sz w:val="21"/>
                <w:szCs w:val="21"/>
                <w:color w:val="auto"/>
              </w:rPr>
            </w:pPr>
          </w:p>
        </w:tc>
        <w:tc>
          <w:tcPr>
            <w:tcW w:w="8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20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50"/>
        </w:trPr>
        <w:tc>
          <w:tcPr>
            <w:tcW w:w="6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260" w:type="dxa"/>
            <w:vAlign w:val="bottom"/>
            <w:gridSpan w:val="3"/>
          </w:tcPr>
          <w:p>
            <w:pPr>
              <w:spacing w:after="0"/>
              <w:rPr>
                <w:sz w:val="21"/>
                <w:szCs w:val="21"/>
                <w:color w:val="auto"/>
              </w:rPr>
            </w:pPr>
          </w:p>
        </w:tc>
        <w:tc>
          <w:tcPr>
            <w:tcW w:w="200" w:type="dxa"/>
            <w:vAlign w:val="bottom"/>
          </w:tcPr>
          <w:p>
            <w:pPr>
              <w:spacing w:after="0"/>
              <w:rPr>
                <w:sz w:val="21"/>
                <w:szCs w:val="21"/>
                <w:color w:val="auto"/>
              </w:rPr>
            </w:pPr>
          </w:p>
        </w:tc>
        <w:tc>
          <w:tcPr>
            <w:tcW w:w="8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200" w:type="dxa"/>
            <w:vAlign w:val="bottom"/>
          </w:tcPr>
          <w:p>
            <w:pPr>
              <w:spacing w:after="0"/>
              <w:rPr>
                <w:sz w:val="21"/>
                <w:szCs w:val="21"/>
                <w:color w:val="auto"/>
              </w:rPr>
            </w:pPr>
          </w:p>
        </w:tc>
        <w:tc>
          <w:tcPr>
            <w:tcW w:w="8100" w:type="dxa"/>
            <w:vAlign w:val="bottom"/>
            <w:tcBorders>
              <w:top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[Reserved]</w:t>
            </w: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200" w:type="dxa"/>
            <w:vAlign w:val="bottom"/>
          </w:tcPr>
          <w:p>
            <w:pPr>
              <w:spacing w:after="0"/>
              <w:rPr>
                <w:sz w:val="21"/>
                <w:szCs w:val="21"/>
                <w:color w:val="auto"/>
              </w:rPr>
            </w:pPr>
          </w:p>
        </w:tc>
        <w:tc>
          <w:tcPr>
            <w:tcW w:w="640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w:t>
            </w:r>
          </w:p>
        </w:tc>
        <w:tc>
          <w:tcPr>
            <w:tcW w:w="2440" w:type="dxa"/>
            <w:vAlign w:val="bottom"/>
            <w:gridSpan w:val="4"/>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200" w:type="dxa"/>
            <w:vAlign w:val="bottom"/>
          </w:tcPr>
          <w:p>
            <w:pPr>
              <w:spacing w:after="0"/>
              <w:rPr>
                <w:sz w:val="21"/>
                <w:szCs w:val="21"/>
                <w:color w:val="auto"/>
              </w:rPr>
            </w:pPr>
          </w:p>
        </w:tc>
        <w:tc>
          <w:tcPr>
            <w:tcW w:w="43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80" w:type="dxa"/>
            <w:vAlign w:val="bottom"/>
            <w:gridSpan w:val="7"/>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200" w:type="dxa"/>
            <w:vAlign w:val="bottom"/>
          </w:tcPr>
          <w:p>
            <w:pPr>
              <w:spacing w:after="0"/>
              <w:rPr>
                <w:sz w:val="21"/>
                <w:szCs w:val="21"/>
                <w:color w:val="auto"/>
              </w:rPr>
            </w:pPr>
          </w:p>
        </w:tc>
        <w:tc>
          <w:tcPr>
            <w:tcW w:w="8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200" w:type="dxa"/>
            <w:vAlign w:val="bottom"/>
          </w:tcPr>
          <w:p>
            <w:pPr>
              <w:spacing w:after="0"/>
              <w:rPr>
                <w:sz w:val="21"/>
                <w:szCs w:val="21"/>
                <w:color w:val="auto"/>
              </w:rPr>
            </w:pPr>
          </w:p>
        </w:tc>
        <w:tc>
          <w:tcPr>
            <w:tcW w:w="652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320" w:type="dxa"/>
            <w:vAlign w:val="bottom"/>
            <w:gridSpan w:val="3"/>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200" w:type="dxa"/>
            <w:vAlign w:val="bottom"/>
          </w:tcPr>
          <w:p>
            <w:pPr>
              <w:spacing w:after="0"/>
              <w:rPr>
                <w:sz w:val="21"/>
                <w:szCs w:val="21"/>
                <w:color w:val="auto"/>
              </w:rPr>
            </w:pPr>
          </w:p>
        </w:tc>
        <w:tc>
          <w:tcPr>
            <w:tcW w:w="8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200" w:type="dxa"/>
            <w:vAlign w:val="bottom"/>
          </w:tcPr>
          <w:p>
            <w:pPr>
              <w:spacing w:after="0"/>
              <w:rPr>
                <w:sz w:val="21"/>
                <w:szCs w:val="21"/>
                <w:color w:val="auto"/>
              </w:rPr>
            </w:pPr>
          </w:p>
        </w:tc>
        <w:tc>
          <w:tcPr>
            <w:tcW w:w="13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top w:val="single" w:sz="8" w:color="0000FF"/>
              <w:bottom w:val="single" w:sz="8" w:color="0000EE"/>
            </w:tcBorders>
          </w:tcPr>
          <w:p>
            <w:pPr>
              <w:spacing w:after="0"/>
              <w:rPr>
                <w:sz w:val="21"/>
                <w:szCs w:val="21"/>
                <w:color w:val="auto"/>
              </w:rPr>
            </w:pPr>
          </w:p>
        </w:tc>
        <w:tc>
          <w:tcPr>
            <w:tcW w:w="420" w:type="dxa"/>
            <w:vAlign w:val="bottom"/>
            <w:tcBorders>
              <w:top w:val="single" w:sz="8" w:color="0000FF"/>
            </w:tcBorders>
            <w:gridSpan w:val="4"/>
          </w:tcPr>
          <w:p>
            <w:pPr>
              <w:spacing w:after="0"/>
              <w:rPr>
                <w:sz w:val="21"/>
                <w:szCs w:val="21"/>
                <w:color w:val="auto"/>
              </w:rPr>
            </w:pPr>
          </w:p>
        </w:tc>
        <w:tc>
          <w:tcPr>
            <w:tcW w:w="7080" w:type="dxa"/>
            <w:vAlign w:val="bottom"/>
            <w:gridSpan w:val="18"/>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77"/>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9C.</w:t>
            </w:r>
          </w:p>
        </w:tc>
        <w:tc>
          <w:tcPr>
            <w:tcW w:w="9040" w:type="dxa"/>
            <w:vAlign w:val="bottom"/>
            <w:gridSpan w:val="31"/>
          </w:tcPr>
          <w:p>
            <w:pPr>
              <w:ind w:left="20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7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200" w:type="dxa"/>
            <w:vAlign w:val="bottom"/>
          </w:tcPr>
          <w:p>
            <w:pPr>
              <w:spacing w:after="0"/>
              <w:rPr>
                <w:sz w:val="21"/>
                <w:szCs w:val="21"/>
                <w:color w:val="auto"/>
              </w:rPr>
            </w:pPr>
          </w:p>
        </w:tc>
        <w:tc>
          <w:tcPr>
            <w:tcW w:w="41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740" w:type="dxa"/>
            <w:vAlign w:val="bottom"/>
            <w:gridSpan w:val="8"/>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200" w:type="dxa"/>
            <w:vAlign w:val="bottom"/>
          </w:tcPr>
          <w:p>
            <w:pPr>
              <w:spacing w:after="0"/>
              <w:rPr>
                <w:sz w:val="21"/>
                <w:szCs w:val="21"/>
                <w:color w:val="auto"/>
              </w:rPr>
            </w:pPr>
          </w:p>
        </w:tc>
        <w:tc>
          <w:tcPr>
            <w:tcW w:w="8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7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10"/>
            <w:shd w:val="clear" w:color="auto" w:fill="0000FF"/>
          </w:tcPr>
          <w:p>
            <w:pPr>
              <w:spacing w:after="0" w:line="20" w:lineRule="exact"/>
              <w:rPr>
                <w:sz w:val="1"/>
                <w:szCs w:val="1"/>
                <w:color w:val="auto"/>
              </w:rPr>
            </w:pPr>
          </w:p>
        </w:tc>
        <w:tc>
          <w:tcPr>
            <w:tcW w:w="280" w:type="dxa"/>
            <w:vAlign w:val="bottom"/>
            <w:tcBorders>
              <w:right w:val="single" w:sz="8" w:color="0000EE"/>
            </w:tcBorders>
            <w:gridSpan w:val="3"/>
            <w:shd w:val="clear" w:color="auto" w:fill="0000FF"/>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200" w:type="dxa"/>
            <w:vAlign w:val="bottom"/>
          </w:tcPr>
          <w:p>
            <w:pPr>
              <w:spacing w:after="0"/>
              <w:rPr>
                <w:sz w:val="21"/>
                <w:szCs w:val="21"/>
                <w:color w:val="auto"/>
              </w:rPr>
            </w:pPr>
          </w:p>
        </w:tc>
        <w:tc>
          <w:tcPr>
            <w:tcW w:w="8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200" w:type="dxa"/>
            <w:vAlign w:val="bottom"/>
          </w:tcPr>
          <w:p>
            <w:pPr>
              <w:spacing w:after="0"/>
              <w:rPr>
                <w:sz w:val="21"/>
                <w:szCs w:val="21"/>
                <w:color w:val="auto"/>
              </w:rPr>
            </w:pPr>
          </w:p>
        </w:tc>
        <w:tc>
          <w:tcPr>
            <w:tcW w:w="5460" w:type="dxa"/>
            <w:vAlign w:val="bottom"/>
            <w:tcBorders>
              <w:top w:val="single" w:sz="8" w:color="0000FF"/>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20" w:type="dxa"/>
            <w:vAlign w:val="bottom"/>
            <w:tcBorders>
              <w:top w:val="single" w:sz="8" w:color="0000FF"/>
            </w:tcBorders>
            <w:gridSpan w:val="3"/>
          </w:tcPr>
          <w:p>
            <w:pPr>
              <w:spacing w:after="0"/>
              <w:rPr>
                <w:sz w:val="21"/>
                <w:szCs w:val="21"/>
                <w:color w:val="auto"/>
              </w:rPr>
            </w:pPr>
          </w:p>
        </w:tc>
        <w:tc>
          <w:tcPr>
            <w:tcW w:w="1560" w:type="dxa"/>
            <w:vAlign w:val="bottom"/>
            <w:gridSpan w:val="2"/>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200" w:type="dxa"/>
            <w:vAlign w:val="bottom"/>
          </w:tcPr>
          <w:p>
            <w:pPr>
              <w:spacing w:after="0"/>
              <w:rPr>
                <w:sz w:val="21"/>
                <w:szCs w:val="21"/>
                <w:color w:val="auto"/>
              </w:rPr>
            </w:pPr>
          </w:p>
        </w:tc>
        <w:tc>
          <w:tcPr>
            <w:tcW w:w="8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20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50"/>
        </w:trPr>
        <w:tc>
          <w:tcPr>
            <w:tcW w:w="7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20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29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5940" w:type="dxa"/>
            <w:vAlign w:val="bottom"/>
            <w:gridSpan w:val="10"/>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50"/>
        </w:trPr>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16.</w:t>
            </w:r>
          </w:p>
        </w:tc>
        <w:tc>
          <w:tcPr>
            <w:tcW w:w="200" w:type="dxa"/>
            <w:vAlign w:val="bottom"/>
          </w:tcPr>
          <w:p>
            <w:pPr>
              <w:spacing w:after="0"/>
              <w:rPr>
                <w:sz w:val="21"/>
                <w:szCs w:val="21"/>
                <w:color w:val="auto"/>
              </w:rPr>
            </w:pPr>
          </w:p>
        </w:tc>
        <w:tc>
          <w:tcPr>
            <w:tcW w:w="88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3"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(the “Annual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including without limitation statements regarding our business model and strategic plans for our products, technologies and business, including our implementation thereof; the impact on our business, financial condition and results of operation from macroeconomic conditions; the timing of and our ability to obtain and maintain regulatory approvals and certifications; our expectations about our ability to successfully commercialize and further develop our next generation system, the ALLY Robotic Cataract Laser Treatment System™ (“ALLY System”), and the timing thereof; the ALLY System's performance and market impact; the sufficiency of our cash and cash equivalents; industry trends and conditions impacting various markets in which we operate;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1A. “Risk Factors” and Part II, Item 7. “Management’s Discussion and Analysis of Financial Condition and Results of Operations” in this Annual Report. These risks and uncertainties include, but are not limited to:</w:t>
      </w:r>
    </w:p>
    <w:p>
      <w:pPr>
        <w:spacing w:after="0" w:line="156"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and ability to achieve or sustain profitability;</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receive and maintain regulatory clearance or certification of and successfully commercialize the ALLY System and to maintain our LENSAR Laser System (“LLS”) (collectively the “Systems”);</w:t>
      </w:r>
    </w:p>
    <w:p>
      <w:pPr>
        <w:spacing w:after="0" w:line="12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results of operations and our suppliers and distributors as a result of global macroeconomic conditions;</w:t>
      </w:r>
    </w:p>
    <w:p>
      <w:pPr>
        <w:spacing w:after="0" w:line="134"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the price difference for our products compared to a standard cataract procedure covered by Medicare or other insurance;</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U.S. sales and marketing organization or maintain or grow an effective network of international distributors;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 and our ability to raise additional funds on acceptable terms, or at all;</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and results of operations as a result of a material disruption to the supply or manufacture of our Systems or necessary component parts for such Systems or material inflationary pressures affecting pricing of component parts;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153"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competitors that have longer operating histories, more established products and greater resources than we do;</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the numerous risks associated with marketing, selling and leasing our products in markets outside the United States;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and results of operations as a result of exposure to the credit risk of our customers;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customer demand and our inventory levels;</w:t>
      </w:r>
    </w:p>
    <w:p>
      <w:pPr>
        <w:spacing w:after="0" w:line="198"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and results of operations if we are unable to secure adequate coverage or reimbursement by government or other third-party payors for procedures using our ALLY System or our other products, or changes in such coverage or reimbursement;</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to our business, financial condition and results of operations of product liability suits brought against us;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 regulation applicable to our products and operations;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intellectual property and other intellectual property matters.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have no obligation to publicly update or revise any forward-looking statements contained herein, whether as a result of any new information, future events, changed circumstances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or the context requires otherwise, references to “LENSAR,” the “Company,” “we,” “us,” and “our,” refer to LENSAR, Inc.</w:t>
      </w:r>
    </w:p>
    <w:p>
      <w:pPr>
        <w:spacing w:after="0" w:line="18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or have registered rights to certain trademarks, trade names, copyrights and other intellectual property used in our business, including LENSAR, the LENSAR logo, Streamline, IntelliAxis, IntelliAxis Refractive Capsulorhexis, ALLY, Intelligent Incisions, Augmented Reality, ALLY Robotic Cataract Laser System, and the ALLY Robotic Cataract Laser System logo, Robotic Laser Cataract Surgery, and the Robotic Laser Cataract Surgery logo, each of which is considered a trademark. All other company names, product names, trade names and trademarks included in this Annual Report are trademarks, registered trademarks or trade names of their respective owners.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 AND FORECASTS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this Annual Report, we present certain market and industry data and statistics. This information is based on third-party sources, which we believe to be reliable. We have not independently verified data from these sources and cannot guarantee their accuracy or completeness. While we are not aware of any misstatements regarding industry data provided herein, our estimates involve risks and uncertainties and are subject to change based upon various factors, including those discussed in this Annual Report under “Forward-Looking Statements” and Part I, Item 1A. “Risk Factors.” Additionally, some data in this Annual Report is based on our good faith estimates, which are derived from management’s knowledge of the industry and independent sources. Similarly, we believe our internal research is reliable, however, such research has not been verified by any independent sources.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You should carefully consider these risks and uncertainties when investing in our common stock. The principal risks and uncertainties affecting our business include the following:</w:t>
      </w:r>
    </w:p>
    <w:p>
      <w:pPr>
        <w:spacing w:after="0" w:line="135" w:lineRule="exact"/>
        <w:rPr>
          <w:sz w:val="20"/>
          <w:szCs w:val="20"/>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have been in the past, and could be in the future, adversely affected by economic uncertainty or deteriorations in economic conditions.</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and expect to incur operating losses for the near-term future and we cannot assure you that we will be able to generate sufficient revenue to achieve or sustain profitability.</w:t>
      </w:r>
    </w:p>
    <w:p>
      <w:pPr>
        <w:spacing w:after="0" w:line="134"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derived our revenue from the sale or lease of our Systems as well as the associated procedure licenses and sale of consumables used in each procedure involving our Systems. The commercial success of our ALLY System will depend upon receipt of additional regulatory clearances or certifications and our ability to maintain and grow significant market acceptance for it.</w:t>
      </w:r>
    </w:p>
    <w:p>
      <w:pPr>
        <w:spacing w:after="0" w:line="13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on our ability to gain regulatory clearances and certifications, as well as our ability to meet production goals for our ALLY System.</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p>
    <w:p>
      <w:pPr>
        <w:spacing w:after="0" w:line="134"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effectively grow our U.S. sales and marketing organization or maintain or grow an effective network of international distributors, our business prospects, results of operations and financial condition could be adversely affected.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 are uncertain and we may need to raise additional funds in the future, and such funds may not be available on acceptable terms or at all.</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compete, and expect to compete in the future against other companies, some of which have longer operating histories, more established products or greater resources than we do.</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successfully market, sell and lease our products in markets outside of the United States, we must address many international business risks with which we have limited experience.</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operations are subject to extensive government regulation and oversight both in the United States and abroad, and our failure to comply with applicable requirements could harm our business.</w:t>
      </w:r>
    </w:p>
    <w:p>
      <w:pPr>
        <w:spacing w:after="0" w:line="134"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receive, or may be delayed in receiving, the necessary clearances, certifications or approvals for our future products, or modifications to our current products, and failure to timely obtain additional clearances, certifications or approvals for our ALLY System and future products or modifications to our current products would adversely affect our ability to grow our business.</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will depend on our ability to obtain, maintain and protect our intellectual property rights.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commercial-stage medical device company focused on designing, developing and marketing advanced laser systems for the treatment of cataracts and the management of pre-existing or surgically induced corneal astigmatism. Our current systems, the LENSAR Laser System, or LLS, and ALLY Robotic Cataract Laser System™, or ALLY System, or collectively, the Systems, incorporate a range of proprietary technologies designed to assist the surgeon in obtaining better visual outcomes, efficiency and reproducibility by providing advanced imaging, simplified procedure planning, efficient design and precision. We believe the cumulative effect of these technologies results in laser systems that can be quickly and efficiently integrated into a surgeon’s existing practice, is easy to use and provides surgeons the ability to deliver improved visual outcomes with enhanced precision and the ability to do so consistently. The ALLY System combines all of the features from our LLS with a dual-modality laser, integrated in a small, compact cataract treatment system that is designed to allow surgeons to perform sterile laser-assisted cataract surgery in a single operating room. This system is designed to be a significant medical advancement and provide improved efficiency and financial benefit to a surgeon’s practice and to ambulatory surgery centers, or ASCs. The ALLY System received clearance from the U.S. Food and Drug Administration, or FDA, in June 2022, and we began commercialization of the ALLY System in August 2022. In 2024, we obtained certification of our ALLY System under the Medical Devices Regulation in the European Union, or EU, and we have also received regulatory clearance in India, Taiwan, and certain other countries. In addition, we are pursuing additional marketing or certification applications through our distributors in South Korea and China.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global market for the treatment of cataracts is characterized by large patient populations with increases driven by the aging population and the availability of new technologies, such as laser-assisted systems and an influx of new, innovative intraocular lenses, or IOLs, which can improve visual outcomes post-operatively. Cataract surgery is one of the highest volume surgical procedures in the world, and according to the American Academy of Ophthalmology, or AAO, the most common procedure performed by the ophthalmic surgeon. According to the 2024 Cataract Surgical Equipment Market Report, global estimated cataract surgery and refractive lens exchange surgical procedures (cataract surgery) are expected to grow from 31.9 million in 2024 to 37.8 million in 2029. In the United States, cataract surgery is expected to increase from almost 4.9 million procedures in 2024 to approximately 5.7 million in 2029. By contrast, worldwide laser-assisted cataract surgery is expected to grow from just over 1 million procedures in 2024 to an estimated 1.2 million procedures in 2029. There are approximately 8,818 ophthalmic surgeons in the United States focused on performing cataract procedures.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Cataracts and Cataract Surgery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cataract occurs when the normally clear lens of the eye becomes cloudy or opaque, causing a decrease in vision. The clouding of this lens caused by a cataract can cause blurring and distortion of vision, colors that seem faded, glare or halos from lights at night, diminished vision and double vision. Cataracts typically affect both eyes, but it is not uncommon for a cataract in one eye to advance more rapidly. In most cases, the cataract is a naturally occurring process that is age-related, although it can also be caused by heredity, an injury to the eye or after surgery for another eye problem, such as glaucoma. Currently, the only way to treat cataracts is to surgically remove the natural lens of the eye.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Traditional cataract surgeries are performed by a surgeon using a metal or diamond blade to perform the corneal incisions to enter the eye, and a bent needle to perform the anterior capsulorhexis to provide the surgeon access to the nucleus of the cataract for fragmentation and subsequent removal. Over the last decade, laser systems have been developed to assist surgeons in performing or facilitating these aspects of the cataract procedure, including assessing and fragmenting the cataract. In either case, cataract nucleus disassembly and removal is achieved using a process with ultrasound called phacoemulsification. Currently, Medicare and most commercial third-party payors only cover the cost of traditional cataract surgery and the placement of a monofocal IOL, which may not produce the targeted visual outcome. To achieve their targeted visual outcome, patients may elect to have an advanced procedure that involves use of a laser system and/or implantation of a premium IOL, and/or addresses their pre-existing astigmatism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which case the patient is responsible for the cost differential between the amount reimbursed by a third-party payor and the cost of the advanced procedure.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majority of patients suffering from cataracts also present with visually significant astigmatism. Astigmatism is an imperfection in the symmetry of the cornea, creating a different, additional focal plane in a specific axis within the cornea. This causes a distortion of the light as it converges on the retina and causes blurry vision. In 2024, Market Scope referenced data from a clinical study of 6,000 patients performed by Warren Hill, MD that estimates that approximately 70 – 90% of cataract patients present with addressable astigmatism prior to cataract surgery. To reduce the need for prescription distance or reading glasses following cataract surgery, it is important that little or no astigmatism remain. Conventionally, residual post-operative astigmatism has been targeted at less than or equal to 0.5 diopters, the unit measure of the refractive power of a lens. Surgeons may attempt to address low to moderate magnitudes of astigmatism using a procedure called limbal relaxing incisions, or LRIs, or arcuate incisions, or AIs. LRIs or AIs are performed by making two small incisions on the cornea, usually 180 degrees apart that are intended to return the cornea to a rounder, symmetrical shape. Corneal incisions used by surgeons as a means to manage astigmatism that are performed with a laser are referred to as AIs. More recently, and where the magnitude of astigmatism is higher, toric IOLs may be used to both correct the patient’s near or far vision and address any pre-existing astigmatism.</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Laser-Assisted Cataract Surgery. </w:t>
      </w:r>
      <w:r>
        <w:rPr>
          <w:rFonts w:ascii="Times New Roman" w:cs="Times New Roman" w:eastAsia="Times New Roman" w:hAnsi="Times New Roman"/>
          <w:sz w:val="18"/>
          <w:szCs w:val="18"/>
          <w:color w:val="auto"/>
        </w:rPr>
        <w:t>In the last 10 to 15 years, special laser systems have been developed to assist surgeons in performing or facilitating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aspects of cataract procedures. Laser-assisted cataract surgery involves the same steps as traditional surgery but uses advanced imaging techniques to design a precise surgical plan and a femtosecond laser, the same type of laser engine used to cut the flaps in LASIK corrective procedures, to make the AIs and perform the capsulorhexis. The intent is to create an incision with a specific location, depth and length that can be performed exactly without the variable of surgeon experience or the individual variances in the anatomy of the patient. The laser can also be used to soften and fragment the nucleus of the cataract before phacoemulsification, which can reduce the amount of phacoemulsification energy required to break up and remove the cataract and reduce the chance of certain complications. After phacoemulsification, the surgeon replaces the natural lens with an IOL and the incision is closed without the need for suture.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Transition to Advanced Refractive Cataract Procedures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Currently, Medicare and most commercial third-party payors only cover the cost of treating the medical condition of the cataract, which can be accomplished with traditional cataract surgery and the placement of a monofocal IOL. Standard or traditional cataract surgery does not specifically address the outcomes associated with astigmatism and presbyopia, which may be addressed in an advanced refractive procedure involving laser-assisted cataract removal and implantation of a premium IOL. However, since the advantages of these advanced refractive cataract procedures are not deemed medically necessary, patients seeking either or both alternatives must pay the difference between the reimbursed amount and the cost of the advanced procedure that includes implantation of a premium IOL.</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these advanced procedures that include implantation of a premium IOL offer physicians and patients additional benefits and improved outcomes that justify the additional cost. For example, some of the benefits of laser-assisted cataract surgery include:</w:t>
      </w:r>
    </w:p>
    <w:p>
      <w:pPr>
        <w:spacing w:after="0" w:line="131" w:lineRule="exact"/>
        <w:rPr>
          <w:sz w:val="20"/>
          <w:szCs w:val="20"/>
          <w:color w:val="auto"/>
        </w:rPr>
      </w:pPr>
    </w:p>
    <w:p>
      <w:pPr>
        <w:jc w:val="both"/>
        <w:ind w:left="760" w:hanging="378"/>
        <w:spacing w:after="0" w:line="257"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Improved accuracy</w:t>
      </w:r>
      <w:r>
        <w:rPr>
          <w:rFonts w:ascii="Times New Roman" w:cs="Times New Roman" w:eastAsia="Times New Roman" w:hAnsi="Times New Roman"/>
          <w:sz w:val="18"/>
          <w:szCs w:val="18"/>
          <w:color w:val="auto"/>
        </w:rPr>
        <w:t>. Most laser systems cleared for the treatment of cataracts contain imaging tools that assist the surgeon in modeling the eye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developing a surgical plan for the procedure, including the precise placement and location of the capsulorhexis and identifying the axis of astigmatism in each patient. After the surgeon has developed and chosen the plan to proceed, the system itself can make the appropriate capsulotomy, including the incisions prescribed in the plan, without reliance on the surgeon’s manual capabilities to size, shape and locate the capsulorhexis, and appropriately place the AIs to minimize any further inducement of astigmatism. This is intended to optimize reproducibility and precision in the optimal placement of the capsulorhexis or location of the AIs, customized to each patient and IOL selection.</w:t>
      </w:r>
    </w:p>
    <w:p>
      <w:pPr>
        <w:spacing w:after="0" w:line="141" w:lineRule="exact"/>
        <w:rPr>
          <w:rFonts w:ascii="Times New Roman" w:cs="Times New Roman" w:eastAsia="Times New Roman" w:hAnsi="Times New Roman"/>
          <w:sz w:val="18"/>
          <w:szCs w:val="18"/>
          <w:color w:val="auto"/>
        </w:rPr>
      </w:pPr>
    </w:p>
    <w:p>
      <w:pPr>
        <w:ind w:left="760" w:right="20" w:hanging="378"/>
        <w:spacing w:after="0" w:line="28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Reproducibility</w:t>
      </w:r>
      <w:r>
        <w:rPr>
          <w:rFonts w:ascii="Times New Roman" w:cs="Times New Roman" w:eastAsia="Times New Roman" w:hAnsi="Times New Roman"/>
          <w:sz w:val="18"/>
          <w:szCs w:val="18"/>
          <w:color w:val="auto"/>
        </w:rPr>
        <w:t>. Studies have shown that laser capsulotomies are consistently more round and more precise in sizing to enable better centering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capsulorhexis overlap of the IOL and that IOL positioning is an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important factor in determining visual outcomes minimizing the variances associated with manual techniques.</w:t>
      </w:r>
    </w:p>
    <w:p>
      <w:pPr>
        <w:spacing w:after="0" w:line="194" w:lineRule="exact"/>
        <w:rPr>
          <w:sz w:val="20"/>
          <w:szCs w:val="20"/>
          <w:color w:val="auto"/>
        </w:rPr>
      </w:pPr>
    </w:p>
    <w:p>
      <w:pPr>
        <w:jc w:val="both"/>
        <w:ind w:left="760" w:hanging="378"/>
        <w:spacing w:after="0" w:line="26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Reduced complications and quicker visual recovery</w:t>
      </w:r>
      <w:r>
        <w:rPr>
          <w:rFonts w:ascii="Times New Roman" w:cs="Times New Roman" w:eastAsia="Times New Roman" w:hAnsi="Times New Roman"/>
          <w:sz w:val="18"/>
          <w:szCs w:val="18"/>
          <w:color w:val="auto"/>
        </w:rPr>
        <w:t>. By using a laser to soften and fragment the cataract before phacoemulsification, 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phacoemulsification energy is required to emulsify and remove the cataract. This may make the procedure safer to the inner eye and reduce the chance of complications, such as cystoid macular edema, or swelling of the eye. Use of the laser also creates less endothelial cell loss than phacoemulsification alone, contributing to clearer corneas and quicker visual recovery after surgery.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Typically, patients undergoing an advanced refractive cataract procedure are paying a significant portion of the cost of the surgery out of pocket. As a result, they have heightened expectations for their visual outcomes, normally targeting vision correction within 0.5 diopters of their predicted refractive outcome, sometimes referred to as best uncorrected visual acuity. We believe these procedures and outcomes must appropriately address and manage the correction of the patient’s pre-existing astigmatism. Pre-existing astigmatism is frequently not being addressed in the preoperative surgical planning and more frequently is not part of the treatment. In many cases, we believe the failure to manage the astigmatism in such a large percentage of patients is due to the lack of useful technology in surgery. For example, research indicates that for each 1 degree that a toric IOL is off axis, its ability to reduce astigmatism is decreased by approximately 3.3%. To that end, very small errors in the measurements, calculations and treatments used in the cataract procedure can significantly decrease its effectiveness in achieving the targeted visual outcome. We believe this lack of precision can be attributed to one or more of the following limitations of procedures performed with competing laser systems:</w:t>
      </w:r>
    </w:p>
    <w:p>
      <w:pPr>
        <w:spacing w:after="0" w:line="144" w:lineRule="exact"/>
        <w:rPr>
          <w:sz w:val="20"/>
          <w:szCs w:val="20"/>
          <w:color w:val="auto"/>
        </w:rPr>
      </w:pPr>
    </w:p>
    <w:p>
      <w:pPr>
        <w:jc w:val="both"/>
        <w:ind w:left="760" w:hanging="378"/>
        <w:spacing w:after="0" w:line="259"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Imaging that requires manual inputs</w:t>
      </w:r>
      <w:r>
        <w:rPr>
          <w:rFonts w:ascii="Times New Roman" w:cs="Times New Roman" w:eastAsia="Times New Roman" w:hAnsi="Times New Roman"/>
          <w:sz w:val="18"/>
          <w:szCs w:val="18"/>
          <w:color w:val="auto"/>
        </w:rPr>
        <w:t>. Prior to performing a cataract surgery with most existing laser systems, the surgeon must manually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identify and locate the pupil and anterior capsule to place the cursors necessary to perform the capsulorhexis. The result is more likely to be a capsulorhexis that likely is marginally better than a manual surgery by being more concentric and rounder but still reduces the accuracy and reproducibility of the laser to provide useful treatment for a surgeon. In addition, several competing laser systems do not measure automatically for lens tilt and adjust the laser treatment accordingly when fragmenting the natural lens</w:t>
      </w:r>
      <w:r>
        <w:rPr>
          <w:rFonts w:ascii="Times New Roman" w:cs="Times New Roman" w:eastAsia="Times New Roman" w:hAnsi="Times New Roman"/>
          <w:sz w:val="18"/>
          <w:szCs w:val="18"/>
          <w:b w:val="1"/>
          <w:bCs w:val="1"/>
          <w:i w:val="1"/>
          <w:iCs w:val="1"/>
          <w:color w:val="auto"/>
        </w:rPr>
        <w:t>.</w:t>
      </w:r>
    </w:p>
    <w:p>
      <w:pPr>
        <w:spacing w:after="0" w:line="138"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Inaccuracies that appear when managing astigmatism. </w:t>
      </w:r>
      <w:r>
        <w:rPr>
          <w:rFonts w:ascii="Times New Roman" w:cs="Times New Roman" w:eastAsia="Times New Roman" w:hAnsi="Times New Roman"/>
          <w:sz w:val="18"/>
          <w:szCs w:val="18"/>
          <w:color w:val="auto"/>
        </w:rPr>
        <w:t>Once the surgeon performs the appropriate calculations to determine the surgical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 or she will mark the eye with an ink marker to identify the proper steep axis of astigmatism used to accurately align the toric, trifocal or toric multifocal IOL. The reliability of these manual marks can be impacted by events as minor as manually transposing data from the office to the surgical record, the thickness of the marker or bleeding of the ink used when mixed with fluids. The accuracy is also impacted by the natural rotation of the patient’s eye when they move from the seated position when the measurements are taken, to a supine position for surgery. This rotation varies per patient, and the manual marking to orient the eye has to be started when the patient is seated and requires other markers before the ink marker. This can increase the cumulative effect of “stackable error,” contributing to a lack of precision in aligning the IOL.</w:t>
      </w:r>
    </w:p>
    <w:p>
      <w:pPr>
        <w:spacing w:after="0" w:line="155"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Inability to integrate with preoperative devices to guide surgical treatment. </w:t>
      </w:r>
      <w:r>
        <w:rPr>
          <w:rFonts w:ascii="Times New Roman" w:cs="Times New Roman" w:eastAsia="Times New Roman" w:hAnsi="Times New Roman"/>
          <w:sz w:val="18"/>
          <w:szCs w:val="18"/>
          <w:color w:val="auto"/>
        </w:rPr>
        <w:t>Surgeons use a variety of different devices such as corneal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topographers and imaging to obtain the preoperative measurements and data needed to develop the treatment plan. Most competing laser systems are unable to integrate with many of these devices, leaving surgeons to manually input, set up, and develop the laser treatment plan.</w:t>
      </w:r>
    </w:p>
    <w:p>
      <w:pPr>
        <w:spacing w:after="0" w:line="130" w:lineRule="exact"/>
        <w:rPr>
          <w:rFonts w:ascii="Times New Roman" w:cs="Times New Roman" w:eastAsia="Times New Roman" w:hAnsi="Times New Roman"/>
          <w:sz w:val="18"/>
          <w:szCs w:val="18"/>
          <w:color w:val="auto"/>
        </w:rPr>
      </w:pPr>
    </w:p>
    <w:p>
      <w:pPr>
        <w:jc w:val="both"/>
        <w:ind w:left="760" w:hanging="378"/>
        <w:spacing w:after="0" w:line="259"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Deficient cataract density imaging system. </w:t>
      </w:r>
      <w:r>
        <w:rPr>
          <w:rFonts w:ascii="Times New Roman" w:cs="Times New Roman" w:eastAsia="Times New Roman" w:hAnsi="Times New Roman"/>
          <w:sz w:val="18"/>
          <w:szCs w:val="18"/>
          <w:color w:val="auto"/>
        </w:rPr>
        <w:t>Cataracts come in varying densities and lens compositions. These can range from soft, which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easily removed with less energy, to very hard, which require much more energy, care and time during the phacoemulsification procedure. Many competing laser systems’ imaging does not provide useful data and cataract grading systems designed to assist the surgeon in choosing the optimal tissue specific treatments utilizing only the energies and fragmentation necessary to reduce the amount of phacoemulsification required, contributing to less cell loss and quicker visual recoveries.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result, we believe a significant opportunity exists for laser systems that can improve surgeon precision and assist in achieving targeted visual outcomes in patients with astigmatism.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the inability to achieve the targeted visual outcome is largely due to a failure to appropriately address corneal astigmatism even when using competing laser systems. We believe this lack of precision can be attributed to several limitations of competing laser devices, including imaging systems that require manual inputs, inaccuracies that result from reliance on manually transposing data and manually marking the eye for treatment, and competing systems’ inability to use iris registration to integrate with preoperative devices. In addition, these devices may not have the ability to precisely, and in a reproducible basis through the imaging and measurement technology determine the location on optical axis or pupil center based on the surgeon's choice to place the anterior capsulorhexis. This can affect the outcomes due to less certain effective lens position with the IOL implantation. Competing devices also lack a cataract density imaging system, which allows the surgeon to customize the fragmentation and energy settings based on each individual patient’s cataract.</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developed our Systems to provide an alternative laser cataract treatment tool that allows the surgeon to better address astigmatism and improve visual outcomes. Our Systems incorporate a range of proprietary technology features that are designed to provide surgeons the following key benefits:</w:t>
      </w:r>
    </w:p>
    <w:p>
      <w:pPr>
        <w:spacing w:after="0" w:line="117"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Optimizing Surgeon and Robotic Interaction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Robotic intelligence and precision to help guide and optimize every step of the cataract procedure.</w:t>
      </w:r>
    </w:p>
    <w:p>
      <w:pPr>
        <w:spacing w:after="0" w:line="211" w:lineRule="exact"/>
        <w:rPr>
          <w:rFonts w:ascii="Times New Roman" w:cs="Times New Roman" w:eastAsia="Times New Roman" w:hAnsi="Times New Roman"/>
          <w:sz w:val="17"/>
          <w:szCs w:val="17"/>
          <w:color w:val="auto"/>
        </w:rPr>
      </w:pPr>
    </w:p>
    <w:p>
      <w:pPr>
        <w:ind w:left="1500" w:hanging="369"/>
        <w:spacing w:after="0"/>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Superior docking</w:t>
      </w:r>
      <w:r>
        <w:rPr>
          <w:rFonts w:ascii="Times New Roman" w:cs="Times New Roman" w:eastAsia="Times New Roman" w:hAnsi="Times New Roman"/>
          <w:sz w:val="18"/>
          <w:szCs w:val="18"/>
          <w:color w:val="auto"/>
        </w:rPr>
        <w:t>. The system’s robotics is designed to optimize patient engagement to enhance patient comfort and recovery.</w:t>
      </w:r>
    </w:p>
    <w:p>
      <w:pPr>
        <w:spacing w:after="0" w:line="184" w:lineRule="exact"/>
        <w:rPr>
          <w:rFonts w:ascii="Times New Roman" w:cs="Times New Roman" w:eastAsia="Times New Roman" w:hAnsi="Times New Roman"/>
          <w:sz w:val="18"/>
          <w:szCs w:val="18"/>
          <w:color w:val="auto"/>
        </w:rPr>
      </w:pPr>
    </w:p>
    <w:p>
      <w:pPr>
        <w:jc w:val="both"/>
        <w:ind w:left="1500" w:hanging="369"/>
        <w:spacing w:after="0" w:line="267" w:lineRule="auto"/>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Robotic imaging</w:t>
      </w:r>
      <w:r>
        <w:rPr>
          <w:rFonts w:ascii="Times New Roman" w:cs="Times New Roman" w:eastAsia="Times New Roman" w:hAnsi="Times New Roman"/>
          <w:sz w:val="18"/>
          <w:szCs w:val="18"/>
          <w:color w:val="auto"/>
        </w:rPr>
        <w:t>. Our robotic imaging and processing technology collects a broad spectrum of biometric data and then reconstructs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presents a precise, three-dimensional model based on AI of each individual patient’s eye that is used to develop and implement the surgeon’s procedure plan.</w:t>
      </w:r>
    </w:p>
    <w:p>
      <w:pPr>
        <w:spacing w:after="0" w:line="132" w:lineRule="exact"/>
        <w:rPr>
          <w:rFonts w:ascii="Times New Roman" w:cs="Times New Roman" w:eastAsia="Times New Roman" w:hAnsi="Times New Roman"/>
          <w:sz w:val="18"/>
          <w:szCs w:val="18"/>
          <w:color w:val="auto"/>
        </w:rPr>
      </w:pPr>
    </w:p>
    <w:p>
      <w:pPr>
        <w:jc w:val="both"/>
        <w:ind w:left="1500" w:hanging="369"/>
        <w:spacing w:after="0" w:line="267" w:lineRule="auto"/>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Robotic treatment planning</w:t>
      </w:r>
      <w:r>
        <w:rPr>
          <w:rFonts w:ascii="Times New Roman" w:cs="Times New Roman" w:eastAsia="Times New Roman" w:hAnsi="Times New Roman"/>
          <w:sz w:val="18"/>
          <w:szCs w:val="18"/>
          <w:color w:val="auto"/>
        </w:rPr>
        <w:t>. Using robotic imaging, our system develops and recommends a treatment plan designed to automate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 various critical steps in the cataract procedure with the goal of providing surgeons with the confidence to perform these advanced procedures that include implantation of a premium IOL.</w:t>
      </w:r>
    </w:p>
    <w:p>
      <w:pPr>
        <w:spacing w:after="0" w:line="146" w:lineRule="exact"/>
        <w:rPr>
          <w:rFonts w:ascii="Times New Roman" w:cs="Times New Roman" w:eastAsia="Times New Roman" w:hAnsi="Times New Roman"/>
          <w:sz w:val="18"/>
          <w:szCs w:val="18"/>
          <w:color w:val="auto"/>
        </w:rPr>
      </w:pPr>
    </w:p>
    <w:p>
      <w:pPr>
        <w:jc w:val="both"/>
        <w:ind w:left="1500" w:hanging="369"/>
        <w:spacing w:after="0" w:line="267" w:lineRule="auto"/>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Robotic precision and reproducibility</w:t>
      </w:r>
      <w:r>
        <w:rPr>
          <w:rFonts w:ascii="Times New Roman" w:cs="Times New Roman" w:eastAsia="Times New Roman" w:hAnsi="Times New Roman"/>
          <w:sz w:val="18"/>
          <w:szCs w:val="18"/>
          <w:color w:val="auto"/>
        </w:rPr>
        <w:t>. The system has multiple robotic features specifically designed to enable precise placement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centration of the IOL in patients in a consistent and reproducible manner that is not possible in manual cataract surgery or using competing laser systems.</w:t>
      </w:r>
    </w:p>
    <w:p>
      <w:pPr>
        <w:spacing w:after="0" w:line="130"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Efficient design</w:t>
      </w:r>
      <w:r>
        <w:rPr>
          <w:rFonts w:ascii="Times New Roman" w:cs="Times New Roman" w:eastAsia="Times New Roman" w:hAnsi="Times New Roman"/>
          <w:sz w:val="18"/>
          <w:szCs w:val="18"/>
          <w:color w:val="auto"/>
        </w:rPr>
        <w:t>. We designed the ergonomics of the system and its wireless capabilities to enable the system to integrate seamlessly into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surgeon’s existing surgical environment. According to Market Scope’s 2024 annual survey, over 78% of U.S. cataract surgeons, indicated the importance of data transfer between diagnostic devices as ‘required’ to ‘nice to have’.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cumulative effect of these technologies are advanced laser systems that can be quickly integrated into a surgeon’s existing practice and is easy to use. The Systems System provide surgeons the ability to deliver improved outcomes when addressing astigmatism in connection with cataract removal and to perform the surgery with enhanced precision and reproducibility.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artificial intelligence, AI, specifically machine learning, and automated decision-making technologies, including proprietary AI machine learning algorithms and models, collectively, AI Technologies, throughout our business. For example, we use AI Technologies in our ALLY System to register and analyze patients’ eyes and determine eye surface and cataract density, which is designed to helps optimize laser patterns and energy settings in cataract procedures, with the goal of minimizing the overall energy delivered in the eye for quicker visual recovery and better patient outcomes. We are in varying stages of development in relation to our products and internal business processes involving AI Technologies.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focused on continuous innovation and continue to develop, and further refine, our proprietary, next-generation robotic laser, the ALLY System. Our ALLY System is designed to combine our current core laser technology features with enhanced capabilities into a single small unit that allows surgeons to perform a robotic laser assisted cataract procedure in an operating room. The ALLY System’s enhanced features include the ability to perform laser procedures much faster, as well as enabling broader applications due to it being the only commercial robotic laser incorporating a dual-modality laser. Our ALLY System received clearance from the FDA in June 2022, and we executed a controlled and targeted initial launch of the ALLY System beginning in August 2022. The ALLY System is available to all U.S. and EU cataract surgeons and has also received regulatory clearance in India, Taiwan, as well as certain other countries.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almost all cataract procedures, whether manual or laser-assisted, involve the use of a phacoemulsification system to fracture and remove the cataract. For most surgeons that also use a laser-assisted system, the laser system is stationed in a separate room from the phacoemulsification system, as the size of most operating rooms will not accommodate placement of all the other necessary equipment, and these two critical pieces of equipment operate independently. This configuration results in significant interruption in the patient flow, by requiring the patient to be moved from one room to the next during the course of the procedure.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designed our ALLY System to have a small footprint, allowing it to be placed in any operating room or in-office surgery suite, to allow the surgeon to switch seamlessly and quickly between cataract laser and the surgeon’s existing phacoemulsification device without moving patients from room-to-room. Importantly, this system was designed with the ergonomics in-mind to be used in the operating room or the in-office surgical suite. The footprint is significantly smaller than current laser systems and only slightly larger than stand-alone phacoemulsification systems. The additional enhancements to our existing laser technology that are incorporated into our ALLY System include a more versatile laser that uses pulse characteristics designed for tissue specific targeting with significantly faster speeds in different applications. Based on studies with ALLY System users, this system provides significant surgical workflow time savings and financial benefit to a surgeon’s practice and ASC or hospital.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several converging marketplace factors will encourage adoption of our ALLY System. These include:</w:t>
      </w:r>
    </w:p>
    <w:p>
      <w:pPr>
        <w:spacing w:after="0" w:line="185" w:lineRule="exact"/>
        <w:rPr>
          <w:sz w:val="20"/>
          <w:szCs w:val="20"/>
          <w:color w:val="auto"/>
        </w:rPr>
      </w:pPr>
    </w:p>
    <w:p>
      <w:pPr>
        <w:jc w:val="both"/>
        <w:ind w:left="76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advent of many new types of advanced IOLs with complex optics, developed to correct near and distance vision with astigmatism, and the ability of the ALLY System to assist surgeons in optimizing the accurate positioning using any of these lenses to correct astigmatism for better visual outcomes;</w:t>
      </w:r>
    </w:p>
    <w:p>
      <w:pPr>
        <w:spacing w:after="0" w:line="148"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pressure to improve efficiencies driven by the reduction of reimbursement in standard cataract surgery cases coupled with the ability to provide better patient visual outcomes, which we believe will motivate surgeons and patients to seek refractive outcome-based patient-pay procedures; and</w:t>
      </w:r>
    </w:p>
    <w:p>
      <w:pPr>
        <w:spacing w:after="0" w:line="135"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increased awareness of efficiencies associated with faster patient throughput, less movement from having to use two rooms to complete an advanced cataract procedure, fewer patient encounters to plan, treat and to complete the advanced cataract procedure, placing the system in the ASC, operating room or in-office surgical suite. Early data suggests performing a sterile robotic laser-assisted cataract surgery, or LACS, procedure using the ALLY System resulted in up to 17-minute time savings for the surgeon, up to 19-minute time savings for the surgical staff, and up to 51-minute savings for the patient, allowing surgeons to shorten their surgery day or treat more patients.</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According to the 2024 Cataract Surgical Equipment Market Report, there were an estimated 2,611 cataract laser systems installed at the end of 2024, of which 2,479 were in markets that we service. The number of total cataract laser systems installed is expected to grow to over 3,215 devices by 2029.</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help encourage and facilitate this transition to our ALLY System, we are focused on reducing the cost of the system without compromising the capabilities or performance of the laser. With that in mind, the ALLY System was designed to offer more functionality and better performance than other laser systems. We believe the ALLY System's surgical efficiencies and combined functions could help drive broader penetration into the overall cataract surgery market and could potentially create a paradigm shift in the treatment of cataracts and management of astigmatism in cataract surgery. The overall cost of the ALLY System, may, however, increase due to, among other factors, pricing increases in component parts for our systems resulting from inflationary pressures and macroeconomic conditions.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attribute our current and anticipated future success to the following factors:</w:t>
      </w:r>
    </w:p>
    <w:p>
      <w:pPr>
        <w:spacing w:after="0" w:line="181" w:lineRule="exact"/>
        <w:rPr>
          <w:sz w:val="20"/>
          <w:szCs w:val="20"/>
          <w:color w:val="auto"/>
        </w:rPr>
      </w:pPr>
    </w:p>
    <w:p>
      <w:pPr>
        <w:jc w:val="both"/>
        <w:ind w:left="760" w:hanging="378"/>
        <w:spacing w:after="0" w:line="253"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Disruptive technology platform providing improved visual outcomes. </w:t>
      </w:r>
      <w:r>
        <w:rPr>
          <w:rFonts w:ascii="Times New Roman" w:cs="Times New Roman" w:eastAsia="Times New Roman" w:hAnsi="Times New Roman"/>
          <w:sz w:val="18"/>
          <w:szCs w:val="18"/>
          <w:color w:val="auto"/>
        </w:rPr>
        <w:t>Our systems were built specifically for laser refractive cataract surgery.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Central to our systems is our propriety robotic imaging technology, which begins by using Scheimpflug imaging to scan the anterior segment of the eye, collecting a broad spectrum of biometric data. The system then uses a process called wave-tracing to take a series of two-dimensional images derived from the imaging and scanning and, through precision processing of this biometric data using AI, reconstructs a three-dimensional model of each individual patient’s eye. The system identifies relevant anatomy and specific measurements within the eye, then recommends a treatment plan for their review and approval. With robotic precision, the laser places the laser pulses necessary to accomplish the desired treatment. Data presented at the 2023 annual meeting of the American Society of Cataract and Refractive Surgeons demonstrated 99% of patients receiving a toric IOL using the ALLY System, and guided by the IntelliAxis Refractive Casulorhexis feature of the system, achieved refractive correction within 0.5 diopters of target. In addition to improving visual outcomes, our systems are designed to improve the efficiency and simplify the procedure for surgeons by including pre-programmable surgeon preferences, wireless integration with pre-operative diagnostic data, cataract density imaging, and accurate laser incision planning. We believe these features give surgeons an unprecedented reproducibility and ability to optimize their treatments to achieve LASIK-like vision correction while also improving overall efficiency for the surgeon’s practice.</w:t>
      </w:r>
    </w:p>
    <w:p>
      <w:pPr>
        <w:spacing w:after="0" w:line="160" w:lineRule="exact"/>
        <w:rPr>
          <w:rFonts w:ascii="Times New Roman" w:cs="Times New Roman" w:eastAsia="Times New Roman" w:hAnsi="Times New Roman"/>
          <w:sz w:val="18"/>
          <w:szCs w:val="18"/>
          <w:color w:val="auto"/>
        </w:rPr>
      </w:pPr>
    </w:p>
    <w:p>
      <w:pPr>
        <w:jc w:val="both"/>
        <w:ind w:left="760" w:hanging="378"/>
        <w:spacing w:after="0" w:line="259"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Demonstrated and growing commercial success. </w:t>
      </w:r>
      <w:r>
        <w:rPr>
          <w:rFonts w:ascii="Times New Roman" w:cs="Times New Roman" w:eastAsia="Times New Roman" w:hAnsi="Times New Roman"/>
          <w:sz w:val="18"/>
          <w:szCs w:val="18"/>
          <w:color w:val="auto"/>
        </w:rPr>
        <w:t>We believe our disruptive technology platform has enabled us to rapidly take market share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highly competitive market. Based on the 2024 Cataract Surgical Equipment Market Report, it was estimated that we achieved 16.1% market share in laser assisted cataract surgery in 2023 in terms of revenue. Additionally, when looking at the average procedures per installed device, each of our systems averaged 437 procedures in 2024 compared to the estimated industry average of 385 procedures per year per installed device, based on a 2024 Cataract Surgical Equipment Market Report. The following chart shows procedure volume per year from 2020 to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88265</wp:posOffset>
            </wp:positionV>
            <wp:extent cx="4260215" cy="3540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60215" cy="3540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Management.</w:t>
      </w:r>
    </w:p>
    <w:p>
      <w:pPr>
        <w:spacing w:after="0" w:line="163" w:lineRule="exact"/>
        <w:rPr>
          <w:sz w:val="20"/>
          <w:szCs w:val="20"/>
          <w:color w:val="auto"/>
        </w:rPr>
      </w:pPr>
    </w:p>
    <w:p>
      <w:pPr>
        <w:jc w:val="both"/>
        <w:ind w:left="760" w:hanging="378"/>
        <w:spacing w:after="0" w:line="254"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Improved visual outcomes that drive more advanced, patient-pay procedures. </w:t>
      </w:r>
      <w:r>
        <w:rPr>
          <w:rFonts w:ascii="Times New Roman" w:cs="Times New Roman" w:eastAsia="Times New Roman" w:hAnsi="Times New Roman"/>
          <w:sz w:val="18"/>
          <w:szCs w:val="18"/>
          <w:color w:val="auto"/>
        </w:rPr>
        <w:t>Standard cataract procedures are generally covered by Medicare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other third-party payors, including commercial health plans. However, based on the 2024 Market Scope IOL Market Report, approximately 79% of global patients receiving a standard cataract procedure do not have significant astigmatism addressed surgically and must rely on glasses for distance or near vision. Moreover, surgeon reimbursement for these standard procedures continues to decline. More advanced procedures, such as laser-assisted cataract surgery and the use of toric and multifocal premium IOLs, can address these additional vision challenges but are generally not covered by Medicare or other third-party payors. Accordingly, patients are required to pay the additional cost associated with the use of these advanced technologies. Historically, some patients may have been reluctant to incur the additional cost of a more advanced procedure that includes implantation of a premium IOL, and some surgeons may have been reluctant to recommend these procedures because of concerns that the targeted visual outcome might not be achieved. We believe the clinical data supporting the effectiveness of our laser system in assisting surgeons to achieve desired outcomes will motivate additional patients to seek, and additional surgeons to offer, these more advanced procedures that include implantation of a premium IOL.</w:t>
      </w:r>
    </w:p>
    <w:p>
      <w:pPr>
        <w:spacing w:after="0" w:line="155" w:lineRule="exact"/>
        <w:rPr>
          <w:rFonts w:ascii="Times New Roman" w:cs="Times New Roman" w:eastAsia="Times New Roman" w:hAnsi="Times New Roman"/>
          <w:sz w:val="18"/>
          <w:szCs w:val="18"/>
          <w:color w:val="auto"/>
        </w:rPr>
      </w:pPr>
    </w:p>
    <w:p>
      <w:pPr>
        <w:jc w:val="both"/>
        <w:ind w:left="760" w:hanging="378"/>
        <w:spacing w:after="0" w:line="257"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Focus on innovation to facilitate surgeon adoption. </w:t>
      </w:r>
      <w:r>
        <w:rPr>
          <w:rFonts w:ascii="Times New Roman" w:cs="Times New Roman" w:eastAsia="Times New Roman" w:hAnsi="Times New Roman"/>
          <w:sz w:val="18"/>
          <w:szCs w:val="18"/>
          <w:color w:val="auto"/>
        </w:rPr>
        <w:t>Our systems encompass improved innovations such as wireless capability, advanced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imaging, iris registration, and other features to improve their effectiveness and enhance efficiency. We have designed the ALLY System to be a compact robotic laser cataract treatment system to operate in an operating room or in-office surgical suite and allow the surgeon to switch seamlessly and quickly between laser and phacoemulsification without moving patients from room-to-room. We believe these innovations, which are intended to improve patient flow and efficiency, have the potential to allow surgeons to perform more premium procedures each surgery day, helping them to meet the expected increase in demand for cataract/refractive lens exchange surgical procedures.</w:t>
      </w:r>
    </w:p>
    <w:p>
      <w:pPr>
        <w:spacing w:after="0" w:line="141" w:lineRule="exact"/>
        <w:rPr>
          <w:rFonts w:ascii="Times New Roman" w:cs="Times New Roman" w:eastAsia="Times New Roman" w:hAnsi="Times New Roman"/>
          <w:sz w:val="18"/>
          <w:szCs w:val="18"/>
          <w:color w:val="auto"/>
        </w:rPr>
      </w:pPr>
    </w:p>
    <w:p>
      <w:pPr>
        <w:ind w:left="760" w:hanging="378"/>
        <w:spacing w:after="0" w:line="28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Innovative intellectual property protected by a comprehensive patent portfolio. </w:t>
      </w:r>
      <w:r>
        <w:rPr>
          <w:rFonts w:ascii="Times New Roman" w:cs="Times New Roman" w:eastAsia="Times New Roman" w:hAnsi="Times New Roman"/>
          <w:sz w:val="18"/>
          <w:szCs w:val="18"/>
          <w:color w:val="auto"/>
        </w:rPr>
        <w:t>As of December 31, 2024, we owned approximately 247 issued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patents and 114 pending patent applications globally. This portfolio</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5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covers key aspects of our technology, including the proprietary robotic imaging and processing, iris registration and patient interface features of our system. We have also filed and acquired significant patent rights relating to our next generation cataract treatment system. For example, we have approximately 12 pending US patent applications, 14 issued US patents, 60 pending foreign and PCT applications, and 26 issued foreign patents related to integrated systems.</w:t>
      </w:r>
    </w:p>
    <w:p>
      <w:pPr>
        <w:spacing w:after="0" w:line="149" w:lineRule="exact"/>
        <w:rPr>
          <w:sz w:val="20"/>
          <w:szCs w:val="20"/>
          <w:color w:val="auto"/>
        </w:rPr>
      </w:pPr>
    </w:p>
    <w:p>
      <w:pPr>
        <w:jc w:val="both"/>
        <w:ind w:left="760" w:hanging="378"/>
        <w:spacing w:after="0" w:line="259"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Proven management team and board of directors. </w:t>
      </w:r>
      <w:r>
        <w:rPr>
          <w:rFonts w:ascii="Times New Roman" w:cs="Times New Roman" w:eastAsia="Times New Roman" w:hAnsi="Times New Roman"/>
          <w:sz w:val="18"/>
          <w:szCs w:val="18"/>
          <w:color w:val="auto"/>
        </w:rPr>
        <w:t>Our senior management team and board of directors consist of seasoned medical device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professionals with deep industry experience. Our team has successfully led and managed dynamic growth phases in organizations and commercialized several products specifically in the cataract and refractive surgery field. Members of our team have worked with well-regarded, ophthalmology-focused medical technology companies such as Chiron Corporation, Alcon Inc., Advanced Medical Optics, Inc., Allergan, Inc., Bausch + Lomb and STAAR Surgical.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believe these factors will contribute to further growth and success, we cannot assure you that the market for cataract surgery will continue to grow as we anticipate or that new disruptive technologies will not be introduced to displace our laser systems. Moreover, we must maintain and grow market acceptance for our laser systems and convince physicians and patients that the out-of-pocket costs associated with procedures that use our laser systems will produce their targeted results. If we are unable to accomplish those goals, our business could suffer.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LLS and ALLY System have been built specifically for refractive cataract surgery, and at the core of our commitment to continuous technological innovation is our focus on providing cataract surgeons the tools to deliver their patients improved outcomes. The key technological features of our system include:</w:t>
      </w:r>
    </w:p>
    <w:p>
      <w:pPr>
        <w:spacing w:after="0" w:line="131" w:lineRule="exact"/>
        <w:rPr>
          <w:sz w:val="20"/>
          <w:szCs w:val="20"/>
          <w:color w:val="auto"/>
        </w:rPr>
      </w:pPr>
    </w:p>
    <w:p>
      <w:pPr>
        <w:jc w:val="both"/>
        <w:ind w:left="760" w:hanging="378"/>
        <w:spacing w:after="0" w:line="268"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IntelliAxis Refractive Capsulorhexis</w:t>
      </w:r>
      <w:r>
        <w:rPr>
          <w:rFonts w:ascii="Times New Roman" w:cs="Times New Roman" w:eastAsia="Times New Roman" w:hAnsi="Times New Roman"/>
          <w:sz w:val="18"/>
          <w:szCs w:val="18"/>
          <w:color w:val="auto"/>
        </w:rPr>
        <w:t>: Designed to improve precision and accuracy in outcome-based astigmatic cataract procedures,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proprietary technology enables precise marks to be placed on the capsulorhexis on the steep axis using advanced iris registration to guide toric IOL placement and alignment, both during and after the surgical procedure.</w:t>
      </w:r>
    </w:p>
    <w:p>
      <w:pPr>
        <w:spacing w:after="0" w:line="130"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Proprietary Robotic Imaging</w:t>
      </w:r>
      <w:r>
        <w:rPr>
          <w:rFonts w:ascii="Times New Roman" w:cs="Times New Roman" w:eastAsia="Times New Roman" w:hAnsi="Times New Roman"/>
          <w:sz w:val="18"/>
          <w:szCs w:val="18"/>
          <w:color w:val="auto"/>
        </w:rPr>
        <w:t>: Our patented robotic imaging technology provides a surgeon with a sophisticated, three-dimensional view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eye. This enhanced view reflects each patient’s own unique eye size and shape, then, using proprietary software it identifies relevant anatomy within the patient’s eye, and recommends where to precisely place the laser pulses necessary to accomplish the desired treatment. Surgeons are then able to develop better-informed approaches and subsequent treatment for refractive cataract surgical procedures. This technology also simplifies the procedure for surgeons by including pre-programmable surgeon preferences, wireless integration with pre-operative diagnostic data, cataract density imaging for using the lowest energy needed to treat, and accurate laser incision planning. We believe this improves the efficiency and reproducibility of the procedure for surgeons.</w:t>
      </w:r>
    </w:p>
    <w:p>
      <w:pPr>
        <w:spacing w:after="0" w:line="155"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Wireless Transfer of Pre-Operative Data</w:t>
      </w:r>
      <w:r>
        <w:rPr>
          <w:rFonts w:ascii="Times New Roman" w:cs="Times New Roman" w:eastAsia="Times New Roman" w:hAnsi="Times New Roman"/>
          <w:sz w:val="18"/>
          <w:szCs w:val="18"/>
          <w:color w:val="auto"/>
        </w:rPr>
        <w:t>: Pre-operative diagnostic data can be transferred wirelessly from many preoperative corneal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topographers and diagnostic devices to our system, which can guide more precise astigmatism planning and reduce or eliminate risks associated with transcription errors and manually marking the eye.</w:t>
      </w:r>
    </w:p>
    <w:p>
      <w:pPr>
        <w:spacing w:after="0" w:line="130"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Pre-Operative Data Analysis</w:t>
      </w:r>
      <w:r>
        <w:rPr>
          <w:rFonts w:ascii="Times New Roman" w:cs="Times New Roman" w:eastAsia="Times New Roman" w:hAnsi="Times New Roman"/>
          <w:sz w:val="18"/>
          <w:szCs w:val="18"/>
          <w:color w:val="auto"/>
        </w:rPr>
        <w:t>: With the assistance of our clinical applications and clinical outcomes groups, practices’ individualized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astigmatism treatment protocols can be refined and customized based on site specific pre-, intra-, and post-operative data, with the objective to help surgeons to deliver incrementally better patient outcomes over time as compared to earlier generations.</w:t>
      </w:r>
    </w:p>
    <w:p>
      <w:pPr>
        <w:spacing w:after="0" w:line="130" w:lineRule="exact"/>
        <w:rPr>
          <w:rFonts w:ascii="Times New Roman" w:cs="Times New Roman" w:eastAsia="Times New Roman" w:hAnsi="Times New Roman"/>
          <w:sz w:val="18"/>
          <w:szCs w:val="18"/>
          <w:color w:val="auto"/>
        </w:rPr>
      </w:pPr>
    </w:p>
    <w:p>
      <w:pPr>
        <w:jc w:val="both"/>
        <w:ind w:left="760" w:hanging="378"/>
        <w:spacing w:after="0" w:line="259"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Cataract Density Imaging</w:t>
      </w:r>
      <w:r>
        <w:rPr>
          <w:rFonts w:ascii="Times New Roman" w:cs="Times New Roman" w:eastAsia="Times New Roman" w:hAnsi="Times New Roman"/>
          <w:sz w:val="18"/>
          <w:szCs w:val="18"/>
          <w:color w:val="auto"/>
        </w:rPr>
        <w:t>: Another unique aspect of our AI imaging system is the ability of the system to grade and compare the cataract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density and tissue specific areas to treat within the lens nucleus. The benefit of this is the surgeon can customize the treatment and deliver only the energy and fragmentation patterns necessary to optimally treat the cataract based on the System’s recommendation. This not only increases efficiency in removal of the cataract when the surgeon gets to the phacoemulsification, but also provides the surgeon choices in pre-programmed treatment algorithms or their own customized preferences in the energy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53"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and fragmentation parameters based on their surgical technique. These can be stored and used each time the system identifies a cataract with similar characteristics.</w:t>
      </w:r>
    </w:p>
    <w:p>
      <w:pPr>
        <w:spacing w:after="0" w:line="131" w:lineRule="exact"/>
        <w:rPr>
          <w:sz w:val="20"/>
          <w:szCs w:val="20"/>
          <w:color w:val="auto"/>
        </w:rPr>
      </w:pPr>
    </w:p>
    <w:p>
      <w:pPr>
        <w:jc w:val="both"/>
        <w:ind w:left="760" w:hanging="378"/>
        <w:spacing w:after="0" w:line="268"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Corneal Incision-Only Mode</w:t>
      </w:r>
      <w:r>
        <w:rPr>
          <w:rFonts w:ascii="Times New Roman" w:cs="Times New Roman" w:eastAsia="Times New Roman" w:hAnsi="Times New Roman"/>
          <w:sz w:val="18"/>
          <w:szCs w:val="18"/>
          <w:color w:val="auto"/>
        </w:rPr>
        <w:t>: By allowing a surgeon to perform laser corneal incisions independent of capsulorhexis and fragmentation,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surgeon has greater flexibility to treat a patient who may benefit from post-operative arcuate incisions and may achieve greater efficiency with abbreviated scanning that omits lens boundaries.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built and are continuing to grow our commercial organization, which includes a direct sales force in the United States and third-party distributors in China, South Korea, Germany, India, and other targeted international markets. Depending on the dynamics of a particular geographic region, we and our distributors typically market and sell our systems to ASCs, hospitals and physicians. In the United States, we sell our products through a direct sales organization that, as of December 31, 2024, consisted of approximately 65 commercial team professionals, including regional sales managers, clinical applications and outcomes specialists, field service, marketing, technical and customer support personnel. As of December 31, 2024, we had a total of approximately 385 systems installed in a total of 16 countries, with approximately 50% of those systems in the United States where we have a direct sales relationship with our customers, and with China, South Korea, and Germany representing our largest markets outside the United States, where we sell our products through distributor relationships. We believe there is significant opportunity for us to expand our presence in these countries and other countries where we have no or only a limited number of installed systems. For the year ended December 31, 2024, one customer accounted for approximately 14% of our revenue and one customer accounted for approximately 12% of our accounts receivable, net.</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been able to achieve our success to date with a limited number of regional sales managers in the United States and independent distributors in international markets, growing our business substantially year-over-year in terms of both revenues and number of procedures, with the exception of 2020 due to the impact on our operations of the COVID-19 pandemic. We believe that increasing the size and geographic breadth of our sales and marketing management team and number of regional sales managers in the United States and expanding our network of independent distributors in additional international markets will allow further penetration in the cataract surgery market. To support these commercial efforts, in the United States, we anticipate adding additional field sales professionals, including clinical outcome specialists, and expanding our marketing support and commitment to physician and staff training programs to optimize results and communicate the strengths of our cataract surgery solutions. Outside the United States, we expect to expand the geographical reach of our distributors. We believe the expansion of our domestic and international commercialization efforts will provide us with significant opportunity for future growth as we continue to penetrate existing and new markets. Our ALLY System currently is cleared for marketing in the United States and other countries, and our growth, market presence and ability to sell the ALLY System will depend on, among other factors, whether the ALLY System receives regulatory clearance in other regions outside the United States and the timing of these clearances or certifications. In August 2024, we obtained certification of our ALLY System under the Medical Devices Regulation in the EU, and we have also received regulatory clearance in India, Taiwan, and certain other countries. In addition, we are pursuing additional marketing or certification applications through our distributors in South Korea and China.</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manufacture our ALLY Systems, and previously manufactured our LLS systems, at a facility in Orlando, Florida. We purchase custom and off-the-shelf components from several suppliers and subject them to stringent quality specifications and processes. Some of the components necessary for the assembly of the ALLY System and maintenance of the LLS are currently provided by single-sourced suppliers (the only approved supply source for us among other sources). We have entered into various purchase orders, as well as a limited number of long-term supply agreements, for the manufacture and supply of certain components. These arrangements commit us to a remaining minimum purchase obligation of approximately $12.2 million as of December 31, 2024. We expect to meet these requirements. We generally do not maintain large volumes of finished goods. We currently have and intend to have long-term supply agreements or sufficient supply of raw material inventory to adequately source the expected near-term demand of our ALLY System. We strive to maintain enough inventory of our various component parts to avoid the impact of any supply chain disruptions.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seek patent and trademark protection for our key technology, products and product improvements, both in the United States and in select foreign countries. We plan to continue to enforce and defend our patent and trademark rights. While our patents protect, among other things, the aspects of our technology that provide us with a competitive advantage, we also rely upon trade secrets and continuing technological innovations to develop and maintain our competitive position. In an effort to protect our trade secrets, we have a policy of requiring our employees, consultants and advisors to execute proprietary information and invention assignment agreements upon commencement of employment or consulting relationships with us. These agreements also provide that all confidential information developed or made known to the individual during the course of their relationship with us must be kept confidential, except in specified circumstances.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own numerous issued patents and pending patent applications. As of December 31, 2024, we owned approximately 64 U.S. patents, 31 pending U.S. patent applications, 183 issued foreign patents, and 83 pending foreign and Patent Cooperation Treaty applications. Our patents are expected to expire between 2026 and 2040, with some design patents expiring in 2046. We have 183 issued foreign patents in a total of 15 countries and regions, including China, Macau, Taiwan, Germany, France, Spain, United Kingdom, Italy, Australia, European Unitary Patent and the European Patent Office. Our patents contain a broad range of claims related to devices and methods for performing cataract surgery using, among other things, refractive corrections, lens targeting and positioning and we believe provide significant protection for our current commercialized products.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material registered and unregistered trademarks include: LENSAR, ALLY Robotic Cataract Laser Treatment System, INTELLIAXIS, INTELLIAXIS-C, INTELLIAXIS-L, INTELLIAXIS REFRACTIVE CAPSULORHEXIS, STREAMLINE, ALLY Robotic Cataract Laser Treatment System, ALLY Robotic Cataract Laser Treatment System logo, Robotic Laser Cataract Surgery, the Robotic Laser Cataract Surgery logo, and LENSDOCTOR SOFTWARE.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intellectual property portfolio further secures a premier technology position for the development and commercialization of devices that incorporate both a phacoemulsification system and a laser, such as our ALLY System. In addition to patent applications we have filed related to our Systems, we have pursued and consummated agreements with third parties to acquire patent rights, which provide important exclusivity with respect to our development and commercialization of our ALLY System. Our business plan includes aggressively pursuing additional patent rights related to the ALLY System, and we expect to continue to add to our current portfolio.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Oertli Collaboration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2020, we entered into a development agreement with Oertli Instrumente AG, or the Development Agreement, pursuant to which we were collaborating on developing the phacoemulsification component of a combined cataract laser and phacoemulsification device in our ALLY System.</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5, 2024, we and Oertli entered into a termination agreement (the “Termination Agreement”), mutually agreeing to terminate the Development Agreement, effective immediately. Upon effectiveness of the Termination Agreement, neither party had further rights, liabilities or obligations under the Development Agreement, with the exception of certain confidentiality and indemnification obligations that survive the termination.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Development Agreement, we and Oertli each remain the owner of any intellectual property rights owned by each of us as of the effective date of the Development Agreement, as well as any intellectual property rights invented by each party during the term of the Development Agreement. We did not incur any termination penalties as a result of the termination of the Development Agreement.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participate in the highly competitive global market for treatments for cataracts. We face significant competition from large multinational medical device companies as well as smaller, emerging players focused on product innovation. In providing surgical solutions for cataract patients, our primary competitors are Alcon Inc.; Bausch + Lomb, a division of Bausch Health Companies Inc.; and AMO, a division of Johnson &amp; Johnson; and Ziemer Ophthalmic Systems AG, each of which has its own cataract lasers. Additionally, we are aware of a French based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company, KeraNova S.A., that is working to develop a product that, if they receive commercial clearance for their device in the future, could potentially be another competitor.</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competitors are focused on bringing new technologies to market and acquiring products and technologies that directly compete with our products or have potential product advantages that could render our products obsolete or noncompetitive.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of these competitors are large public companies or divisions of publicly-traded companies and have several competitive advantages, including:</w:t>
      </w:r>
    </w:p>
    <w:p>
      <w:pPr>
        <w:spacing w:after="0" w:line="185"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and sales and marketing;</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own IOLs;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operating histories;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sales and marketing programs and distribution networks.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size of the cataract market, we expect that companies will continue to dedicate significant resources to developing and commercializing competing products, and we anticipate that our current marketed products and any future products will be subject to intense competition. We believe that the principal competitive factors in our market include:</w:t>
      </w:r>
    </w:p>
    <w:p>
      <w:pPr>
        <w:spacing w:after="0" w:line="135"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outcomes for patients;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surgeons;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and reliability;</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price and availability of reimbursement;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bundling and multiple product purchasing agreements;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leadership;</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marketing and distribution;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speed to market.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manufacture and market medical devices and, therefore, are subject to extensive regulation by the FDA and other federal and state authorities in the United States, as well as comparable authorities in foreign jurisdictions. Our products are subject to regulation in the United States under the Federal Food, Drug, and Cosmetic Act, or FDCA, as implemented and enforced by the FDA. 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Premarket Clearance and Approval Requirements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FDCA, medical devices are classified into one of three classes—Class I, Class II or Class III—depending on the degree of risk associated with each medical device and the extent of control needed to ensure safety and effectiveness. Class I devices are those for which safety and effectiveness can be assured by adherence to FDA’s general controls for medical devices, or General Controls, which include compliance with the applicable portions of the FDA’s Quality System Regulation, or QSR,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 Class II devices are subject to FDA’s General Controls, and any other special controls as deemed necessary by FDA to ensure the safety and effectiveness of the device. Premarket review and clearance by the FDA for Class II devices is accomplished through the 510(k) premarket notification procedure, unless an exemption applies. A Class III product is a product which has a new intended use or uses advanced technology that is not substantially equivalent to that of a legally marketed device. The safety and effectiveness of Class III devices cannot be assured solely by the General Controls and the other requirements described above. These devices almost always require formal clinical studies to demonstrate safety and effectiveness. Our currently marketed medical device products are Class II medical devices subject to 510(k) clearance.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510(k) Clearance Marketing Pathway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 510(k) is required, the manufacturer must submit to the FDA a premarket notification submission demonstrating that the device is “substantially equivalent” to a predicate device already on the market. A predicate device is a legally marketed device that is not subject to premarket approval, i.e., a device that was legally marketed prior to May 28, 1976 (pre-amendments device) and for which a premarket approval application, or PMA, is not required, a device that has been reclassified from Class III to Class II or I, or a device that was found substantially equivalent through the 510(k) process.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FDA agrees that the device is substantially equivalent to a predicate device, it will grant clearance to commercially market the device in the U.S. The FDA’s 510(k) clearance process usually takes from three to twelve months from the date the application is submitted and filed with the FDA but may take significantly longer and clearance is never assured. Although many 510(k) pre-market notifications are cleared without clinical data, in some cases, the FDA requires significant clinical data to support substantial equivalence. In reviewing a pre-market notification, the FDA may request additional information, including clinical data, which may significantly prolong the review process. If the FDA determines that the device, or its intended use, is not “substantially equivalent,” the FDA may deny the request for clearance.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a device receives 510(k) clearance, any subsequent modification of the device that could significantly affect its safety or effectiveness, or that would constitute a major change in its intended use, will require a new 510(k) clearance or could require pre-market approval. The FDA requires each manufacturer to make this determination initially, but the FDA may review any such decision and may disagree with a manufacturer’s determination. If the FDA disagrees with a manufacturer’s determination, the FDA may require the manufacturer to cease marketing or recall the modified device, or both, until 510(k) clearance or pre-market approval is obtained. We have modified aspects of some of our devices since receiving regulatory clearance and we have made the determination that new 510(k) clearances or pre-market approvals were not required.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recent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November 2018, FDA officials announced steps to modernize the premarket notification pathway under Section 510(k) of the FDCA.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 FDA also announced its intent to finalize guidance to establish a premarket review pathway for “manufacturers of certain well-understood device types” as an alternative to the 510(k) clearance pathway and that such premarket review pathway would allow manufacturers to rely on objective safety and performance criteria recognized by the FDA to demonstrate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 equivalence, obviating the need for manufacturers to compare the safety and performance of their medical devices to specific predicate devices in the clearance process.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2019, the FDA solicited public feedback on its plans to develop proposals to drive manufacturers utilizing the 510(k) pathway toward the use of newer predicates, including whether the FDA should publish a list of devices that have been cleared on the basis of demonstrated substantial equivalence to predicate devices that are more than 10 years old.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 In September 2019, the FDA finalized the aforementioned guidance to describe an optional “safety and performance based” premarket review pathway for manufacturers of “certain, well-understood device types” to demonstrate substantial equivalence under the 510(k) clearance pathway, by demonstrating that such device meets objective safety and performance criteria established by the FDA, obviating the need for manufacturers to compare the safety and performance of their medical devices to specific predicate devices in the clearance process. The FDA maintains a list of device types appropriate for the “safety and performance based pathway” and develop product-specific guidance documents that identify the performance criteria for each such device type, as well as the testing methods recommended in the guidance documents, where feasible.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PMA Approval Process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unlikely for the types of medical devices that we market, the FDA may classify devices, or the particular use of a device, into Class III, and the device sponsor must then fulfill more rigorous PMA requirements. A PMA application, which is intended to demonstrate that a device is safe and effective, must be supported by extensive data, including extensive technical and manufacturing data and data from preclinical studies and human clinical trials. After a PMA application is submitted and filed, the FDA begins an in-depth review of the submitted information, which typically takes between one and three years, but may take significantly longer. During this review period, the FDA may request additional information or clarification of information already provided. Also, during the review period, an advisory panel of experts from outside the FDA will usually be convened to review and evaluate the application and provide recommendations to the FDA as to the approvability of the device. In addition, the FDA will conduct a pre-approval inspection of the manufacturing facility to ensure compliance with the QSR, which imposes stringent design development, testing, control, documentation and other quality assurance procedures in the design and manufacturing process. The FDA may approve a PMA application with post-approval conditions intended to ensure the safety and effectiveness of the device including, among other things, restrictions on labeling, promotion, sale and distribution and collection of long-term follow-up data from patients in the clinical study that supported approval. Failure to comply with the conditions of approval can result in materially adverse enforcement action, including the loss or withdrawal of the approval. New PMA applications or PMA supplements are required for significant modifications to the manufacturing process, labeling of the product and design of a device that is approved through the PMA process. PMA supplements often require submission of the same type of information as an original PMA, except that the supplement is limited to information needed to support any changes from the device covered by the original PMA, and may not require as extensive clinical data or the convening of an advisory panel.</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clinical trial is typically required to support a PMA application and is sometimes required for a 510(k) pre-market notification. Clinical trials generally require submission of an application for an Investigational Device Exemption, or IDE, to the FDA. The IDE application must be supported by appropriate data, such as animal and laboratory testing results, showing that it is safe to test the device in humans and that the investigational protocol is scientifically sound. The IDE application must be approved in advance by the FDA for a specified number of patients, unless the product is deemed a non-significant risk device and eligible for more abbreviated IDE requirements. Clinical trials for a significant risk device may begin once the IDE application is approved by the FDA as well as the appropriate institutional review boards at the clinical trial sites, and the informed consent of the patients participating in the clinical trial is obtained. After a trial begins, the FDA may place it on hold or terminate it if, among other reasons, it concludes that the clinical subjects are exposed to an unacceptable health risk. Any trials we conduct must be conducted in accordance with FDA regulations as well as other federal regulations and state laws concerning human subject protection and privacy.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Post-Market Regulation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After a device is cleared or approved for marketing, numerous and pervasive FDA and other regulatory requirements continue to apply. These include establishment registration and device listing with the FDA; compliance with medical device reporting regulations, which require that manufacturers report to the FDA if their device may have caused or contributed to a death or serious injury or malfunctioned in a way that would likely cause or contribute to a death or serious injury if it were to recur; and compliance with corrections and removal reporting regulations, which require that manufacturers report to the FDA field corrections and product recalls or removals if undertaken to reduce a risk to health posed by the device or to remedy a violation of the FDCA that may present a risk to health. The FDA and the Federal Trade Commission also regulate the advertising and promotion of our products to ensure that the claims we make are consistent with our regulatory clearances, that there is scientific data to substantiate the claims and that our advertising is neither false nor misleading. In general, we may not promote or advertise our products for uses not within the scope of our intended use statement in our clearances or make unsupported safety and effectiveness claims. Many regulatory jurisdictions outside of the United States have similar regulations to which we are subject.</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required to register with the FDA as a medical device manufacturer. As such, our manufacturing sites are subject to periodic inspection by the FDA for compliance with the FDA’s QSR. These regulations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Our failure to maintain compliance with the QSR requirements could result in the shut-down of, or restrictions on, our manufacturing operations and the recall or seizure of our products, which would have a material adverse effect on our business.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via voluntary or mandatory device recalls.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121"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untitled letters, fines, injunctions, consent decrees and civil penalties;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withdrawals, or administrative detention or seizure of our products;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510(k) marketing clearance or PMA approvals of new products or modified products;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PMA approvals that have already been granted;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approvals for our products; or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for Surgical Lasers as Radiation Emitting Products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requirements that apply to medical devices, our devices must also comply with an independent set of requirements that apply to radiation emitting electronic products, which includes lasers. Under the electronic product radiation control provisions of the FDCA, the FDA has established regulations specifying certain requirements for different types of radiation emitting electronic products. Among other requirements, manufacturers of surgical lasers must comply with FDA regulations that establish performance standards for laser products and require that manufacturers of products subject to performance standards submit reports to FDA demonstrating compliance. Unless otherwise exempted, manufacturers of certain radiation emitting devices must submit certain reports to FDA, including for new and modified products, for product defects, and annual reports, and comply with recordkeeping requirements.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FDA regulations also provide specific certification and labeling requirements, and the labels for these products must contain certain information, such as warnings, declarations, and instructions for use.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Outside the United States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for us to market our products in countries outside the United States, we must obtain regulatory approvals, clearances or certifications and comply with extensive product and quality system regulations in other countries. These regulations, including the requirements for approvals, clearance or certifications and the time required for regulatory review, vary from country to country. Some countries have regulatory review processes which are substantially longer than the U.S. process. Failure to obtain regulatory authorizations, certifications or approvals in a timely manner and to meet all local requirements including language and specific safety standards in any foreign country in which we plan to market our products could prevent us from marketing products in such countries or subject us to sanctions and fines.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EU has adopted specific directives and regulations regulating the design, manufacture, clinical investigations, conformity assessment, labeling and vigilance reporting for medical devices.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Until May 25, 2021, medical devices were regulated by Council Directive 93/42/EEC, or the EU Medical Devices Directive, which has been repealed and replaced by Regulation (EU) No 2017/745, or the EU Medical Devices Regulation. Some of our current certificates have been granted under the EU Medical Devices Directive. In accordance with the EU Medical Devices Regulation’s recently extended transitional provisions, both (i) devices lawfully placed on the market pursuant to the EU Medical Devices Directive prior to May 26, 2021 and (ii) legacy devices lawfully placed on the EU market after May 26, 2021 in accordance with the EU Medical Devices Regulation transitional provisions may generally continue to be made available on the market or put into service, provided that the requirements of the transitional provisions are fulfilled. However, even in this case, manufacturers must comply with a number of new or reinforced requirements set forth in the EU Medical Devices Regulation with regard to registration of economic operators and of devices, post-market surveillance and vigilance requirements.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Pursuing marketing of medical devices in the EU will notably require that our devices be certified under the new regime set forth in the EU Medical Devices Regulation.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EU, there is currently no premarket government review of medical devices. However, the EU requires that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general safety and performance requirements as a practical matter as it creates a rebuttable presumption that the device satisfies that general safety and performance requirements.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Compliance with the general safety and performance requirements of the EU Medical Devices Regulation is a prerequisite for European conformity marking, or CE mark, without which medical devices cannot be marketed or sold in the EU. To demonstrate compliance with the general safety and performance requirements medical device manufacturers must undergo a conformity assessment procedure, which varies according to the type of medical device and its (risk) classification. As a general rule, demonstration of conformity of medical devices and their manufacturers with the general safety and performance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supported by suitable evidence. Except for low-risk medical devices (Class I), where the manufacturer can issue an EU declaration of conformity based on a self-assessment of the conformity of its products with the general safety and performance requirements (except for any parts which relate to sterility, metrology or reuse aspects),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(notified body must presume that quality systems which implement the relevant harmonized standards – which is ISO 13485:2016 for Medical Devices Quality Management Systems – conform to these requirements).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Throughout the term of the certificate of conformity, the manufacturer will be subject to periodic surveillance audits to verify continued compliance with the applicable requirements. In particular, there will be a new audit by the notified body before it will renew the relevant certificate(s).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EU Medical Devices Regulation requires that before placing a device, other than a custom-made device, on the market, manufacturers (as well as other economic operators such as authorized representatives and importers) must register by submitting identification information to the electronic system (Eudamed), unless they have already registered. The information to be submitted by manufacturers (and authorized representatives) also includes the name, address and contact details of the person or persons responsible for regulatory compliance. The new Regulation also requires that before placing a device, other than a custom-made device, on the market, manufacturers must assign a unique identifier to the device and provide it along with other core data to the unique device identifier, or UDI database. These new requirements aim at ensuring better identification and traceability of the devices. Each device – and as applicable, each package – will have a UDI composed of two parts: a device identifier, or UDI-DI, specific to a device, and a production identifier, or UDI-PI, to identify the unit producing the device. Manufacturers are also notably responsible for entering the necessary data on Eudamed, which includes the UDI database, and for keeping it up to date. The obligations for registration in Eudamed will become applicable at a later date (as Eudamed is not yet fully functional). Until Eudamed is fully functional, the corresponding provisions of the EU Medical Devices Directive continue to apply for the purpose of meeting the obligations laid down in the provisions regarding exchange of information, including, and in particular, information regarding registration of devices and economic operators.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manufacturers placing medical devices into the market in the EU must comply with the EU Medical Device Vigilance System which has been reinforced by the EU Medical Devices Regulation. Under this system, serious incidents and Field Safety Corrective Actions, or FSCAs, must be reported to the relevant authorities of the EU member states. These reports will have to be submitted through Eudamed - once functional - and aim to ensure that, in addition to reporting to the relevant authorities of the EU member states, other actors such as the economic operators in the supply chain will also be informed. Until Eudamed is fully functional, the corresponding provisions of the EU Medical Devices Directive continue to apply. Manufacturers are required to take FSCAs, which are defined as any corrective action for technical or medical reasons to prevent or reduce a risk of a serious incident associated with the use of a medical device that is made available on the market. A serious incident is any malfunction or deterioration in the characteristics and/or performance of a device on the market (e.g., inadequacy in supplied by the manufacturer, undesirable side-effect), which, directly or indirectly, might lead to either the death or serious deterioration of the health of a patient, user, or other persons, or to a serious public health threat. An FSCA may include the recall, modification, exchange, destruction or retrofitting of the device. FSCAs must be reported to the relevant authorities of the EU member states, and communicated by the manufacturer or its legal representative to its customers and/or to the end users of the device through Field Safety Notices. For similar serious incidents that occur with the same device or device type and for which the root cause has been identified or a FSCA implemented or where the incidents are common and well documented, manufacturers may provide periodic summary reports instead of individual serious incident reports.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Manufacturers (and authorized representatives) must also have available within their organization at least one person responsible for regulatory compliance, or PRRC, who possesses the requisite expertise in the field of medical devices. The PRRC is responsible for all aspects of compliance with the requirements of the EU Medical Devices Regulation and in particular compliance with post-market surveillance and vigilance requirements.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advertising and promotion of medical devices is subject to some general principles set forth in the EU legislation. According to the EU Medical Devices Regulation, only devices that are CE-marked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spacing w:after="0" w:line="200" w:lineRule="exact"/>
        <w:rPr>
          <w:sz w:val="20"/>
          <w:szCs w:val="20"/>
          <w:color w:val="auto"/>
        </w:rPr>
      </w:pP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EU, regulatory authorities have the power to carry out announced and, if necessary, unannounced inspections of companies, as well as suppliers and/or sub-contractors and, where necessary, the facilities of professional users. Failure to comply with regulatory requirements (as applicable) could require time and resources to respond to the regulatory authorities’ observations and to implement corrective and preventive actions, as appropriate. Regulatory authorities have broad compliance and enforcement powers and if such issues cannot be resolved to their satisfaction can take a variety of actions, including untitled or warning letters, fines, consent decrees, injunctions, or civil or criminal penalties.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or EEA, which consists of the 27 EU member states plus Norway, Liechtenstein and Iceland.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 and the UK Regulatory Framework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January 1, 2021, the Medicines and Healthcare products Regulatory Agency, or MHRA, has become the sovereign regulatory authority responsible for the Great Britain (i.e., England, Wales, and Scotland) medical device market and the EU regulatory regime for medical devices no longer applies in Great Britain. Under the terms of the Ireland/Northern Ireland Protocol, the EU regulatory requirements continue to apply to medical devices placed on the Northern Ireland market. Consequently, the regulatory framework for medical devices in Great Britain continues to be broadly based on the requirements of the EU Medical Devices Directive as implemented into national law by the Medical Devices Regulation 2002 (“UK Medical Devices Regulations”).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on December 16, 2024, the UK government published an amendment to UK Medical Devices Regulations to clarify and strengthen the post-market surveillance requirements for medical devices in Great Britain. This amendment will come into force on June 16, 2025 and aims to facilitate greater traceability of incidents and trends enabling the MHRA to act swiftly when needed to address safety issues and support the entire health system in better protecting patients. In addition, the MHRA launched a consultation from November 14, 2024 to January 5, 2025 on proposals to update the pre-market requirements for medical devices in Great Britain, covering four topics, namely (1) a new international reliance scheme to enable swifter market access for certain devices that have already been approved in a comparable regulator country; (2) the new UK Conformity Assessed, or UKCA, mark and, in particular, proposals to remove the requirement to place such UKCA marking on devices; (3) conformity assessment procedures for in vitro diagnostic devices; and (4) maintaining in UK law certain pieces of “assimilated” EU law which are due to sunset in 2025. This consultation builds on the MHRA’s previous consultation between September and November 2021, and the UK government’s response to that consultation which was published on June 26, 2022. The MHRA has stated that it will incorporate feedback to its recent consultation into new legislation on pre-market requirements for medical devices in Great Britain. The new legislation is expected to be implemented in 2026 and aims to enable greater international collaboration and practices, with more patient-centered, proportionate requirements for medical devices which are responsive to technological advances.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UK Medical Devices Regulations, in order to be lawfully placed on the Great Britain market, certain medical devices need to be “UKCA” certified by a UK approved body. However, certain medical devices in compliance with: (1) the EU Medical Devices Directive can continue to be placed on the Great Britain market until the sooner 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certificate expiration or June 30, 2028; or (2) the EU Medical Devices Regulation can continue to be placed on the Great Britain market until the sooner of certificate expiration or June 30, 2030.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new regulations applicable in Great Britain now require that all medical devices must be registered with the MHRA prior to being placed on the market. Additionally, manufacturers based outside the UK will need to appoint a UK Responsible Person to register devices with the MHRA.</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none of the procedures performed using our products are currently covered by any government or commercial third-party payors, applicable agencies and regulators may nonetheless interpret that we are subject to numerous state and federal healthcare fraud and abuse laws, including anti-kickback, false claims and transparency laws with respect to payments and other transfers of value made to physicians and other licensed healthcare professionals, that are intended to reduce waste, fraud and abuse in the health care industry and analogous state laws that may apply to healthcare items and services by any payors including private insurers and self-pay patients. These laws are broad, subject to evolving interpretations and vigorously enforced against medical device manufacturers and have resulted in manufacturers paying significant fines and penalties and being subject to stringent corrective action plans and reporting obligations. We must operate our business within the requirements of these laws and, if we were accused of violating them, could be forced to expend significant resources on investigation, remediation and monetary penalties. Companies targeted in such prosecutions have paid substantial fines in the hundreds of millions of dollars or more, have been forced to implement extensive corrective action plans, can be excluded from federal health care programs and become subject to substantial civil and criminal penalties, and have often become subject to consent decrees, settlement agreements or corporate integrity agreements severely restricting the manner in which they conduct their business.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we have commercial operations overseas, we are also subject to the Foreign Corrupt Practices Act, or FCPA, and other countries’ anti-corruption/anti-bribery regimes, such as the U.K. Bribery Act. The FCPA prohibits, among other things, improper payments or offers of payments to foreign governments and their officials for the purpose of obtaining or retaining business. Safeguards we implement to discourage improper payments or offers of payments by our employees, consultants, sales agents or distributors may be ineffective, and violations of the FCPA and similar laws may result in severe criminal or civil sanctions, or other liabilities or proceedings against us, any of which would likely harm our reputation, business, financial condition and result of operations.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foreign countries have similar laws relating to healthcare fraud and abuse. Foreign laws and regulations may vary greatly from country to country. For example, the advertising and promotion of medical devices are subject to some general principles set forth in EU legislation. According to the EU Medical Devices Regulation, only devices that are CE 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 Certain countries also mandate implementation of commercial compliance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EU rules are generally applicable in the EEA.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Physicians may be less likely to use our ALLY System or other future products, if cleared, certified or otherwise approved for marketing, unless coverage is provided, and reimbursement is adequate to cover a significant portion of the cost. Sales of any of our products may therefore depend, in part, on the availability of coverage and adequate reimbursement from third-party payors. Third-party payors include government authorities, managed care plans, private health insurers and other organizations.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devices like our ALLY System, we expect the reimbursement to the facility or physician from third-party payors would be intended to cover the overall cost of treatment, including the cost of our devices used during the procedure as well as the overhead cost associated with the facility where the procedure is performed. We do not directly bill any third-party payors; instead, we receive payment from the physician practice, hospital or other facility that uses our devices. Cataract surgery, including the implantation of a basic, single focus IOL, is reimbursed by Medicare but at a relatively low level and that level of reimbursement further declined in recent years. Failure by physicians, hospitals, and other users of our ALLY System or other devices we may develop the future, if cleared, certified or approved, to obtain sufficient coverage and reimbursement from healthcare payors for procedures in which such devices are used, or adverse changes in government and private third-party payors’ policies could have a material adverse effect on our business, financial condition, results of operations and future growth prospects.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there are periodic changes to reimbursement. Third-party payors regularly update reimbursement amounts and also from time to time revise the methodologies used to determine reimbursement amounts. This includes annual updates to payments to physicians, hospitals and other facilities for procedures during which our devices are used. Because we expect the cost of our ALLY System, if cleared, certified or approved, would generally be recovered by the healthcare provider as part of the payment for performing a procedure and not separately reimbursed, these updates could directly impact the demand for our devices. An example of such payment updates is the Medicare program’s updates to hospital and physician payments, which are done on an annual basis using a prescribed statutory formula. In the past, with respect to reimbursement for physician services under the Medicare Physician Fee Schedule, when the application of the formula resulted in lower payment, Congress has passed interim legislation to prevent the reductions. The Medicare Access and CHIP Reauthorization Act of 2015, enacted on April 16, 2015, repealed the formula by which Medicare made annual payment adjustments to physicians and replaced the former formula with fixed annual updates and a new system of incentive payments, which began in 2019, that are based on various performance measures and physicians’ participation in alternative payment models such as accountable care organizations.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containment of healthcare costs is a priority of federal, state and foreign governments, and the prices of pharmaceutical or device products have been a focus in this effort. Third-party payors are increasingly challenging the prices charged for medical products and services, examining the medical necessity and reviewing the cost-effectiveness of pharmaceutical products, medical devices and medical services, in addition to questioning safety and efficacy. If these third-party payors do not consider our ALLY System or other products we may develop in the future, if cleared, to be cost-effective compared to other available therapies, they may not cover our products or, if they do, the level of payment may not be sufficient to allow us to sell our products at a profit.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our LLS and ALLY System, surgeons typically charge the patient a separate out-of-pocket fee for procedures using our device. The use of advanced IOLs designed to improve vision is also not reimbursed by Medicare beyond the standard reimbursement for a monofocal IOL and physicians charge the patient for the difference between the lower reimbursed amount and the cost of the advanced IOL. Surgeons typically offer the option of an advanced IOL to patients explaining that it is not covered by Medicare and will be an out-of-pocket expense. Use of our LLS and ALLY System is often accompanied by the implantation of an advanced IOL. We believe that the ability of our LLS and ALLY System, when used with advanced IOLs to optimize vision results, will encourage surgeons to perform the procedure and their patients to pay the additional out-of-pocket costs.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ALLY System or other products we may develop in the future, if cleared. The cost containment measures that payors and providers are instituting, and the effect of any healthcare reform initiative implemented in the future could impact our revenue from the sale of our products.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implementation of the Affordable Care Act, or the ACA, in the United States, for example, has changed healthcare financing and delivery by both governmental and private insurers substantially, and affected medical device manufacturers significantly. The ACA,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ACA expanded eligibility criteria for Medicaid programs and created a new Patient-Centered Outcomes Research Institute to oversee, identify priorities in, and conduct comparative clinical effectiveness research, along with funding for such research. Since its enactment, there have been judicial, executive and Congressional challenges to certain aspects of the ACA. On June 17, 2021, the U.S. Supreme Court dismissed the most recent judicial challenge to the ACA without specifically ruling on the constitutionality of the ACA.</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other legislative changes have been proposed and adopted since the ACA was enacted. For example, the Budget Control Act of 2011, among other things, included reductions to Medicare payments to providers, which went into effect on April 1, 2013 and, due to subsequent legislative amendments to the statute, will remain in effect through 2032, with the exception of a temporary suspension from May 1, 2020 through March 31, 2022, unless additional Congressional action is taken. Additionally, the American Taxpayer Relief Act of 2012, among other things, reduced Medicare payments to several providers, including hospitals, and increased the statute of limitations period for the government to recover overpayments to providers from three to five years.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EU member states, in December 2021, Regulation No 2021/2282 on Health Technology Assessment, or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revolutionizing refractive eye surgery. As a global leader in next generation, robotic laser for cataract surgery, our success depends on talented and motivated individuals who share our passion for making a difference in patients’ lives. We pride ourselves on having a highly collaborative, innovative environment where initiatives and teamwork are valued, and individual efforts are recognized. Together, we are one team, one vision.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had approximately 140 employees that support our manufacturing, research and development, commercial and administrative functions. Primarily all of our workforce is based at our corporate headquarters in Orlando, Florida except for our commercial organization, which is spread throughout the United States based upon geographic responsibility.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managing our business, we utilize a variety of human capital measures and objectives, including:</w:t>
      </w:r>
    </w:p>
    <w:p>
      <w:pPr>
        <w:spacing w:after="0" w:line="194" w:lineRule="exact"/>
        <w:rPr>
          <w:sz w:val="20"/>
          <w:szCs w:val="20"/>
          <w:color w:val="auto"/>
        </w:rPr>
      </w:pPr>
    </w:p>
    <w:p>
      <w:pPr>
        <w:jc w:val="both"/>
        <w:ind w:left="760" w:hanging="378"/>
        <w:spacing w:after="0" w:line="268"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Hiring Strategies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compete for highly skilled and talented individuals within the market. We promote hiring from within, and we source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outside to bring in new talent when necessary. We strive to have an inclusive workforce, and ultimately the respective hiring team’s goal is to choose the best candidate for each role.</w:t>
      </w:r>
    </w:p>
    <w:p>
      <w:pPr>
        <w:spacing w:after="0" w:line="130"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Retention and Stability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take pride in the stability and dedication of our workforce. Nearly 35% of employees have been with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five or more years, and over 20% have been with the Company 10 or more years. In 2024, we experienced a full-time employee turnover rate of approximately 20%.</w:t>
      </w:r>
    </w:p>
    <w:p>
      <w:pPr>
        <w:spacing w:after="0" w:line="130"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Culture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value our employees and the individual and collective contributions employees make to the Company. We believe work-life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balance is integral to our employees performing at their best. Given our smaller business orientation, we require individual employees to have broader skillsets and enthusiastic and collaborative dedication to our team-based working groups. We offer development opportunities that align with professional and personal goals. We aim to have quarterly Company-wide meetings to keep employees informed on Company updates and performance, as well as to celebrate corporate milestones and individual years of service achievements. In addition to social activities scheduled throughout the year, we typically have an annual corporate event to bring all employees together for team building. To provide work/life support and resources for employees, we provide access to two Employee Assistance Programs.</w:t>
      </w:r>
    </w:p>
    <w:p>
      <w:pPr>
        <w:spacing w:after="0" w:line="155"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Competitive Pay and Benefits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compensation programs are designed to align the compensation of our employees with our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and to provide the proper incentives to attract, retain, and motivate employees to achieve superior results. The structure of our compensation programs is intended to balance incentive earnings for both short-term and long-term performance. Specifically:</w:t>
      </w:r>
    </w:p>
    <w:p>
      <w:pPr>
        <w:spacing w:after="0" w:line="134" w:lineRule="exact"/>
        <w:rPr>
          <w:sz w:val="20"/>
          <w:szCs w:val="20"/>
          <w:color w:val="auto"/>
        </w:rPr>
      </w:pPr>
    </w:p>
    <w:p>
      <w:pPr>
        <w:ind w:left="1880" w:hanging="375"/>
        <w:spacing w:after="0" w:line="282" w:lineRule="auto"/>
        <w:tabs>
          <w:tab w:leader="none" w:pos="1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employee wages that we believe are competitive and consistent with employee positions, skill levels, experience, knowledge and geographic location.</w:t>
      </w:r>
    </w:p>
    <w:p>
      <w:pPr>
        <w:spacing w:after="0" w:line="121" w:lineRule="exact"/>
        <w:rPr>
          <w:rFonts w:ascii="Times New Roman" w:cs="Times New Roman" w:eastAsia="Times New Roman" w:hAnsi="Times New Roman"/>
          <w:sz w:val="18"/>
          <w:szCs w:val="18"/>
          <w:color w:val="auto"/>
        </w:rPr>
      </w:pPr>
    </w:p>
    <w:p>
      <w:pPr>
        <w:ind w:left="1880" w:hanging="375"/>
        <w:spacing w:after="0" w:line="282" w:lineRule="auto"/>
        <w:tabs>
          <w:tab w:leader="none" w:pos="1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also engaged outside compensation and benefits consulting firms to help independently evaluate the effectiveness of our executive and benefit programs and to provide benchmarking against our peers within the industry.</w:t>
      </w:r>
    </w:p>
    <w:p>
      <w:pPr>
        <w:spacing w:after="0" w:line="134" w:lineRule="exact"/>
        <w:rPr>
          <w:rFonts w:ascii="Times New Roman" w:cs="Times New Roman" w:eastAsia="Times New Roman" w:hAnsi="Times New Roman"/>
          <w:sz w:val="18"/>
          <w:szCs w:val="18"/>
          <w:color w:val="auto"/>
        </w:rPr>
      </w:pPr>
    </w:p>
    <w:p>
      <w:pPr>
        <w:jc w:val="both"/>
        <w:ind w:left="1880" w:hanging="375"/>
        <w:spacing w:after="0" w:line="261" w:lineRule="auto"/>
        <w:tabs>
          <w:tab w:leader="none" w:pos="1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look to align our executives’ long-term equity compensation with our stockholders’ interests. In addition, we currently provide equity benefits to all employees to encourage Company ownership and align all employee interests with that of our stockholders. We believe this incentivizes the entire employee base in relation to the successful achievement of the Company’s goals.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53" w:lineRule="exact"/>
        <w:rPr>
          <w:sz w:val="20"/>
          <w:szCs w:val="20"/>
          <w:color w:val="auto"/>
        </w:rPr>
      </w:pPr>
    </w:p>
    <w:p>
      <w:pPr>
        <w:ind w:left="1880" w:hanging="375"/>
        <w:spacing w:after="0" w:line="282" w:lineRule="auto"/>
        <w:tabs>
          <w:tab w:leader="none" w:pos="1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increases and incentive compensation are based on merit, which is communicated to employees at the time of hiring and documented through our talent management process.</w:t>
      </w:r>
    </w:p>
    <w:p>
      <w:pPr>
        <w:spacing w:after="0" w:line="134" w:lineRule="exact"/>
        <w:rPr>
          <w:rFonts w:ascii="Times New Roman" w:cs="Times New Roman" w:eastAsia="Times New Roman" w:hAnsi="Times New Roman"/>
          <w:sz w:val="18"/>
          <w:szCs w:val="18"/>
          <w:color w:val="auto"/>
        </w:rPr>
      </w:pPr>
    </w:p>
    <w:p>
      <w:pPr>
        <w:jc w:val="both"/>
        <w:ind w:left="1880" w:hanging="375"/>
        <w:spacing w:after="0" w:line="266" w:lineRule="auto"/>
        <w:tabs>
          <w:tab w:leader="none" w:pos="1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full-time employees are eligible for health insurance, paid and unpaid leaves, a retirement plan with company match and immediate vesting, and disability insurance. The Company also offers a generous holiday schedule and a Company-wide shut down during the December holidays.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historically experienced seasonal variations in the sales and leases of our products, with our fourth quarter typically being the strongest and the first quarter being the slowest. We believe these seasonal variations are consistent across our industry.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in the State of Delaware on August 20, 2004 and became a direct, majority-owned subsidiary of PDL BioPharma, Inc., or PDL, in 2017. In October 2020, we completed a spin-off of LENSAR, Inc. from PDL in the form of a dividend involving the distribution of all outstanding shares of our common stock owned by PDL to the holders of PDL common stock, or Spin-Off. Following the completion of the Spin-Off, PDL no longer owns any equity interest in us, and we became an independent public company on October 1, 2020.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U.S. Securities and Exchange Commission, or SEC. Our SEC filings are available to the public over the Internet at the SEC’s website at www.sec.gov. Our SEC filings are also available free of charge under the Investor Relations section of our website at </w:t>
      </w:r>
      <w:r>
        <w:rPr>
          <w:rFonts w:ascii="Times New Roman" w:cs="Times New Roman" w:eastAsia="Times New Roman" w:hAnsi="Times New Roman"/>
          <w:sz w:val="18"/>
          <w:szCs w:val="18"/>
          <w:i w:val="1"/>
          <w:iCs w:val="1"/>
          <w:color w:val="auto"/>
        </w:rPr>
        <w:t>www.lensar.com</w:t>
      </w:r>
      <w:r>
        <w:rPr>
          <w:rFonts w:ascii="Times New Roman" w:cs="Times New Roman" w:eastAsia="Times New Roman" w:hAnsi="Times New Roman"/>
          <w:sz w:val="18"/>
          <w:szCs w:val="18"/>
          <w:color w:val="auto"/>
        </w:rPr>
        <w:t xml:space="preserve"> as soon as reasonably practicable after they are filed with or furnished to the SEC. We may use our website as a distribution channel of material information about the Company. Financial and other important information regarding the Company is routinely posted on and accessible through the Investor Relations sections of our website at </w:t>
      </w:r>
      <w:r>
        <w:rPr>
          <w:rFonts w:ascii="Times New Roman" w:cs="Times New Roman" w:eastAsia="Times New Roman" w:hAnsi="Times New Roman"/>
          <w:sz w:val="18"/>
          <w:szCs w:val="18"/>
          <w:i w:val="1"/>
          <w:iCs w:val="1"/>
          <w:color w:val="auto"/>
        </w:rPr>
        <w:t>www.lensar.com</w:t>
      </w:r>
      <w:r>
        <w:rPr>
          <w:rFonts w:ascii="Times New Roman" w:cs="Times New Roman" w:eastAsia="Times New Roman" w:hAnsi="Times New Roman"/>
          <w:sz w:val="18"/>
          <w:szCs w:val="18"/>
          <w:color w:val="auto"/>
        </w:rPr>
        <w:t xml:space="preserve">. In addition, you may automatically receive email alerts and other information about the Company when you enroll your email address by under the Investor Email Alerts option on the Investor Relations page of our website at </w:t>
      </w:r>
      <w:r>
        <w:rPr>
          <w:rFonts w:ascii="Times New Roman" w:cs="Times New Roman" w:eastAsia="Times New Roman" w:hAnsi="Times New Roman"/>
          <w:sz w:val="18"/>
          <w:szCs w:val="18"/>
          <w:i w:val="1"/>
          <w:iCs w:val="1"/>
          <w:color w:val="auto"/>
        </w:rPr>
        <w:t>www.lensar.com.</w:t>
      </w:r>
      <w:r>
        <w:rPr>
          <w:rFonts w:ascii="Times New Roman" w:cs="Times New Roman" w:eastAsia="Times New Roman" w:hAnsi="Times New Roman"/>
          <w:sz w:val="18"/>
          <w:szCs w:val="18"/>
          <w:color w:val="auto"/>
        </w:rPr>
        <w:t xml:space="preserve"> Our website and the information available through our website are not incorporated into this Annual Report.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Annual Report, including our audited financial statements and the related notes, as well as our other public filings with the SEC, before deciding to invest in our common stock. If any of the following risks are realized, our business, financial condition, results of operations and prospects, as well as the price of our common stock, could be materially and adversely affected.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have been in the past, and could be in the future, adversely affected by economic uncertainty or deteriorations in economic conditions.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economic uncertainty, including due to factors such as increased inflation and rising interest rates, have contributed to our business and operational performance. If economic uncertainty continues or increases or if economic conditions deteriorate, these conditions may have a material adverse impact on our revenue, profit margins, cash flow and liquidity in the future. In particular, our business is impacted by inflation, such as the recent inflationary pressures related to global supply chain disruptions that have increased the cost of certain raw materials, labor and transportation used in our business. These broad-based inflationary impacts have negatively impacted our financial condition, results of operations and cash flows since 2020, and we expect these inflationary impacts to continue for the foreseeable future. A high rate of inflation in the future may have an adverse effect on our ability to maintain and increase our gross margin or decrease our operating expenses as a percentage of our revenues if our selling prices of our products do not increase as much or more than our increase in costs.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operating losses for the near-term future and we cannot assure you that we will be able to generate sufficient revenue to achieve or sustain profitability.</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2024 and 2023, we had net losses of $31.4 million and $14.4 million, respectively. As of December 31, 2024, we had an accumulated deficit of $143.3 million. We expect to continue to incur losses for the near-term future as a result of building our commercial and clinical infrastructure, pursuing further FDA and other regulatory body clearance or certification of and our further commercial launch of our proprietary, next generation cataract treatment system, known as our ALLY System, and investing in research and development. In addition, as a public company, we will incur significant legal, accounting and other expenses. We cannot make assurances that we will ever generate sufficient revenue from our operations to achieve profitability, and even if we achieve profitability, we cannot be sure that we will remain profitable for any substantial period of time. Our failure to achieve or maintain profitability could negatively affect the value of our securities and our ability to raise capital and continue operations.</w:t>
      </w: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derived our revenue from the sale or lease of our Systems as well as the associated procedure licenses and sale of consumables used in each procedure involving our Systems. The commercial success of our ALLY System will depend upon receipt of additional regulatory clearances or certifications and our ability to maintain and grow significant market acceptance for it.</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historically derived our revenue from the sale or lease of our Systems and the associated procedure licenses and consumables used in each procedure involving our Systems and expect that this will account for a majority of our revenue in the foreseeable future. Accordingly, our ability to increase revenue is highly dependent on our ability to market and sell or lease our ALLY System and market the associated consumables. In 2022, we transitioned from manufacturing and selling our LLS to focus on our ALLY System. The ALLY System has also received certification in the European Union, or EU, and regulatory approval in India, Taiwan and certain other countries. In addition, we are pursuing additional marketing or certification applications through our distributors in South Korea and China. Our growth, market presence and ability to sell the ALLY System will depend on whether the ALLY System receives additional regulatory clearances or certifications and the timing of these clearances or certifications, among other factors. In addition, our future revenue and cash flows will depend on, among other factors, our installed base of Systems.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maintain our market share, execute our growth strategy, achieve commercial success and become profitable will depend upon the adoption and continued acceptance of our LLS and ALLY System by surgeons, hospital outpatient surgical facilities, in-office surgical suites and ambulatory surgery centers, or ASCs. Our systems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are currently used in advanced cataract procedures for which surgeon reimbursement continues to decline and patients pay a significant portion of the cost of the procedure. We cannot predict the extent to which patients will continue to seek out these types of procedures. Further, we cannot predict if cataract surgeons will continue to use our LLS or how quickly cataract surgeons will accept the ALLY System, or any planned or future products we introduce, and, if accepted, how frequently any such products will be used. Our current products may not maintain, and our ALLY System or any planned or future products we may develop or market may never gain, broad market acceptance among cataract surgeons and the medical community for the procedures in which they are designed to be used. Our ability to maintain and increase market acceptance of our products depends on a number of factors, including:</w:t>
      </w:r>
    </w:p>
    <w:p>
      <w:pPr>
        <w:spacing w:after="0" w:line="147" w:lineRule="exact"/>
        <w:rPr>
          <w:sz w:val="20"/>
          <w:szCs w:val="20"/>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visual outcomes and economic data that show the safety, efficacy, cost effectiveness and other patient benefits from use of our Systems or other future products;</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cataract surgeons and others in the medical community of our Systems;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and disadvantages of our Systems as compared to competing products;</w:t>
      </w:r>
    </w:p>
    <w:p>
      <w:pPr>
        <w:spacing w:after="0" w:line="184"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for procedures in which our Systems or other future products is used but for which limited reimbursement by third-party payors, including government authorities, is available;</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of those of our international distributors;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complications associated with using our Systems;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use, reliability and convenience of our Systems relative to competing products;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response and negative selling efforts from providers of competing products;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outcomes for patients in procedures in which surgeons use our Systems;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and post-market clinical studies relating to the use of our Systems;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technical leadership of our research and development teams;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third party blocking intellectual property;</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our products to the market with speed and on time with our projected timelines;</w:t>
      </w:r>
    </w:p>
    <w:p>
      <w:pPr>
        <w:spacing w:after="0" w:line="198"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including from larger, well-capitalized and product-diverse competitors, corporate-owned ASCs, group purchasing organizations, and government payors; and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for procedures using our Systems or other future products from third-party payors, including government authorities.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to maintain or increase market acceptance would limit our ability to generate revenue and would have a material adverse effect on our business, financial condition and results of operations.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on our ability to gain regulatory clearances and certifications, as well as our ability to meet production goals for our ALLY System.</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ALLY System, which has received clearance from the FDA, enables cataract surgeons to complete the robotic laser-assisted cataract surgery, or LACS, procedure seamlessly in a single, sterile environment. The ALLY System is available to cataract surgeons in all U.S. and EU jurisdictions and has also received regulatory clearance in India, Taiwan, and certain other countries. We are also pursuing additional marketing or certification applications through our distributors in South Korea and China. In addition, our ability to meet production goals can also be impacted by supply chain interruptions. If we experience supply chain constraints, we may be unable to deliver ALLY Systems as planned.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success of our ALLY System or any other new product offering or product enhancements we pursue will depend on several factors, including our ability to:</w:t>
      </w:r>
    </w:p>
    <w:p>
      <w:pPr>
        <w:spacing w:after="0" w:line="121"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and anticipate cataract surgeon and patient needs;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products and product enhancements in a timely manner;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competition based on our intellectual property rights;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upon the intellectual property rights of third parties;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if required, the safety and efficacy of new products with data from preclinical studies and clinical trials;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certifications or approvals for expanded indications, new products or product modifications;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fully FDA (or other regulatory authority)-compliant with manufacturing and marketing of new devices or modified products;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potential users of these products;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adequate coverage and reimbursement for procedures performed with our ALLY System or any other products we may develop in the future; and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effective and dedicated sales and marketing team.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not successful in expanding our product offering, our ability to increase our revenue may be impaired, which could have a material adverse effect on our business, financial condition and results of operations.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Payment for a standard cataract procedure is typically covered by Medicare, private insurance or other third-party payors. However, a cataract patient seeking a greater and more versatile visual outcome may desire an advanced cataract procedure involving a laser system such as ours. The patient is typically responsible for the additional costs associated with the use of these premium technologies in the physician’s practice, hospital outpatient surgical facilities, in-office surgical suites and ambulatory surgery centers. Due to this additional cost, patients may not elect to have such a procedure and our business may not grow as anticipated. Our future success depends in part upon patients achieving better visual outcomes from procedures using our Systems, or procedures involving similar laser systems that meets their expectations. If patients are not adequately satisfied with the results of such procedures, they or their surgeons may be less willing to recommend these procedures to other patients.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weak or uncertain economic conditions may cause individuals to be less willing to pay for advanced cataract procedures. Our Systems’ procedures are not covered by or reimbursable through government or other third-party payors. A decline in economic conditions in the United States or in international markets could result in a decline in demand for the procedures in which our Systems are used and could have a material adverse effect on our business, financial condition and results of operations.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effectively grow our U.S. sales and marketing organization or maintain or grow an effective network of international distributors, our business prospects, results of operations and financial condition could be adversely affected.</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order to generate future sales growth within the United States, we will need to expand the size and geographic scope of our U.S. direct sales organization. Accordingly, our future success will depend largely on our ability to train, retain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motivate skilled regional sales managers and direct sales representatives with significant technical knowledge of our Systems. Because of the competition for their services, we may not be able to retain such representatives on favorable or commercially reasonable terms, if at all. If we are unable to grow our global sales and marketing organization within the United States, we may not be able to increase our revenue, which would adversely affect our business, financial condition and results of operations.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we rely exclusively on a network of independent distributors to generate sales and leases of our Systems as well as purchases of our consumables and licensed applications outside of the United States. For the year ended December 31, 2024, one customer accounted for approximately 14% of our revenue. This customer concentration exposes us to a material adverse effect if any of these significant distributors were to significantly reduce purchases for any reason or favor competitors or new market participants. If a dispute arises with a distributor or if a distributor is terminated by us or goes out of business, it may take time to locate an alternative distributor, to seek appropriate regulatory approvals and to train new personnel to market our Systems upon receiving regulatory clearance or certification in the applicable region, as well as our ability to sell those Systems in the region formerly serviced by such terminated distributor could be harmed. In addition, our international distributors may be unable to successfully market and sell our products and may not devote sufficient time and resources to support the marketing, sales, education and training efforts that we believe are necessary to enable the products to develop, achieve or sustain market acceptance. Any of these factors could reduce our revenues from affected markets, increase our costs in those markets or damage our reputation. In addition, if an independent distributor were to depart and be retained by one of our competitors, we may be unable to prevent that distributor from helping competitors solicit business from our existing customers, which could further adversely affect us. As a result of our reliance on third-party distributors, we may be subject to disruptions and increased costs due to factors beyond our control, including labor strikes, third-party error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w:t>
      </w:r>
    </w:p>
    <w:p>
      <w:pPr>
        <w:spacing w:after="0" w:line="30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capital needs are uncertain, and we may need to raise additional funds in the future, and such funds may not be available on acceptable terms or at all.</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our revenues and expenses to increase in connection with our ongoing activities, particularly as we continue to execute on our growth strategy, including expansion of our sales and customer support teams. The primary factors determining our cash needs are the funding of operations, which we expect to continue to expand as the business grows, and enhancing our product offerings through the research and development, further regulatory clearances and launch of the ALLY System. Our future liquidity needs, and ability to address those needs, will largely be determined by the success of our commercial efforts and those of our distributors; the timing, scope and magnitude of our commercial and development activities; and the timing of further regulatory clearance or certification of our ALLY System. We have also experienced negative effects on our capital requirements from supply chain interruptions, and we expect that supply chain disruptions will negatively affect our capital requirements and the availability of funds to finance those requirements in the future. In addition, market conditions impacting financial institutions could impact our ability to access some or all of our cash, cash equivalents and marketable securities, and we may be unable to obtain alternative funding when and as needed and on acceptable terms, if at all.</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we expect our current cash and cash equivalents, together with cash generated from the future sale and lease of our products, to be sufficient to operate our business for at least one year from the date of issuance of the financial statements included in this Annual Report. We may seek additional funds from public or private stock offerings, borrowings under credit facilities or other sources that we may not be able to maintain or obtain on acceptable or commercially reasonable terms, if at all. Our capital requirements will depend on many factors, including, but not limited to:</w:t>
      </w:r>
    </w:p>
    <w:p>
      <w:pPr>
        <w:spacing w:after="0" w:line="139"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the sale, lease or use of our Systems;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expanding our sales and marketing efforts;</w:t>
      </w:r>
    </w:p>
    <w:p>
      <w:pPr>
        <w:spacing w:after="0" w:line="184"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procuring, manufacturing and selling our Systems, including increased costs, uncertainties, and delays associated with global supply chain disruptions and inflationary pressures;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53" w:lineRule="exact"/>
        <w:rPr>
          <w:sz w:val="20"/>
          <w:szCs w:val="20"/>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commercializing the ALLY System, including increased costs associated with supply chain disruptions and inflationary pressures or other new products or technologies;</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cost of our clinical studies that we are currently conducting or may conduct in the future;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obtaining and maintaining regulatory approval, certification or clearance of our products and planned or future products;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 recall that may occur;</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complying with state, federal and foreign laws and regulations;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and prosecuting patent applications and defending and enforcing our patent and other intellectual property rights;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 litigation or otherwise, any claims that we infringe third-party patent or other intellectual property rights;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enforcing or defending against non-competition claims;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timing of acquisitions and other strategic transactions;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increased capital expenditures;</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and unanticipated general and administrative expenses, including expenses related to operating as a public company and insurance expenses; and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adverse market conditions or other macroeconomic factors.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Such capital may not be available on favorable terms, or at all. The existence of inflation in the economy has resulted in, and may continue to result in, higher interest rates and capital costs, which may impact our ability to obtain additional capital on favorable terms.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Furthermore, if we issue equity securities to raise additional capital, our existing stockholders may experience dilution, and the new equity securities may have rights, preferences and privileges senior to those of our existing stockholders. For example, in May 2023, we sold to NR-GRI Partners, LP, or NR-GRI, shares of Series A Redeemable Convertible Preferred Stock and warrants to purchase shares of our common stock, or Warrants, that collectively represented approximately 51.4% of our total outstanding shares of common stock based on our shares outstanding as of December 31, 2024, assuming full conversion of the Series A Redeemable Convertible Preferred Stock and full exercise of the Warrants for cash, pursuant to a Securities Purchase Agreement, or the SPA. So long as NR-GRI and its affiliates collectively beneficially own at least twenty percent of the securities issued pursuant to the SPA, including the Series A Redeemable Convertible Preferred Stock, we may not, without the consent of NR-GRI, liquidate, dissolve, or wind up our affairs or effect a merger or sale of the Company or other Fundamental Transaction (as defined in Note 12,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included elsewhere in this Annual Report); create, authorize, or issue shares of capital stock that are senior or pari passu to the Series A Redeemable Convertible Preferred Stock; complete an acquisition with consideration above $1.0 million; incur debt in excess of $1.0 million; change our line of business; or enter into certain related-party transactions. 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 If we cannot raise capital on acceptable terms, we may not be able to develop or enhance our products, execute our business plan, take advantage of future opportunities or respond to competitive pressures, changes in our supplier relationships or unanticipated customer requirements. Any of these events could adversely affect our ability to achieve our business and financial goals or to achieve or maintain profitability and could have a material adverse effect on our business, financial condition and results of operations.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manufacture our Systems and provide the electronic license applications at our corporate headquarters in Orlando, Florida. This is also the location where we currently conduct substantially all of our research and development activities, customer and technical support, and management and administrative functions. If our facility suffers a crippling event, or a force majeure event such as an earthquake, hurricane, fire, flood or temporary shutdown due to a pandemic (including a resurgence of COVID-19 and its variants), epidemic or infectious disease, this could materially impact our ability to operate.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purchase custom and off-the-shelf components from a number of suppliers and subject them to stringent quality specifications and processes. Some of the components necessary for the assembly of our Systems and associated consumables are currently provided by single-sourced suppliers (the only approved supply source for us among other sources). If one or more of our suppliers cease to provide us with sufficient quantities of materials in a timely manner or on terms acceptable to us, we would have to seek alternative sources of supply. Because of factors such as the proprietary nature of our products, our quality control standards and regulatory requirements, we may experience delays in engaging additional or replacement suppliers for certain components. There may also be disruptions outside our control in the availability and pricing of various component parts needed for our ALLY System.</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a global semiconductor supply shortage has had, and is continuing to have, wide-ranging effects across multiple industries. According to certain market reports, both China and Taiwan are leading manufacturers of the world’s semiconductor supply. Conflict between China and Taiwan might lead to trade sanctions, technology disputes, or supply chain disruptions, which could, in particular, affect the semiconductor industry. If this were to occur, our ability to source an adequate supply of semiconductors would be further reduced, which would adversely affect our business. In addition, any further conflict between China and Taiwan could harm our operations globally, including the operations of our customers and suppliers.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seen significant disruptions in the supply of, timing of delivery of and fluctuations in pricing for various component parts needed for our products, including the integrated circuits used in our Systems, and expect these trends to continue. Our efforts to maintain an adequate supply of inventory may not be sufficient and we may be unable to source the necessary component parts on commercially acceptable terms to reflect in the price of our system. The long-term loss of these suppliers, or their long-term inability to provide us with an adequate supply of components or products, could potentially cause delay in the manufacture of our products, thereby impairing our ability to meet the demand of our customers and causing significant harm to our business. If it becomes necessary to identify and qualify a suitable second source to replace one of our key suppliers, that replacement supplier would not have access to our previous supplier’s proprietary processes and would therefore be required to develop its own, which could also result in delay. Any disruption of this nature or increased expense could harm our commercialization efforts and could have a material adverse effect on our business, financial condition and results of operations. If these supply chain shortages and disruptions continue or worsen, there is no guarantee that the Company will be able to meet customer demand for the ALLY System. In addition, pricing increases in component parts for our Systems resulting from inflationary pressures and other macroeconomic conditions may necessitate an increase in the overall cost to customers, which in turn may have an adverse impact on customer demand.</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some of our suppliers and contract facilities are required to comply with regulatory requirements of the FDA (and other regulatory authorities). In particular, the FDA’s Quality System Regulation, or QSR, which includes FDA’s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 Good Manufacturing Practice requirements, or cGMPs, covers the procedures and documentation of the design, testing, production, control, quality assurance, inspection, complaint handling, recordkeeping, management review, labeling, packaging, sterilization, storage and shipping of our device products. The FDA audits compliance with these regulatory requirements through periodic announced and unannounced inspections of manufacturing and other facilities. If our manufacturing facilities or those of any of our suppliers or contract facilities are found to be in violation of applicable laws and regulations, the FDA could take enforcement action. Similar requirements must be complied with in foreign countries and foreign regulatory authorities could also take enforcement action. Additionally, in the event we must obtain a replacement supplier or contract facility, it may be difficult for us to identify and qualify a supplier or contract facility that complies with QSR and cGMPs, which would adversely impact our operations.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compete, and expect to compete in the future, against other companies, some of which have longer operating histories, more established products or greater resources than we do.</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industry is global, highly competitive and subject to rapid and profound technological, market and product-related changes. We face significant competition from large multinational medical device companies, as well as smaller, emerging players focused on product innovation.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competitors in providing surgical solutions for cataract patients are Alcon Inc.; Bausch + Lomb Corporation; Johnson &amp; Johnson; Carl Zeiss AG; Zeimer; and KERANOVA S.A. These competitors are focused on bringing new technologies to market and acquiring products and technologies that directly compete with our products or have potential product advantages that could render our products obsolete or noncompetitive.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our current and potential competitors are large publicly traded companies or divisions of publicly-traded companies and have several competitive advantages, including:</w:t>
      </w:r>
    </w:p>
    <w:p>
      <w:pPr>
        <w:spacing w:after="0" w:line="121"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and sales and marketing;</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operating histories;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sales and marketing programs and distribution networks.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many of our competitors have their own intraocular lens, or IOLs, while we do not, which could put us at a competitive disadvantage. If we are unable to compete effectively in this environment, it could adversely affect our business.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successfully market, sell and lease our products in markets outside of the United States, we must address many international business risks with which we have limited experience.</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historically sold and leased a significant portion of our LLS outside of the United States through a network of independent distributors and intend to increase our international presence in Germany, China, India, and South Korea, as well as other international markets, including through sales and leases of our ALLY System once regulatory clearance in these regions has been obtained. Our international business operations are subject to a number of risks, including:</w:t>
      </w:r>
    </w:p>
    <w:p>
      <w:pPr>
        <w:spacing w:after="0" w:line="153"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our international operations;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as a result of more products and procedures receiving regulatory approval, certification or clearance or otherwise becoming free to market in international markets;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payment cycles and difficulties in collecting accounts receivable;</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restrictions, trade regulations, and foreign tax laws;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53"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certification and regulatory clearance or approval requirements;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developing effective marketing campaigns in unfamiliar international markets;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customs clearance and shipping delays;</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abroad, including the ongoing war between Russia and Ukraine, conflicts in the Middle East, potential conflict between China and Taiwan, terrorist attacks, and security concerns in general;</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preference for locally produced products;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value-added tax systems, tax inefficiencies related to our corporate structure, and restrictions on the repatriation of earnings;</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a wide variety of foreign laws and different legal standards;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in June 2022, the Supreme Court of South Korea ruled that insurance benefits for cataract surgeries should only be provided within the applicable outpatient coverage limit if inpatient treatment is unnecessary. As a result, patients are experiencing a decrease in the maximum insurance coverage allowed for cataract surgeries, which in turn has significantly decreased overall demand for ophthalmic surgeries in the region. Following the Supreme Court’s decision, we have experienced reduced revenue in South Korea, and we expect this trend to continue so long as this decision remains in effect.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risks and uncertainties could negatively impact our ability to successfully market, sell and lease our products in markets outside of the United States. Furthermore, our ability to deal with these issues could be affected by applicable U.S. laws. Any such risks could have an adverse impact on our business, financial condition, results of operations, cash flows, or reputation.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credit risk of some of our customers, which could result in material losses.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Customers may lease our Systems or finance the system through the product utilization, and we believe there has been an increase in demand for these types of customer leasing in recent years, especially in the United States. We may experience loss from a customer’s failure to make payments according to the contractual lease terms or some other material decrease in the practice revenues and surgical procedure volume. Our exposure to the credit risks relating to our lease financing arrangements may increase if our customers are adversely affected by changes in healthcare laws, economic pressures or uncertainty, or other customer-specific factors. In addition, our credit risk may be highly concentrated, as we rely exclusively on a network of independent distributors to generate sales outside of the United States. Further, ongoing consolidation among distributors, retailers and healthcare provider organizations could increase the concentration of credit risk. The factors affecting our customers’ ability to make timely payments according to the contractual lease terms are out of our control, and as a result, exposes us to additional risks that may materially and adversely affect our business and results of operations. The occurrence of any such factors affecting our customers may cause delays in payments or, in some cases, defaults on payment obligations, which could result in material losses.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programs we have designed to monitor and mitigate the associated risk may not be successful. There can be no assurance that such programs will be effective in reducing credit risks relating to these lease financing arrangements. If the level of credit losses we experience in the future exceed our expectations, such losses could have a material adverse effect on our business, financial condition and results of operations or adversely affect our ability to sell such assets as part of our monetization strategy.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accurately forecast customer demand and our inventory levels.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generally do not maintain large volumes of finished goods and anticipating demand for our products may be challenging as cataract surgeon demand and adoption rates can be unpredictable. In addition, as use of our Systems is adopted by more cataract surgeons, we anticipate greater fluctuations in demand for our products, which makes demand forecasting more difficult. Our forecasts are based on management’s judgment and assumptions, each of which may introduce error into our estimates. If we underestimate customer demand or if insufficient manufacturing capacity is available, we would miss revenue opportunities and potentially lose market share and damage our customer relationships. In connection with the commercial launch of the ALLY System, we have modified our manufacturing operations from producing the LLS to the ALLY System. We could underestimate the worldwide demand for the ALLY System and be unable to fulfill customer requests. Conversely, if we overestimate customer demand, our excess or obsolete inventory may increase significantly, which would reduce our gross margin and adversely affect our financial results.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secure adequate coverage or reimbursement by government or other third-party payors for certain procedures using our ALLY System or our other future products, or changes in current coverage or reimbursement, could materially impact our revenue and future growth.</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Adequate coverage and reimbursement from third-party payors, including government programs such as Medicare and Medicaid, private insurance plans and managed care programs, for certain procedures using our ALLY System or other products we may develop in the future, if approved, is central to the acceptance and adoption of these products. Hospitals, healthcare facilities, physicians and other healthcare providers that may purchase and use our ALLY System generally rely on third-party payors to pay for a part of the costs and fees associated with certain procedures using our ALLY System. If third-party payors reduce their levels of payment, if our costs of production increase faster than increases in reimbursement levels or if third-party payors deny reimbursement for procedures using our ALLY System, our ALLY System may not be adopted or accepted by hospitals, healthcare facilities, physicians or other healthcare providers and the prices paid for a procedure using our ALLY System may decline, which could have a material adverse effect on our business, financial condition or results of operations.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Physicians are reimbursed separately for their professional time and effort to perform a cataract procedure that is covered by third-party payors. Such party payors regularly update reimbursement amounts and also from time to time revise the methodologies used to determine reimbursement amounts. This includes routine updates to payments to physicians, hospitals and ambulatory surgery centers for procedures during which our ALLY System would be used. These updates could directly impact the demand for our future products. For example, the Medicare Access and CHIP Reauthorization Act of 2015, or MACRA, provided for a 0.5% annual increase in payment rates under the Medicare Physician Fee Schedule, or PFS, through 2019, but no annual update from 2020 through 2025. MACRA also introduced a Quality Payment Program for Medicare physicians, nurses and other “eligible clinicians” (as defined in MACRA) that adjusts overall reimbursement under the PFS based on certain performance categories. While MACRA applies only to Medicare reimbursement, Medicaid and private payors often follow Medicare payment limitations in setting their own reimbursement rates, and any reduction in Medicare reimbursement may result in a similar reduction in payments from private payors, which may result in reduced demand for our ALLY System or any other products we may develop in the future. However, there is no uniform policy of coverage and reimbursement among payors in the United States. Therefore, coverage and reimbursement for procedures can differ significantly from payor to payor. Many private payors require extensive documentation of a multi-step diagnosis before authorizing procedures using our products. Some private payors may apply their own coverage policies and criteria inconsistently, and physicians and other healthcare providers may not be able to receive approval and reimbursement for certain procedures using our ALLY System consistently. Any perception by physicians and other healthcare providers that the reimbursement for procedures using our ALLY System or other future products is inadequate to compensate them for the work required, including diagnosis, documentation, obtaining third-party payor approval for the procedure and other burdens on their office staff or that they may not be reimbursed at all for the procedures using our ALLY System or other future products, may negatively affect the adoption and use of our ALLY System or other future products and technologies, and the prices paid for such products may decline.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healthcare industry in the United States, and in our other operating regions, has experienced a trend toward cost containment as government and private insurers seek to control healthcare costs. Third-party payors are imposing lower payment rates and negotiating reduced contract rates with hospitals, other healthcare facilities, surgeons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healthcare providers and being increasingly selective about the products, technologies and procedures they chose to cover and provide reimbursement for. Third-party payors may adopt policies in the future restricting access to products and technologies like ours or the procedures performed using such products. Therefore, we cannot be certain that any procedures performed with our ALLY System or other future products will be covered and reimbursed. There can be no guarantee that should we introduce new products and technologies, third-party payors will provide adequate coverage and reimbursement for those products or the procedures in which they are used. If third-party payors do not provide adequate coverage or reimbursement for such products, then our sales may be limited to circumstances where our products and procedures using our products are being largely or entirely self-paid by patients, as is currently the case with procedures using our Systems.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market acceptance of our products and technologies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In the EU, reimbursement is entirely regulated at member state level and varies significantly between countries, and member states are facing increased pressure to limit public healthcare spending. We may not obtain additional international coverage and reimbursement approvals in a timely manner, if at all. Our failure to receive such approvals would negatively impact future market acceptance of our ALLY System or any of other products we may develop in the future in the international markets in which those approvals are sought.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provide a limited warranty for our products.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a limited warranty that our products are free of material defects and conform to specifications, and offer to repair, replace or refund the purchase price of defective products. As a result, we bear the risk of potential warranty claims on our products. In the event that we attempt to recover some or all of the expenses associated with a warranty claim against us from our suppliers or vendors, we may not be successful in claiming recovery under any warranty or indemnity provided to us by such suppliers or vendors and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suits brought against us could cause us to incur substantial liabilities, limit the selling or leasing of our existing products and interfere with commercialization of any products that we may develop.</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product offerings are defectively designed or manufactured, contain defective materials, or are used or deployed improperly, or if someone alleges any of the foregoing, whether or not such claims are meritorious, we may become subject to substantial and costly litigation. Any product liability claims brought against us, with or without merit, could divert management’s attention from our business, be expensive to defend, result in sizable damage awards against us, damage our reputation, increase our product liability insurance rates, prevent us from securing continuing coverage, or prevent or interfere with commercialization of our products. In addition, we may not have sufficient insurance coverage for all future claims. Product liability claims brought against us in excess of our insurance coverage would likely be paid out of cash reserves, harming our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We can give no assurance that the coverage under our product liability insurance in the United States will be available or adequate to satisfy any claims. Product liability insurance is expensive and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carry specific hazardous waste insurance coverage, and our insurance policies generally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and certifications could be suspended.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expect that operating as a public company will make it more difficult and more expensive for us to obtain and maintain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fluctuate significantly and may not fully reflect the underlying performance of our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quarterly and annual results of operations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For example, we have historically experienced seasonal variations in the selling or leasing of our products and procedures involving our products, with our fourth quarter typically being the strongest and the first or third quarter being the slowest. We believe these seasonal changes are consistent across our industry. Other factors that may cause fluctuations in our quarterly and annual results include:</w:t>
      </w:r>
    </w:p>
    <w:p>
      <w:pPr>
        <w:spacing w:after="0" w:line="147"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demand for the more advanced, patient-pay procedures in which our Systems are used;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our LLS and ALLY Systems;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an effective and dedicated sales organization in the United States and network of independent distributors outside the United States;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applicable to our products from competitor pricing;</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research and studies on our products or competitive products;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sales and leases of our Systems;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delivery of Systems, new product offerings, acquisitions, licenses or other significant events by us or our competitors;</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surgeons, hospitals and ASCs to defer acquisitions of Systems in anticipation of the introduction of new products or product enhancements by us or our competitors;</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sampling by and additional training requirements for cataract surgeons upon the commercialization of a new product by us or one of our competitors;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approvals, clearances or certifications and legislative changes affecting the products we may offer or those of our competitors;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the manufacturing or distribution of our Systems;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of, component and raw material deliveries by our suppliers;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to timely provide us with an adequate supply of components;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industry and market developments;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53"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ability to obtain regulatory clearance, certification or approval for our product candidates.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you should not rely on our results in any past period as an indication of future results and you should anticipate that fluctuations in our quarterly and annual operating results may continue and could generate volatility in the price of our common stock. Quarterly or annual comparisons of our financial results should not be relied upon as an indication of our future performance.</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anticipated growth effectively, or are unable to increase or maintain our manufacturing capacity, we may not be able to meet customer demand for our products and our business could suffer.</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experienced significant period-to-period growth in our business, with the exception of 2020 due to the impact of the COVID-19 pandemic on our operations, and we must continue to grow in order to meet our business and financial objectives. However, continued growth may create numerous challenges, including:</w:t>
      </w:r>
    </w:p>
    <w:p>
      <w:pPr>
        <w:spacing w:after="0" w:line="149"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increased responsibilities for our management team;</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on our operating, financial and reporting systems;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pressure to anticipate and satisfy market demand;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manufacturing capacity requirements;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strain on our ability to source a larger supply of components, including as a result of ongoing supply chain issues, in order to meet our required specifications on a timely basis;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an increasing number of relationships with our customers, suppliers and other third parties;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new international territories with unfamiliar regulations and business approaches;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train and manage additional qualified personnel.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current and planned capacity may not be sufficient to meet our current business plans. There are uncertainties inherent in expanding our manufacturing capabilities, and we may not be able to sufficiently increase our capacity in a timely manner. For example, manufacturing and product quality issues may arise as we increase production rates at our manufacturing facility or launch new products. Also, we may not manufacture the right product mix to meet customer demand as we introduce new products. As a result, we may experience difficulties in meeting customer demand, in which case we could lose customers or be required to delay new product introductions, and demand for our products could decline. If we fail to manage any of the above challenges effectively, our business may be harmed.</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choose to acquire new and complementary businesses, products or technologies, we may be unable to complete these acquisitions or to successfully integrate them in a cost-effective and non-disruptive manner.</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continually enhance and broaden our product offerings in response to changing customer demands, competitive pressures and advances in technologies. Accordingly, although we have no current commitments with respect to any acquisition or investment, we may in the future pursue the acquisition of, or joint ventures relating to, complementary businesses, products or technologies instead of developing them ourselves. We do not know if we will be able to successfully complete any future acquisitions or joint ventures, or whether we will be able to successfully integrate any acquired business, product or technology or retain any key employees related thereto. Integrating any business, product or technology we acquire could be expensive and time-consuming, disrupt our ongoing business and distract our management. If we are unable to integrate any acquired businesses, products or technologies effectively, our business will be adversely affected. In addition, any amortization or charges resulting from the costs of acquisitions could increase our expenses.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on our ability to retain members of our senior management and other key employees. If we are unable to retain or recruit qualified personnel for growth, our business results could suffer.</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benefited substantially from the leadership and performance of our senior management as well as certain key employees.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or that we will be able to do so without incurring substantial additional costs. We have begun to experience increases in compensation levels in connection with our recruitment and retention efforts, which may increase further in the future. The loss of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competing for market share for our products, we also compete against our competitors for personnel, including qualified sales representatives that are necessary to grow our business. Universities and research institutions also compete with us for scientific personnel that are important to our research and development efforts. We also rely on consultants and advisors in our research, operations, clinical and commercial efforts to implement our business strategies. Our consultants and advisors may be employed by employers other than us and may have commitments under consulting or advisory contracts with other entities that may limit their availability to us. Our strategic plan requires us to continue growing our sales, marketing, clinical and operational infrastructure in order to generate, and meet, the demand for our products. If we fail to retain or attract these key personnel, we could fail to take advantage of the market for our products, adversely affecting our business, financial condition and results of operation.</w:t>
      </w: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the use of information technology. Cybersecurity risks – any technology failures causing a material disruption to operational technology or cyber-attacks on our systems affecting our ability to protect the integrity and security of confidential customer and employee information – could harm our reputation and/or could disrupt our operations and negatively impact our business.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efficient operation of our business depends on our information technology systems. We rely on our information technology systems to store and effectively manage sales and marketing data, accounting and financial functions, inventory management, product development tasks, clinical data, customer service and technical support functions, intellectual property, proprietary business information and certain personal information, including of our employees and contractors (collectively, “Confidential Information”). The future operation, success and growth of our business depends on streamlined processes made available through our uninhibited access to information technology systems, global communications, internet activity and other network processes. Like most companies, despite our current security measures, our information technology systems, and those of our third-party service providers, strategic partners and other contractors or consultants are vulnerable to information security breaches, acts of vandalism, computer viruses and malware (such as ransomware), misconfigurations, “bugs” or other vulnerabilities, theft or loss of Confidential Information. Confidential Information might be improperly accessed due to a variety of events beyond our control, including, but not limited to, natural disasters, terrorist attacks, telecommunications failures, computer viruses, hackers and other security issues. In addition, a variety of our software systems are cloud-based data management applications, hosted by third-party service providers whose security and information technology systems are subject to similar risks. We have technology security initiatives in place to mitigate our risk to these vulnerabilities, but there can be no assurance that our or our third-party service providers’ cybersecurity risk management program and processes, including policies, controls or procedures and other security measures will be adequately designed, complied with, implemented or effective to ensure that our or their operations are not disrupted or that data security breaches do not occur.</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systems or data, the costs associated with the investigation, remediation and potential notification of the breach to counterparties and data subjects could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Confidential Information.</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Hackers and data thieves are increasingly sophisticated and operate large-scale and complex automated attacks which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We and certain of our service providers are from time to time subject to cyberattacks and security incidents. Any significant information technology system failure, accident or security breach could cause interruptions in our operations, result in damage to our reputation, the loss or misappropriation of Confidential Information, result in key personnel being unable to perform duties or communicate throughout the organization, significant costs associated with the investigation, data restoration and remediation, and potential notification of the breach to third-parties, including counter-parties and data subjects, and have other adverse impacts on our business. Ransomware attacks, including those from organized criminal threat actors, nation-states, and nation-state supported actors, are becoming increasingly prevalent and severe, and if made against us could lead to significant interruptions in our operations, loss of Confidential Information and income, reputational loss, diversion of funds, and may also result in fines, litigation and unwanted media attention. Extortion payments may alleviate the negative impact of a ransomware attack, but we may be unwilling or unable to make such payments due to, for example, applicable laws or regulations prohibiting payments. Despite our existing security procedures and controls, if our network were compromised, it could give rise to unwanted media attention, materially damage our customer relationships, decrease sales and leases of our products, increase overhead costs, harm our business, reputation, results of operations, cash flows and financial condition, result in regulatory investigations and enforcement actions, result in fines or litigation, and may increase the costs we incur to protect against such information security breaches, such as increased investment in technology, the costs of compliance with consumer protection laws and costs resulting from consumer fraud.</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costs of mitigating cybersecurity risks are significant and are likely to increase in the future.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carry cyber insurance, which may expose us to certain potential losses for damages or result in penalization with fines in an amount exceeding our resources.</w:t>
      </w:r>
    </w:p>
    <w:p>
      <w:pPr>
        <w:spacing w:after="0" w:line="26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actual or perceived failure to comply with data privacy and security laws and other obligations could have a material adverse effect on our business, results of operations and financial condition.</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processes health-related and other personal information. When conducting clinical studies, we face risks associated with collecting trial participants’ information, especially health information, in a manner consistent with applicable laws and regulations. We also face risks inherent in handling large volumes of Confidential Information and in protecting the security of such information. Data breaches could result in a violation of applicable U.S.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international privacy, data protection and other laws, and subject us to individual or consumer class action litigation and governmental investigations and proceedings by federal, state and local regulatory entities in the United States and by international regulatory entities, resulting in exposure to material civil or criminal liability, or both. Further, our general liability insurance and corporate risk program may not cover all potential claims to which we are exposed and may not be adequate to indemnify us for all liability that may be imposed.</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be subject to state, federal and foreign laws relating to data privacy and security in the conduct of our business, including state breach notification laws, the Health Insurance Portability and Accountability Act, as amended by the Health Information Technology for Economic and Clinical Health Act of 2009, or, collectively, HIPAA, the EU’s General Data Protection Regulation 2016/679 and applicable national supplementing laws, or GDPR, and the California Consumer Privacy Act, as amended by the California Privacy Rights Act, or, collectively, CCPA. In the United States, HIPAA imposes, among other things, certain standards relating to the privacy, security, transmission and breach reporting of individually identifiable health information on covered entities, including healthcare providers and research institutions, from which we obtain clinical trial data, as well as their business associates that perform certain services that involve creating, receiving, maintaining or transmitting such information for or on behalf of such covered entities, and their covered subcontractors. Depending on the facts and circumstances, we could be subject to regulatory investigation and enforcement action, including significant penalties, if we violate HIPAA.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CCPA requires covered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Similar laws have been passed in other states, and continue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the Federal Trade Commission, or FTC, and many state Attorneys General continue to enforce federal and state consumer protection laws against companies for online collection, use, dissemination and security practices that appear to be unfair or deceptive. The FTC has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practices that harm customers.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 Attorneys General to regulate the collection, use, storage, and disclosure of personal or personally identifiable information, through websites or otherwise, and to regulate the presentation of website content.</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GDPR imposes comprehensive compliance obligations regarding our processing of personal data of individuals within the European Economic Area, or EEA, or in the context of our activities within the EEA, including a principle of accountability and the obligation to demonstrate that appropriate legal bases are in place to justify data processing activities. Additionally, we are subject to laws and regulations regarding cross-border transfers of personal data, including laws relating to transfer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states that reliance on the standard contractual clauses, or SSCs a standard form of contract approved by the European Commission as an adequate personal data transfer mechanism - alone may not necessarily be sufficient in all circumstances and that transfers must be assessed on a case-by-case basis. The European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Commission adopted its Adequacy Decision in relation to the new EU-U.S. Data Privacy Framework, or DPF, on July 10, 2023, rendering the DPF effective as a GDPR transfer mechanism to U.S. entities self-certified under the DPF.</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rely on the SCCs to transfer personal data outside the EEA and the UK, including to the United States, with respect to both intragroup and third-party transfers.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If we cannot rely on existing mechanisms for transferring personal data from the EEA, or other jurisdictions, we could be prevented from transferring personal data of individuals in those regions; we could suffer additional costs, complaints and/or regulatory investigations or fines; we may have to stop using certain tools and vendors and make other operational changes; we will have to implement revised SSCs for existing arrangements within required time frame; and/or it could otherwise adversely affect the manner in which we provide our services and thus materially affect our operations and financial results. Failure to comply with the GDPR could result in penalties for certain breaches of up to the greater of EUR 20 million or 4% of our global annual turnover. In addition to fines, a breach of the GDPR may result in regulatory investigations, reputational damage, orders to cease/change our data processing activities, enforcement notices, assessment notices (for a compulsory audit) and/ or civil claims (including class actions).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subject to the United Kingdom General Data Protection Regulation and Data Protection Act 2018, which collectively impose separate but similar obligations to those under the GDPR and comparable penalties, including fines of up to £17.5 million or 4% of a noncompliant undertaking’s global annual revenue for the preceding financial year, whichever is greater.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 We expect that there will continue to be new laws, regulations and industry standards concerning privacy, data protection and information security proposed and enacted in various jurisdictions. For example, Washington State enacted a broadly applicable law to protect the privacy of personal health information known as the “My Health My Data Act,” which generally requires affirmative consent for the collection, use, or sharing of any “consumer health data.” Consumer health data is defined to include personal information that is linked or reasonably linkable to a consumer and that identifies a consumer’s past, present, or future physical or mental health status; consumer health data also includes information that is derived or extrapolated from non-health information, such as algorithms and machine learning. Other states, including Connecticut and Nevada, have also passed consumer health data laws, and given the increased focus on the use of health data by entities that are not subject to HIPAA, additional states are expected to pass consumer health privacy laws.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these laws impose substantial requirements that require the expenditure of significant funds and employee time to comply, and additional states and countries are enacting new data privacy and security laws, which will require future expansion of our compliance efforts. We also rely on third parties to host or otherwise process some of this data. In some instances, these third parties have experienced immaterial failures to protect data privacy. There can be no assurances that the privacy and security-related measures and safeguards we have put in place in relation to these third parties will be effective to protect us and/ or the relevant personal information from the risks associated with the third-party processing of such data. Any failure by a third party to prevent security breaches could have adverse consequences for us, result in applicable fines and penalties, damage our reputation, and/ or result in civil claims. We will need to expend additional resources and make significant investments to comply with data privacy and security laws. Our failure to comply with our posted privacy policies or with any federal, state, or international privacy and security laws, regulations, industry standards or other legal obligations relating to data privacy and information security or any failure to prevent security breaches of such data could result in significant liability under applicable laws, cause disruption to our business, harm our reputation, have a material adverse effect on our business, and may result in claims, complaints, liabilities, proceedings or actions against us by governmental entities or others, or may require us to change our operations. Any such claims, complaints, proceedings or actions could force us to incur significant expenses in defense of such proceedings or actions, distract our management, increase our costs of doing business, and result in the imposition of monetary penalties.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issues, service interruptions or price increases by our shipping carriers could adversely affect our business and harm our reputation and ability to provide our products on a timely basis.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Reliable shipping is essential to our operations. We rely on providers of transport services for reliable and secure point-to-point transport of our products to our customers and for tracking of these shipments. Should a carrier encounter delivery performance issues such as loss, damage or destruction of any of our products, it would be costly to replace such products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deliver our products (or any other products we commercialize in the future) on a timely basis.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on our books may lead to significant impairment charges.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carry a significant amount of intangible assets on our balance sheet, partially due to the value of the LENSAR brand name, but also intangible assets associated with our technologies, acquired research and development, currently marketed products, and marketing know-how. As a result, we have incurred and may incur significant impairment charges if the fair value of the intangible assets would be less than their carrying value on our balance sheet at any point in 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regularly review our long-lived intangible and tangible assets, including identifiable intangible assets, for impairment. Intangible assets with an indefinite useful life (such as the LENSAR brand name), acquired research projects not ready for use, and acquired development projects not yet ready for use are subject to impairment review. We review other long-lived assets for impairment when there is an indication that an impairment may have occurred.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operations are subject to extensive government regulation and oversight both in the United States and abroad, and our failure to comply with applicable requirements could harm our business.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are regulated as medical devices. We and our products are subject to extensive regulation in the United States and elsewhere, including by the FDA and its foreign counterparts. The FDA and foreign regulatory agencies regulate, among other things, with respect to medical devices: design, development and manufacturing; testing, labeling, content and language of instructions for use and storage; clinical studies; product safety; establishment registration and device listing; marketing, sales and distribution; pre-market clearance, certification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or certification studies; and product import and export.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 In addition, the FDA or other regulatory agencies may change their policies, adopt additional regulations, revise existing regulations, or take other actions that may prevent or delay approval or clearance of our products under development or impact our ability to modify our currently approved or cleared products on a timely basis. We may be found non-compliant as a result of future changes in. or interpretations of, regulations by the FDA or other regulatory agencies. For example, on February 23, 2022, the FDA issued a proposed rule to amend the Quality System Regulation, or QSR, which establishes current good manufacturing practice requirements for medical device manufacturers, to align more closely with the International Organization for Standardization, or ISO, standards. This proposal has not yet been finalized or adopted. Accordingly, it is unclear the extent to which this or any other proposals, if adopted, could impose additional or different regulatory requirements on us that could increase the costs of compliance or otherwise create competition that may negatively affect our business.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foreign regulatory authorities and notified bodies enforce their regulatory requirements through, among other means, periodic unannounced inspections and audits. We do not know whether we will be found compliant in connection with any future FDA (or foreign regulatory authorities) inspections or notified bodies’ audits. Failure to comply with applicable regulations could jeopardize our ability to sell our products and result in enforcement actions such as: warning letters; fines; injunctions; civil penalties; termination of distribution; recalls or seizures of products;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delays in the introduction of products into the market; total or partial suspension of production; refusal to grant future clearances, certifications or approvals; withdrawals or suspensions of current approvals or certifications, resulting in prohibitions on sales of our products; and in the most serious cases, criminal penalties.</w:t>
      </w:r>
    </w:p>
    <w:p>
      <w:pPr>
        <w:spacing w:after="0" w:line="2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receive, or may be delayed in receiving, the necessary clearances, certifications or approvals for our future products, or modifications to our current products, and failure to timely obtain additional clearances, certifications or approvals for our ALLY System and future products or modifications to our current products would adversely affect our ability to grow our business.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before we can market a new medical device, or a new use of, new claim for or significant modification to an existing product, we must first receive either clearance under Section 510(k) of the Federal Food, Drug, and Cosmetic Act, or the FDCA, or approval of a pre-market approval application, or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To date, our products have received marketing authorization pursuant to the 510(k) clearance process.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Modifications to products that are approved through a PMA application generally require FDA approval. Similarly, certain modifications made to products cleared through a 510(k) may require a new 510(k) clearance. Both the PMA approval and the 510(k) clearance process can be expensive, lengthy and uncertain.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we have obtained clearance of our Systems through the 510(k) clearance process. Any modification to these Systems that has not been previously cleared may require us to submit a new 510(k) premarket notification and obtain clearance, or submit a PMA and obtain FDA approval, prior to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510(k)-cleared products in the past and have determined based on our review of the applicable FDA regulations and guidance that in certain instances new 510(k) clearances or PMA approvals were not required. We may make modifications or add additional features to our products in the future that we believe do not require a new 510(k) clearance or approval of a PMA.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ALLY System, which has received clearance from the FDA and certification in the EU, enables cataract surgeons to complete the laser-assisted procedure seamlessly in a single, sterile environment. The ALLY System is available to all cataract surgeons in the U.S. and EU jurisdictions and has also received regulatory clearance in India, Taiwan, as well as certain other countries. In addition, we are pursuing additional marketing or certification applications through our distributors in South Korea and China.</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foreign regulatory authorities or notified bodies can delay, limit or deny clearance, certification or approval of a device for many reasons, including:</w:t>
      </w:r>
    </w:p>
    <w:p>
      <w:pPr>
        <w:spacing w:after="0" w:line="121" w:lineRule="exact"/>
        <w:rPr>
          <w:sz w:val="20"/>
          <w:szCs w:val="20"/>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foreign regulatory authority or notified body that our products are safe or effective for their intended uses;</w:t>
      </w:r>
    </w:p>
    <w:p>
      <w:pPr>
        <w:spacing w:after="0" w:line="134"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or the applicable foreign regulatory authority or notified body with the design or implementation of our clinical trials or the interpretation of data from pre-clinical studies or clinical trials;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certification or approval, where required;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or certification policies or regulations of the FDA or applicable foreign regulatory authority or notified body to change significantly in a manner rendering our clinical data or regulatory filings insufficient for clearance, certification or approval.</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Subject to the transitional provisions and in order to sell our products in EU member states, our products must comply with the general safety and performance requirements of the EU Medical Devices Regulation, which repeals and replaces the EU Medical Devices Directive. Compliance with these requirements is a prerequisite to be able to affix the European Conformity, or CE, mark to our products, without which they cannot be sold or marketed in the EU.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 conformity assessment procedure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The aforementioned EU rules are generally applicable in the EEA which consists of the 27 EU member states plus Norway, Liechtenstein and Iceland. If we fail to comply with applicable laws and regulations, we would be unable to affix the CE mark to our products, which would prevent us from selling them within the EU and these three countries.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EU, the EU Medical Devices Regulation became effective on May 26, 2021. In accordance with its recently extended transitional provisions, both (i) devices lawfully placed on the market pursuant to the EU Medical Devices Directive prior to May 26, 2021 and (ii) legacy devices lawfully placed on the market after May 26, 2021 in accordance with the transitional provisions of the EU Medical Devices Regulation may generally continue to be made available on the market or put into service, provided that the requirements of the transitional provisions are fulfilled. 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particular, no substantial change must be made to the device as such a modification would trigger the obligation to obtain a new certification under the EU Medical Devices Regulation and therefore to have a notified body conducting a new conformity assessment of the devices. Once our devices are certified under the EU Medical Devices Regulation, 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EU Medical Devices Regulation or cause a substantial change to the intended use for which the device has been CE marked. The notified body will then assess the planned changes and verify whether they affect the products’ ongoing conformity with the EU Medical Devices Regulation. If the assessment is favorable, the notified body will issue a new certificate of conformity or an addendum to the existing certificate attesting compliance with the general safety and performance requirements and quality system requirements laid down in the Annexes to the EU Medical Devices Regulation. The notified body may disagree with our proposed changes and product introductions or modifications could be delayed or canceled, which could adversely affect our ability to grow our business.</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UK, on December 16, 2024, the UK government published an amendment to the UK Medical Devices Regulations to clarify and strengthen the post-market surveillance requirements for medical devices in Great Britain. This amendment will come into force on June 16, 2025. In addition, the MHRA launched a consultation from November 14, 2024 to January 5, 2025 on proposals to update the pre-market requirements for medical devices in Great Britain. The MHRA has stated that it will incorporate feedback to this consultation into new UK legislation on pre-market requirements for medical devices in Great Britain. The new legislation is expected to come into force in 2026. Under the UK Medical Devices Regulations, in order to be lawfully placed on the Great Britain market, class I (non-sterile, non-measuring or non-re-useable) medical devices need to be “UKCA” self-certified, and other medical devices need to be “UKCA” certified by a UK approved body. However, certain medical devices in compliance with: (1) the EU Medical Devices Directive can continue to be placed on the Great Britain market until the sooner of certificate expiration or June 30, 2028; or (2) the EU Medical Devices Regulation can continue to be placed on the Great Britain market until the sooner of certificate expiration or June 30, 2030. Medical devices also need to bear a physical UKCA mark in order to be lawfully placed on the Great Britain market. However, one of the key topics in the MHRA’s recent consultation was to obtain feedback on whether to remove the requirement for a medical device and its labelling (for example packaging and instructions for use) in Great Britain to bear a physical UKCA mark. Instead of requiring a medical device and its labelling to bear a UKCA mark, manufacturers would be required to assign a unique design identification, or UDI, to medical devices before they are placed on the Great Britain market. If this change is implemented, we may no longer be required to affix the physical UKCA mark to our devices, but we may need to assign and affix a UDI.</w:t>
      </w:r>
    </w:p>
    <w:p>
      <w:pPr>
        <w:spacing w:after="0" w:line="3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post-marketing regulatory requirements could subject us to enforcement actions, including substantial penalties, and might require us to recall or withdraw a product from the market.</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ongoing and pervasive regulatory requirements governing, among other things, the manufacture, marketing, advertising, medical device reporting, sale, promotion, import, export, registration, and listing of devices. 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approval, certification or clearance to market a device,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or notified bodies, which may include any of the following sanctions:</w:t>
      </w:r>
    </w:p>
    <w:p>
      <w:pPr>
        <w:spacing w:after="0" w:line="148"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or warning letters;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consent decrees and civil penalties;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termination of distribution, administrative detention, or seizure of our products;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53" w:lineRule="exact"/>
        <w:rPr>
          <w:sz w:val="20"/>
          <w:szCs w:val="20"/>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refusal to grant our requests for future clearances, certifications or approvals (including foreign regulatory approvals) of new products, new intended uses, or modifications to existing products;</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or suspensions of our current 510(k) clearances or certifications, resulting in prohibitions on sales of our products;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refusal to issue certificates to foreign governments needed to export products for sale in other countries;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sanctions could result in higher than anticipated costs or lower than anticipated sales and have a material adverse effect on our reputation, business, financial condition and results of operations.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FDA and foreign regulatory authorities may change their clearance or certification policies, adopt additional regulations or revise existing regulations, or take other actions, which may prevent or delay clearance, certification or approval of our future products under development or impact our ability to modify our currently cleared or certified products on a timely basis. Such policy or regulatory changes could impose additional requirements upon us that could delay our ability to obtain new clearances, certifications or approvals, increase the costs of compliance or restrict our ability to maintain our clearances of our current products. For more information, see “—Legislative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p>
    <w:p>
      <w:pPr>
        <w:spacing w:after="0" w:line="2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must be manufactured in accordance with federal, state and foreign regulations, and we or any of our suppliers could be forced to recall products or terminate production if we fail to comply with these regulations.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third-party manufacturers may not take the necessary steps to comply with applicable regulations, which could cause delays in the delivery of our products. In addition, failure to comply with applicable FDA (or other regulatory authorities) requirements or later discovery of previously unknown problems with our products or manufacturing processes could result in, among other things: warning letters or untitled letters; fines, injunctions or civil penalties; suspension or withdrawal of approvals or certifications; seizures or recalls of our products; total or partial suspension of production or distribution; administrative or judicially imposed sanctions; the FDA’s (or foreign regulatory authorities’ or notified bodies’) refusal to grant pending or future clearances, certifications or approvals for our products; clinical holds; refusal to permit the import or export of our products; and criminal prosecution of us or our employees.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p>
    <w:p>
      <w:pPr>
        <w:spacing w:after="0" w:line="2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misuse or off-label use of our LLS or ALLY System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6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Systems are ophthalmic surgical lasers indicated for the creation of anterior capsulotomies, use in patients undergoing surgery requiring laser-assisted fragmentation of the cataractous lens, and for creating cuts/incisions 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cornea. We train our marketing personnel and direct sales force to not promote our devices for uses outside of the FDA-approved indications for use, known as “off-label uses.” We cannot, however, prevent a physician from using our devices off-label, when in the physician’s independent professional medical judgment he or she deems it appropriate. There may be increased risk of injury to patients if physicians attempt to use our devices off-label. Furthermore, the use of our devices for indications other than those approved by the FDA or a foreign regulatory authority or certified by a notified body may not effectively treat such conditions, which could harm our reputation in the marketplace among physicians and patients.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FDA or any foreign regulatory authority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Product liability claims could divert management’s attention from our core business, be expensive to defend and result in sizeable damage awards against us that may not be covered by insurance.</w:t>
      </w:r>
    </w:p>
    <w:p>
      <w:pPr>
        <w:spacing w:after="0" w:line="2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may cause or contribute to adverse medical events or be subject to failures or malfunctions that we are required to report to the FDA (or similar foreign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FDA’s medical device reporting regulations and similar foreign regulations, which require us to report to the FDA (or similar foreign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similar foreign authorities) could take action, including warning letters, untitled letters, administrative actions, criminal prosecution, imposition of civil monetary penalties, revocation of our device clearance, certification or approval, seizure of our products or delay in clearance, certification or approval of future products.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foreign regulatory authorities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Depending on the corrective action we take to redress a product’s deficiencies or defects, the FDA (or foreign regulatory authorities) may require, or we may decide, that we will need to obtain new clearances, certifications or approvals for the device before we may market or distribute the corrected device. Seeking such clearances, certifications or approvals may delay our ability to replace the recalled devices in a timely manner. Moreover, if we do not adequately address problems associated with our devices, we may face additional regulatory enforcement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action, including warning letters from the FDA (or foreign regulatory authorities), product seizure, injunctions, administrative penalties or civil or criminal fines.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Companies are required to maintain certain records of recalls and corrections, even if they are not reportable to the FDA (or similar foreign authorities). We may initiate voluntary withdrawals or corrections for our products in the future that we determine do not require notification of the FDA (or similar foreign authorities). If the FDA (or similar foreign authorities)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and maintain international regulatory registrations, clearances, certifications or approvals for our products, we will be unable to market and sell our products outside of the United States.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Sales of our products outside of the United States are subject to foreign regulatory requirements that vary widely from country to country. In addition, the FDA regulates exports of medical devices from the United States. While the regulations of some countries may not impose barriers to marketing and selling our products or only require notification, others require that we obtain the clearance, certification or approval of a specified regulatory body.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be longer than that required for FDA clearance or approval, and requirements for such registrations, clearances, certifications or approvals may significantly differ from FDA requirements. If we modify our products, we may need to apply for additional regulatory clearances, certifications or approvals before we are permitted to sell the modified product. In addition, we may not continue to meet the quality and safety standards required to maintain the authorizations (approvals or certifications) that we have received. If we are unable to maintain our authorizations or certifications in a particular country, we will no longer be able to sell the applicable product in that country.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Regulatory clearance or approval by the FDA does not ensure registration, clearance, certification or approval by regulatory authorities or notified bodies in other countries, and registration, clearance, certification or approval by one or more foreign regulatory authorities or notified bodies does not ensure registration, clearance, certification or approval by regulatory authorities or notified bodies in other foreign countries or by the FDA. However, a failure or delay in obtaining registration or regulatory clearance, certification or approval in one country may have a negative effect on the regulatory process in others.</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clinical trial process is lengthy and expensive with uncertain outcomes. Results of earlier studies may not be predictive of future clinical trial results, or the safety or efficacy profile for such products.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testing is difficult to design and implement, can take many years, can be expensive and carries uncertain outcomes. We intend to conduct additional clinical trials and to generate clinical data that will help us demonstrate the benefits of our system compared to manual cataract surgery conducted without a laser system, or with competing laser systems.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or notified bodies may require us, to conduct additional clinical and non-clinical testing in addition to those we have planned.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initiation and completion of any of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w:t>
      </w:r>
    </w:p>
    <w:p>
      <w:pPr>
        <w:spacing w:after="0" w:line="135" w:lineRule="exact"/>
        <w:rPr>
          <w:sz w:val="20"/>
          <w:szCs w:val="20"/>
          <w:color w:val="auto"/>
        </w:rPr>
      </w:pPr>
    </w:p>
    <w:p>
      <w:pPr>
        <w:jc w:val="both"/>
        <w:ind w:left="76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submit an Investigational Device Exemption, or IDE, application to FDA, which must become effective prior to commencing certain human clinical trials of medical devices, and FDA may reject our IDE application and notify us that we may not begin clinical trials, and similar risks may apply in foreign jurisdictions;</w:t>
      </w:r>
    </w:p>
    <w:p>
      <w:pPr>
        <w:spacing w:after="0" w:line="1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and other comparable foreign regulatory authorities may disagree as to the design or implementation of our clinical trials;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or IRBs, or other reviewing bodies may not authorize us or our investigators to commence a clinical trial, or to conduct or continue a clinical trial at a prospective or specific trial site;</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may produce negative or inconclusive results, and we may decide, or regulators or notified bodies may require us, to conduct additional clinical trials or abandon product development programs;</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13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those manufacturing products or conducting clinical trials on our behalf, may fail to comply with regulatory requirements or meet their contractual obligations to us in a timely manner, or at all;</w:t>
      </w:r>
    </w:p>
    <w:p>
      <w:pPr>
        <w:spacing w:after="0" w:line="13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have to suspend or terminate clinical trials for various reasons, including a finding that the subjects are being exposed to unacceptable health risks;</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amend clinical trial protocols or conduct additional studies to reflect changes in regulatory requirements or guidance, which we may be required to submit to an IRB (or other reviewing bodies), regulatory authorities, or both, for re-examination;</w:t>
      </w:r>
    </w:p>
    <w:p>
      <w:pPr>
        <w:spacing w:after="0" w:line="12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other reviewing bodies, or other parties may require or recommend that we or our investigators suspend or terminate clinical research for various reasons, including safety signals or noncompliance with regulatory requirements;</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may be greater than we anticipate;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may not adhere to the clinical protocol or may drop out of a clinical trial;</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recruit a sufficient number of clinical trial sites;</w:t>
      </w:r>
    </w:p>
    <w:p>
      <w:pPr>
        <w:spacing w:after="0" w:line="198"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w:t>
      </w:r>
    </w:p>
    <w:p>
      <w:pPr>
        <w:spacing w:after="0" w:line="13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or certification policies or regulations of FDA or applicable foreign regulatory agencies may change in a manner rendering our clinical data insufficient for certification or approval;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53"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may have undesirable side effects or other unexpected characteristics.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occurrences may significantly harm our business, financial condition and prospects. In addition, any further disruptions related to public health crises, such as a resurgence of COVID-19, may increase the likelihood that we encounter such difficulties or delays in initiating, enrolling, conducting or completing our planned and ongoing clinical trials. Many of the factors that cause, or lead to, a delay in the commencement or completion of clinical trials may also ultimately lead to the denial of regulatory approval or certification of our product candidates.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approved for the indications we are investigating. For example, patients may be discouraged from enrolling in our clinical trials if the trial protocol requires them to undergo extensive post-treatment procedures or follow-up to assess the safety and efficacy of a product candidate, or they may be persuaded to participate in contemporaneous clinical trials of a competitor’s product candidate. In addition, patients participating in our clinical trials may drop out before completion of the trial or experience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Clinical trials must be conducted in accordance with the laws and regulations of the FDA and other applicable regulatory authorities’ legal requirements, regulations or guidelines, and are subject to oversight by these governmental agencies and IRBs, or other reviewing bodies, at the medical institutions where the clinical trials are conducted. In addition, clinical trials must be conducted with supplies of our devices produced under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our future products are cleared or approved in the United States, commercialization of our products in foreign countries would require clearance, certification or approval by regulatory authorities or notified bodies in those countries. Clearance, certification or approval procedures vary among jurisdictions and can involve requirements and administrative review periods different from, and greater than, those in the United States, including additional preclinical studies or clinical trials. Any of these occurrences could have an adverse effect on our business, financial condition and results of operations.</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regulation of medical devices.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For example, in November 2018, FDA officials announced steps that the FDA intended to take to modernize the premarket notification pathway under Section 510(k) of the Federal Food, Drug, and Cosmetic Act.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that have been cleared on the basis of demonstrated substantial equivalence to predicate devices that are more than 10 years old.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2019, the FDA issued revised final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device types appropriate for the “safety and performance based” pathway and continues to develop product-specific guidance documents that identify the performance criteria for each such device type, as well as the recommended testing methods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 The FDA’s and other regulatory authorities’ policies may change and additional government regulations may be enacted that could prevent, limit or delay regulatory clearance or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regulatory landscape related to medical devices in the EU recently evolved. On May 26, 2021, the EU Medical Devices Regulation became applicable, and repealed and replaced the EU Medical Devices Directive and the Active Implantable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EU Medical Devices Regulation, among other things, is intended to establish a uniform, transparent, predictable and sustainable regulatory framework across the EU for medical devices and ensure a high level of safety and health while supporting innovation.</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modifications brought by this new Regulation may have an effect on the way we intend to develop our business in the EU and EEA. For example, as a result of the transition towards the new regime, notified body review times have lengthened, and product introductions or modifications could be delayed, which could adversely affect our ability to grow our business in a timely manner.</w:t>
      </w:r>
    </w:p>
    <w:p>
      <w:pPr>
        <w:spacing w:after="0" w:line="2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and notified bodies caused by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ability of the FDA, foreign regulatory agencies and notified bodies to review and clear, certify or approve new products can be affected by a variety of factors, including government budget and funding levels, statutory, regulatory, and policy changes, the FDA’s, foreign regulatory agencies’ and notified bodies’ ability to hire and retain key personnel and accept the payment of user fees, and other events that may otherwise affect the FDA’s, foreign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regulatory agencies’ and notified bodies’ ability to perform routine functions. Average review times at the FDA, foreign regulatory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foreign regulatory agencies and notified bodies may also slow the time necessary for new medical devices or modifications to cleared, certified or approved medical devices to be reviewed and cleared, certified or approved by necessary government agencies (or other notified bodies),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and any resurgence of the COVID-19 virus or emergence of new variants may lead to further inspectional delays. Regulatory authorities outside the United States have also adopted similar restrictions or other policy measures at times in response to the COVID-19 pandemic and may adopt similar restrictions or other policy measures in the future. If a prolonged government shutdown occurs, or if global health concerns continue to prevent the FDA or other regulatory authorities or notified bodies from conducting their regular inspections, audits, reviews, or other regulatory activities, it could significantly impact the ability of the FDA, or other regulatory authorities or notified bodies, to timely review and process our regulatory submissions, which could have a material adverse effect on our business.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EU, notified bodies must be officially designated to certify products and services in accordance with the EU Medical Devices Regulation. Their designation process, which is significantly stricter under the new Regulation, has experienced considerable delays due to the COVID-19 pandemic. Despite a recent increase in designations, the current number of notified bodies designated under the new Regulation remains significantly lower than the number of notified bodies designated under the previous regime. The current designated notified bodies are therefore facing a backlog of requests as a consequence of which review times have lengthened. This situation may impact the way we are conducting our business in the EU and the EEA and the ability of our notified body to timely review and process our regulatory submissions and perform its audits.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healthcare legislation may increase the difficulty and cost for us to commercialize our ALLY System or other products we may develop in the future and may affect the prices we may set.</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the EU and other jurisdictions, there have been and continue to be a number of legislative initiatives and judicial challenges to contain healthcare costs. For example, in March 2010, the Patient Protection and Affordable Care Act, as amended by the Health Care and Education Reconciliation Act, or collectively the ACA, was passed, which substantially changed the way healthcare is financed by both governmental and private insurers, and significantly impacted the United States medical device industry.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as well as other efforts to challenge, repeal or replace the ACA that may impact our business or financial condition. On June 17, 2021, the U.S. Supreme Court dismissed the most recent judicial challenge to the ACA without specifically ruling on the constitutionality of the ACA.</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other legislative changes have been proposed and adopted since the ACA was enacted. For example, the Budget Control Act of 2011, among other things, included reductions to Medicare payments to providers Additionally, the American Taxpayer Relief Act of 2012, among other things, reduced Medicare payments to several providers, including hospitals, and increased the statute of limitations period for the government to recover overpayments to providers from three to five years. We expect that additional U.S. federal healthcare reform measures will be adopted in the future, any of which could limit the amounts that the U.S. federal government will pay for healthcare products and services, which could result in reduced demand for our products or additional pricing pressures and could seriously harm our business.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EU states, in December 2021, the EU Regulation No 2021/2282 on Health Technology Assessment, or HTA, amending Directive 2011/24/EU, was adopted. While the Regulation entered into force in January 2022, it will only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we may not be able to achieve or sustain profitability or successfully market our ALLY System or any other products we may develop and obtain clearance for in the future.</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certain federal, state and foreign laws pertaining to healthcare fraud and abuse, including anti-kickback, self-referral, false claims and fraud laws, and any violations by us of such laws could result in fines or other penalties.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none of the procedures using our products are currently covered by any state, federal or foreign government healthcare programs or other third-party payors, applicable agencies and regulators may interpret that our commercial, research and other financial relationships with healthcare providers, institutions, and GPOs are nonetheless subject to various federal, state and foreign laws intended to prevent healthcare fraud and abuse, including the following:</w:t>
      </w:r>
    </w:p>
    <w:p>
      <w:pPr>
        <w:spacing w:after="0" w:line="139" w:lineRule="exact"/>
        <w:rPr>
          <w:sz w:val="20"/>
          <w:szCs w:val="20"/>
          <w:color w:val="auto"/>
        </w:rPr>
      </w:pPr>
    </w:p>
    <w:p>
      <w:pPr>
        <w:jc w:val="both"/>
        <w:ind w:left="760" w:hanging="378"/>
        <w:spacing w:after="0" w:line="25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Remuneration has been broadly defined to include anything of value, including cash, improper discounts and free or reduced price items and services. In addition, a person or entity does not need to have actual knowledge of the statute or specific intent to violate it in order to have committed a violation;</w:t>
      </w:r>
    </w:p>
    <w:p>
      <w:pPr>
        <w:spacing w:after="0" w:line="160" w:lineRule="exact"/>
        <w:rPr>
          <w:rFonts w:ascii="Times New Roman" w:cs="Times New Roman" w:eastAsia="Times New Roman" w:hAnsi="Times New Roman"/>
          <w:sz w:val="18"/>
          <w:szCs w:val="18"/>
          <w:color w:val="auto"/>
        </w:rPr>
      </w:pPr>
    </w:p>
    <w:p>
      <w:pPr>
        <w:jc w:val="both"/>
        <w:ind w:left="760" w:hanging="378"/>
        <w:spacing w:after="0" w:line="255"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that provide coding and billing advice to customers. The federal False Claims Act has been used to prosecute persons submitting claims for payment that are inaccurate or fraudulent, that are for services not provided as claimed or for services that are not medically necessary. In addition, the government may assert that a claim including items and services resulting from a violation of the federal Anti-Kickback Statute constitutes a false or fraudulent claim for purposes of the False Claims Act. The federal False Claims Act also includes a whistleblower provision that allows individuals to bring actions on behalf of the federal government and share a portion of the recovery of successful claims;</w:t>
      </w:r>
    </w:p>
    <w:p>
      <w:pPr>
        <w:spacing w:after="0" w:line="148"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3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also created federal criminal laws that prohibit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53" w:lineRule="exact"/>
        <w:rPr>
          <w:sz w:val="20"/>
          <w:szCs w:val="20"/>
          <w:color w:val="auto"/>
        </w:rPr>
      </w:pPr>
    </w:p>
    <w:p>
      <w:pPr>
        <w:jc w:val="both"/>
        <w:ind w:left="760" w:hanging="378"/>
        <w:spacing w:after="0" w:line="258"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and its implementing regulations, which require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providers such as physician assistants and nurse practitioners, and teaching hospitals, as well as ownership and investment interests held by the physicians described above and their immediate family members;</w:t>
      </w:r>
    </w:p>
    <w:p>
      <w:pPr>
        <w:spacing w:after="0" w:line="156"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including state anti-kickback and false claims laws, which apply to items and services reimbursed by any third-party payor, including private insurers and self-pay patients; state laws that require device manufacturers to comply with the industry’s voluntary compliance guidelines and the relevant compliance guidance promulgated by the U.S. federal government, or otherwise restrict payments that may be made to healthcare providers and other potential referral sources; and state laws and regulations that require manufacturers to track gifts and other remuneration and items of value provided to healthcare professionals and entities; and</w:t>
      </w:r>
    </w:p>
    <w:p>
      <w:pPr>
        <w:spacing w:after="0" w:line="142"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 and other foreign law equivalents of each of the laws, including reporting requirements detailing interactions with and payments to healthcare providers.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disgorgement, individual imprisonment, contractual damages, reputational harm, diminished profits and the curtailment or restructuring of our operations.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and similar laws and any violations by us of such laws could result in fines or other penalties.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majority of our revenue is derived from operations outside of the United States and is subject to requirements under the U.S. Treasury Department’s Office of Foreign Assets Control, anti-corruption, anti-bribery and similar laws, such as the Foreign Corrupt Practices Act, or FCPA, the U.K. Bribery Act 2010, and other anti-corruption, anti-bribery and anti-money laundering laws in countries in which we conduct activities. The FCPA prohibits, among other things, improper payments or offers of payments to foreign governments and their officials for the purpose of obtaining or retaining business. Recently, the U.S. Department of Justice has increased its enforcement activities with respect to the FCPA.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safeguards to discourage improper payments or offers of payments by our employees, consultants, sales agents or distributors may be ineffective. Any violations of the FCPA and similar laws may result in severe criminal or civil sanctions, or other liabilities or proceedings against us, and would likely harm our reputation, business, financial condition and result of operations.</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consultants, vendors, distributors and contract research organizations may engage in misconduct or other improper activities, including noncompliance with regulatory standards and requirements.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consultants, vendors, distributors and contractor research organizations, or CROs, may engage in fraudulent or other illegal activity. While we have policies and procedures in place prohibiting such activity, misconduct by these parties could include among other infractions or violations intentional, reckless or negligent conduct or unauthorized activity that violates: (i) FDA (and foreign regulatory authorities’) regulations, including those laws that require the reporting of true, complete and accurate information to the FDA (or foreign regulatory authorities); (ii) manufacturing standards; (iii) federal, state and foreign healthcare fraud and abuse laws and regulations;</w:t>
      </w:r>
    </w:p>
    <w:p>
      <w:pPr>
        <w:spacing w:after="0" w:line="3" w:lineRule="exact"/>
        <w:rPr>
          <w:sz w:val="20"/>
          <w:szCs w:val="20"/>
          <w:color w:val="auto"/>
        </w:rPr>
      </w:pPr>
    </w:p>
    <w:p>
      <w:pPr>
        <w:ind w:firstLine="8"/>
        <w:spacing w:after="0" w:line="260" w:lineRule="auto"/>
        <w:tabs>
          <w:tab w:leader="none" w:pos="30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true, complete and accurate reporting of financial information or data; or (v) other commercial or regulatory laws or requirements. Specifically, sales, marketing and business arrangements in the healthcare industry are subject to extensive laws and regulations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contractual damages, reputational harm, diminished profits and future earnings, and curtailment of our operations, any of which could adversely affect our ability to operate our business and our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on our ability to obtain, maintain and protect our intellectual property rights.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our success in obtaining and maintaining issued patents, trademarks and other intellectual property rights in the United States and elsewhere and protecting our proprietary technology. If we do not adequately protect our intellectual property and proprietary technology, competitors may be able to use our technologies we have acquired in the marketplace and erode or negate any competitive advantage we may have, which could harm our business and ability to achieve profitability.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 combination of contractual provisions, confidentiality procedures and patent, copyright, trademark, trade secret and other intellectual property laws to protect the proprietary aspects of our products, brands, technologies and data. These legal measures afford only limited protection, and competitors or others may gain access to or use our intellectual property and proprietary information. Our success will depend, in part, on preserving our trade secrets, maintaining the security of our data and know-how and obtaining and maintaining other intellectual property rights. We may not be able to obtain or maintain intellectual property or other proprietary rights necessary to our business or in a form that provides us with a competitive advantage.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efforts to enter into confidentiality agreements with our employees, consultants, clients and other vendors who have access to such information, our trade secrets, data and know-how may not prevent unauthorized use, misappropriation, or disclosure to unauthorized parties, and could otherwise become known or be independently discovered by third parties. Our intellectual property, including trademarks, could be challenged, invalidated, infringed, and circumvented by third parties, and our trademarks could also be diluted, declared generic or found to be infringing on other marks. If any of the foregoing occurs,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obtain and maintain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may not provide sufficient protection in the future to prevent the infringement, use, violation or misappropriation of our trademarks, data, technology and other intellectual property and services, and may not provide an adequate remedy if our intellectual property rights are infringed, misappropriated or otherwise violated.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in part, on our ability to obtain, maintain, expand, enforce, and defend the scope of our intellectual property portfolio or other proprietary rights, including the amount and timing of any payments we may be required to make in connection with the filing, licensing, defending and enforcing of any patents or other intellectual property rights. The process of applying for and obtaining a patent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protect our proprietary rights at all. We may not be successful in protecting our proprietary rights, and unauthorized parties may be able to obtain and use information that we regard as proprietary.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numerous issued patents and pending patent applications. As of December 31, 2024, we owned approximately 64 U.S. patents, 31 pending U.S. patent applications, 183 issued foreign patents, and 83 pending foreign and Patent Cooperation Treaty applications. The patent positions of medical device companies, including our patent position, may involve complex legal and factual questions, and therefore, the scope, validity and enforceability of any patent claims that we may obtain cannot be predicted with certainty.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Though an issued patent is presumed valid and enforceable, its issuance is not conclusive as to its validity or its enforceability and it may not provide us with adequate proprietary protection or competitive advantages against competitors with similar products. Patents, if issued, may be challenged, deemed unenforceable, invalidated or circumvented. Proceedings challenging our patents could result in either loss of the patent, or denial or the patent application or loss or reduction in the scope of one or more of the claims of the patent or patent application. In addition, such proceedings may be costly. Thus, any patents that we may own may not provide any protection against competitors. Furthermore, an adverse decision may result in a third party receiving a patent right sought by us, which in turn could affect our ability to commercialize our products.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Competitors could purchase our products and attempt to replicate or reverse engineer some or all of the competitive advantages we derive from our development efforts, willfully infringe our intellectual property rights, design around our patents, or develop and obtain patent protection for more effective technologies, designs or methods. We may be unable to prevent the unauthorized disclosure or use of our technical knowledge or trade secrets by consultants, suppliers, vendors, former employees and current employees. Further, the laws of some foreign countries do not protect our proprietary rights to the same extent as the laws of the United States, including the protection of surgical and medical methods, and we may encounter significant problems in protecting our proprietary rights in these countries.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products are invalidated or found unenforceable, or if a court found that valid, enforceable patents held by third parties covered one or more of our products, our competitive position could be harmed or we could be required to incur significant expenses to enforce or defend our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185"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sufficient to protect our products;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our products on a substantial scale, if approved, before our relevant patents we may have expire;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will be found to ultimately be valid and enforceable;</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products that are separately patentable;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53"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upon the patents of others.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we are able to obtain patent protection, such patent protection may be of insufficient scope to achieve our business objectives. Issued patents may be challenged, narrowed, invalidated or circumvented. Decisions by courts and governmental patent agencies may introduce uncertainty in the enforceability or scope of patents owned by or licensed to us. Furthermore, the issuance of a patent does not give us the right to practice the patented invention. Third parties may have blocking patents that could prevent us from marketing our own products and practicing our own technology. Alternatively, third parties may seek approval or certification to market their own products similar to or otherwise competitive with our products. In these circumstances, we may need to defend or assert our patents, including by filing lawsuits alleging patent infringement. In any of these types of proceedings, a court or agency with jurisdiction may find our patents invalid, unenforceable or not infringed; competitors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2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 Patent and Trademark Office, or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Even if a lapse is cured, reviving the patent or application, there is a risk that the revival can be challenged by third parties in proceeding and litigation, and that the revival can be overruled. Non-compliance events that could result in abandonment or lapse of a patent or patent application include failure to respond to official actions within prescribed time limits, non-payment of fees and failure to properly legalize and submit formal documents. If we fail to maintain the patents and patent applications covering our products, we may not be able to stop a competitor from marketing products that are the same as or similar to our products, which would have a material adverse effect on our business.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existing and future products.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Future changes to existing patent law could lead to uncertainties and increased costs surrounding the prosecution, enforcement and defense of our patents and applications. Furthermore, U.S. and foreign courts have made, and will likely continue to make, changes in how the patent laws in their respective jurisdictions are interpreted. In several recent patent cases, the U.S. Supreme Court has narrowed the scope of patent protection available or weakened the rights of patent owners in certain situations. We cannot predict future changes in the interpretation of patent laws and regulations or changes to patent laws and regulations that might be enacted into law by U.S. and foreign legislative bodies and patent offices. Those changes may materially affect our ability to obtain additional patent protection in the future, the value of our patents, and our ability to enforce our patents.</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license and maintain rights to use third-party technology on reasonable terms, we may not be able to successfully commercialize our products. Our licensed or acquired technology may lose value or utility or over time.</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past, we have licensed technology from third parties and may choose or need to do so in the future, including to develop or commercialize new products or services. We may also need to negotiate licenses to patents or patent applications before or after introducing a commercial product, and we may not be able to obtain necessary licenses to such patents or patent applications. If we are unable to enter into the necessary licenses on acceptable terms or at all, if any necessary licenses are subsequently terminated, if the licensors fail to abide by the terms of the licenses or fail to prevent infringement by third parties, or if the licensed patents or other rights are found to be invalid 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unenforceable, our business may suffer. In addition, any technology licensed or acquired by us may lose value or utility, including as a result of a change of in the industry, in our business objectives, others’ technology, our dispute with the licensor, and other circumstances outside our control. In return for the use of a third party’s technology, we may agree to pay the licensor royalties based on sales of our products or services. If we are unable to negotiate reasonable royalties or if we have to pay royalties on technology that becomes less useful for us or ceases to provide value to us, our profit margin will be reduced and we may suffer losses.</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a party to intellectual property litigation or administrative proceedings that could be costly and could interfere with our ability to sell and market our products.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or export our products or to use our technologies or product names.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The defense of these matters can be time consuming and costly to defend in litigation,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third-party’s patent or trademark or of misappropriating a third-party’s trade secret.</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patent applications are confidential for a period of time after filing, we cannot be certain that we were the first to file any patent application related to our products. Because of the confidential nature of patent applications, we do not know at any given time what patent applications are pending that may later issue as a patent and be asserted by a third party against us. Competitors may also contest our patents, if issued, by showing the patent examiner that the invention was not original, was not novel, or was invalid or unenforceable for other reasons. In litigation or administrative proceedings, a competitor could claim that our patents, if issued, are not valid for a number of reasons. If a court agrees, we would lose our rights to those challenged patents or have the scope of those rights narrowed.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patent applications or other intellectual property, as a result of the work they performed on our behalf. Our general requirement that our employees and consultants and any other partners or collaborators who have access to our proprietary know-how, information or technology assign or grant similar rights to their inventions to us may not fully protect us from intellectual property claims. Additionally, we cannot be certain that we have executed such agreements with all parties who may have contributed to our intellectual property, nor can we be certain that our agreements with such parties will be upheld in the face of a potential challenge, that such agreements will adequately protect us, or that they will not be breached, for which we may not have an adequate remedy.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lawsuits relating to intellectual property rights could subject us to significant liability for damages and invalidate our proprietary rights. Any potential intellectual property litigation also could force us to do one or more of the following:</w:t>
      </w:r>
    </w:p>
    <w:p>
      <w:pPr>
        <w:spacing w:after="0" w:line="121"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making, selling or using products or technologies that allegedly infringe the asserted intellectual property;</w:t>
      </w:r>
    </w:p>
    <w:p>
      <w:pPr>
        <w:spacing w:after="0" w:line="198"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intellectual property to others or to collect royalty payments based upon successful protection and assertion of our intellectual property rights against others; incur significant legal expenses;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53"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or royalties to the party whose intellectual property rights we may be found to be infringing;</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attorney’s fees and costs of litigation to the party whose intellectual property rights we may be found to be infringing;</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or technologies that contain the allegedly infringing intellectual property, which could be costly and disruptive, and may be infeasible; and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 from third parties who may attempt to license rights that they do not have.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litigation or claim against us, even those without merit and even those where we prevail, may cause us to incur substantial costs, and could place a significant strain on our financial resources, divert the attention of management from our core business and harm our reputation. If we are found to infringe the intellectual property rights of third parties, we could be required to pay substantial damages, including third-party lost profits, the disgorgement of our profits, or substantial royalties (all of which may be increased, including three times the awarded damages, if we are found to willfully infringe third-party patents or trademarks or to have misappropriated trade secrets)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Although patent, trademark, trade secret, and other intellectual property disputes in the medical device area are often settled through licensing or similar arrangements, costs associated with such arrangements may be substantial and could include ongoing royalties. If we do not obtain necessary licenses, we may not be able to redesign our products to avoid infringement. We could encounter delays in product introductions while we attempt to develop alternative methods or products, and these alternative methods or products may be less competitive, which could adversely affect our competitive business position. If we fail to obtain any required licenses or make any necessary changes to our products or technologies, we may have to withdraw existing products from the market or may be unable to commercialize one or more of our products.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generally indemnify our customers with respect to infringement by our products of the proprietary rights of third parties. However, third parties may assert infringement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parties review, post grant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we may file lawsuits or initiate other proceedings to protect or enforce our patents or other intellectual property rights, which could be expensive, time consuming and unsuccessful. Competitors may infringe our issued patents or other intellectual property.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In addition, in a patent or other intellectual property infringement proceeding, a court may decide that a patent or other intellectual property of 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Furthermore, even if our patents or other intellectual property are found to be valid and infringed, a court may refuse to grant injunctive relief against the infringer and instead grant us monetary damages or ongoing royalties. Such monetary compensation may be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insufficient to adequately offset the damage to our business caused by the infringer’s competition in the market. An adverse result in any litigation proceeding could put one or more of our patents or other intellectual property at risk of being invalidated or interpreted narrowly, which could adversely affect our competitive business position,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other proprietary information, our business and competitive position may be harmed.</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to patent protection, we also rely on protection of trade secrets, know-how and other proprietary information that is not patentable or that we elect not to patent. However, trade secrets can be difficult to protect and some courts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The protections we place on our intellectual property or other proprietary rights may not be sufficient.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 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it is possible that others will independently develop the same or similar technology or products or otherwise work around our 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or products similar to ours or competing technologies or products, our competitive market position could be materially and adversely affected.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company may attempt to commercialize competing products utilizing our proprietary design, trademarks or trade names in foreign countries where we do not have any patents or patent applications and where legal recourse may be limited. This may have a significant commercial impact on our foreign business operations.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or trademarks on our current and future products in all countries throughout the world would be prohibitively expensive. The requirements for patentability and trademarking may differ in certain countries, particularly developing countries. The laws of some foreign countries do not protect intellectual property rights including the protection of surgical and medical methods,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have patent and trademark protection, but enforcement on infringing activities is inadequate. These products or trademarks may compete with our products or trademarks, and our patents, trademarks or other intellectual property rights may not be effective or sufficient to prevent them from competing.</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trademarks and other intellectual property protection, which could make it difficult for us to stop the infringement of our patents and trademarks or marketing of competing products in violation of our proprietary rights generally. Proceedings to enforce our patent and trademarks rights in foreign jurisdictions could result in substantial costs and divert our efforts and attention from other aspects of our business, could put our patents and trademarks in those jurisdictions, as well as elsewhere at risk of being invalidated or interpreted narrowly and our patent or trademark applications at risk, and could provoke third parties to assert claims against us. We may not prevail in any lawsuits that we initiate and the damages or other remedies awarded, if any, may not be commercially meaningful.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employees and consultants were previously employed at or engaged by other medical device or other biotechnology companies, including our competitors or potential competitors. Some of these employees, consultants and contractors, may have executed proprietary rights, non-disclosure and non-competition agreements in connection with such previous employment. Our efforts to ensure that our employees and consultants do not use the intellectual property, proprietary information, know-how or trade secrets of others in their work for us may not be successful, and we may be subject to claims that we or these individuals have, inadvertently or otherwise, misappropriated the intellectual property or disclosed the alleged trade secrets or other proprietary information, of these former employers or competitors.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of third parties to meet their contractual, regulatory, and other obligations could adversely affect our business.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rely on suppliers, vendors, outsourcing partners, consultants, alliance partners and other third parties to research, develop, manufacture and commercialize our products and manage certain parts of our business. Using these third parties poses a number of risks, such as:</w:t>
      </w:r>
    </w:p>
    <w:p>
      <w:pPr>
        <w:spacing w:after="0" w:line="121" w:lineRule="exact"/>
        <w:rPr>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perform to our standards or legal requirements;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produce reliable results;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perform in a timely manner;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not maintain confidentiality of our proprietary information;</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ownership of rights to technology developed with our partners, and those disputes may be resolved against us; and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could cause delays in, or termination of, the research, development or commercialization of our products or result in litigation or arbitration.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materially affect our business.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and our business may be adversely affected.</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trademarks, service marks, trade names and brand names to distinguish our products from the products of our competitors, and have registered or applied to register many of these trademarks. It is possible that some of our trademark applications may not be approved.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financial condition and results of operations may be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Artificial Intelligence Technologies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technologies in our business, and the deployment, use, and maintenance of these technologies involve significant technological and legal risks.</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use artificial intelligence, or AI, machine learning, and automated decision-making technologies, including proprietary AI and machine learning algorithms and models, or collectively AI Technologies, throughout our business, and are making significant investments in this area.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we use AI Technologies in our ALLY System to register and analyze patients’ eyes and determine eye surface and cataract density, which helps optimize laser patterns and energy settings in cataract procedures, with the goal of minimizing the overall energy delivered in the eye for quicker visual recovery and better patient outcomes.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particular, if the models underlying our AI Technologies are, for example: incorrectly designed or implemented; trained or reliant on incomplete, inadequate, inaccurate, biased or otherwise poor quality data;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a party or civil claims.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in varying stages of development in relation to our products and internal business processes involving AI Technologies. The continuous development, maintenance and operation of our AI Technologies is expensive and complex and may involve unforeseen difficulties including, without limitation, material performance problems, undetected defects or errors. We may be unsuccessful in our ongoing development and maintenance of these technologies in the face of novel and evolving technical factors. Further, our ability to continue to develop or use such technologies may be dependent on access to specific third-party software, services and infrastructure, such as processing hardware, and we cannot control the availability or pricing of such third-party software and infrastructure, especially in a highly competitive environment.</w:t>
      </w:r>
    </w:p>
    <w:p>
      <w:pPr>
        <w:spacing w:after="0" w:line="2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obtain sufficient intellectual property protection for our AI Technologies to prevent competitors from implementing the same or similar technology in their businesses, and other individuals may apply for or obtain intellectual property protection which could limit our ability to use technology that we are currently developing.</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If we fail to obtain protection for the intellectual property rights concerning our AI Technologies or products that incorporate AI Technologies, or later have our intellectual property rights invalidated or otherwise diminished, our competitors may be able to take advantage of our research and development efforts to develop competing products which could adversely affect our business, reputation and financial condition.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long history of development of AI Technologies, other parties may have (or in the future may obtain) patents or other proprietary rights that would prevent, limit, or interfere with our ability to make or use our proprietary AI Technologies.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framework governing the use of AI Technologies is rapidly evolving, and we cannot predict how future legislation and regulation will impact our ability to offer products or services that we develop which leverage AI Technologies.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or could be rescinded or amended as new administrations take differing approaches to evolving AI Technologies. As a result, implementation standards and enforcement practices are likely to remain uncertain for the foreseeable future, and we cannot yet completely determine the impact future laws, regulations, or standards may have on our business and may not always be able to anticipate how to respond to these laws or regulations.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Already, certain existing legal regimes (e.g., relating to data privacy) regulate certain aspects of AI Technologies, and new laws regulating AI Technologies have either entered into force in the United States and the EU in 2024 or are expected to enter into force in 2025. In the United States, the Trump administration has rescinded an executive order relating to AI Technologies that was previously implemented by the Biden administration. The Trump administration may continue to rescind other existing federal orders and/or administrative policies relating to AI Technologies, or may implement new executive orders and/or other rule making relating to AI Technologies in the future. Any such changes at the federal level could require us to expend significant resources to modify our products, services, or operations to ensure compliance or remain competitive. U.S. legislation related to AI Technologies has also been introduced at the federal level and is advancing at the state level. For example, in the United States, the Trump administration has rescinded an executive order relating to AI Technologies that was previously implemented by the Biden administration. The Trump administration may continue to rescind other existing federal orders and/or administrative policies relating to AI Technologies, or may implement new executive orders and/or other rule making relating to AI Technologies in the future. Any such changes at the federal level could require us to expend significant resources to modify our products, services, or operations to ensure compliance or remain competitive. Such additional regulations may impact our ability to develop, use, procure and commercialize AI Technologies in the future.</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Europe, on August 1, 2024, the EU Artificial Intelligence Act (the “EU AI Act”) entered into force, and establishes a comprehensive, risk-based governance framework for AI in the EU market. The majority of the substantive requirements will apply from August 2, 2026. The EU AI Act applies to companies that develop, use and/or provide AI in the EU and depending on the AI use case includes requirements around transparency, conformity assessments and monitoring, risk assessments, human oversight, security, accuracy, general purpose AI and foundation models, and fines for breach of up to 7% of worldwide annual turnover. In addition, the revised EU Product Liability Directive came into force in December 2024, to be implemented into EU member state national law by December 2026. This Directive extends the EU’s existing strict product liability regime to AI Technologies and AI-enabled products, and facilitates civil claims in respect of harm caused by AI. Once fully applicable, the EU AI Act and the Liability Directives will have a material impact on the way AI is regulated in the EU. Further, in Europe we are subject to the GDPR, which regulates our use of personal data for automated decision making that results in a legal or similarly significant effect on an individual, and provides rights to individuals in respect of that automated decision making. Recent case law from the Court of Justice of the European Union, or the CJEU, has taken an expansive view of the scope of the GDPR’s requirements around automated decision making and introduced uncertainty in the interpretation of these rules. Specifically, the CJEU has expanded the scope for automated decision making under the GDPR by finding that automated decision-making activities can fall within the GDPR’s restrictions on those activities even if the required legal or similarly significant effect for the individual is carried out by a third party. The EU AI Act, and developing interpretation and application of the GDPR in respect of automated decision making, together with developing guidance and/or decisions in this area, may affect our use of AI Technologies and our ability to provide, improve or commercialize our services, require additional compliance measures and changes to our operations and processes, and result in increased compliance costs and potential increases in civil claims against us, and could adversely affect our business, operations and financial condition.</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large number of shares eligible for public sale could depress the market price of our common stock.</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Members of our management and our board of directors hold or beneficially own a significant portion of our common stock and may sell their shares of our common stock to the extent not restricted by contract or under securities laws. We have filed registration statements registering shares that we may issue under our equity compensation plan and employee stock purchase plan. In addition, we have filed a resale registration statement registering shares of our common stock issuable upon conversion of our Series A Redeemable Convertible Preferred Stock and exercise of outstanding Warrants. The total number of shares of common stock offered under the resale registration statement represented approximately 51.4% of our total outstanding shares of common stock based on our shares outstanding as of December 31, 2024, assuming full conversion of the Series A Redeemable Convertible Preferred Stock and full exercise of the Warrants for cash. We may file additional registration statements relating to shares or awards held by our management and board of directors in the future. The market price of our common stock could decline as a result of sales of a large number of shares of our common stock in the market, and such declines may be significant. The perception that these sales could occur may also depress the market price of our common stock. A decline in the price of shares of our common stock might impede our ability to raise capital through the issuance of additional shares of our common stock or other equity securities.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may issue our shares of common stock from time to time as consideration for future acquisitions and investments. If any such acquisition or investment is significant, the number of shares that we may issue may in turn be significant. In addition, we may also grant registration rights covering those shares in connection with any such acquisitions and investments.</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disclosure requirements applicable to us will make our common stock less attractive to investors.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are eligible to delay the adoption of new or revised accounting standards applicable to public companies until those standards apply to private companies, and as a result, we may not comply with new or revised accounting standards on the relevant dates on which adoption of such standards is required for non-emerging growth companies. As a result of this election, our financial statements may not be comparable to the financial statements of other public companies.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currently intend to take advantage of the reduced disclosure requirements regarding executive compensation. We are also entitled to take advantage of other exemptions, including the exemptions from the advisory vote requirements and executive compensation disclosures under the Dodd-Frank Wall Street Reform and Customer Protection Act, and the exemption from the provisions of Section 404(b) of the Sarbanes-Oxley Act. We will remain an “emerging growth company” until December 31, 2025 (the fiscal year-end following the fifth anniversary of the completion of the spin-off).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some investors find our common stock less attractive as a result, there may be a less active trading market for our common stock and our stock price may decline or become more volatile.</w:t>
      </w:r>
    </w:p>
    <w:p>
      <w:pPr>
        <w:spacing w:after="0" w:line="26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issued shares of redeemable convertible preferred stock, and may in the future issue additional shares of preferred stock, with terms that could dilute the voting power or reduce the value of our common stock.</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issue, without the approval of our stockholders, one or more series of preferred stock having such designation, powers, privileges, preferences, including preferences over our common stock respecting dividends and distributions, terms of redemption and relative participation, optional, or other rights, if any, of the shares of each such series of preferred stock and any qualifications, limitations or restrictions thereof, as our board of directors may determine. The terms of one or more series of preferred stock could dilute the voting power or reduce the value of our common stock. For example, the repurchase or redemption rights or liquidation preferences we could assign to holders of preferred stock could affect the residual value of the common stock.</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SPA, we issued an aggregate of 20,000 shares of a newly established series of preferred stock designated as “Series A Convertible Preferred Stock, par value $0.01 per share,” which have a stated value of $1,000 per share and are convertible into shares of common stock. Holders of shares of Series A Redeemable Convertible Preferred Stock are entitled to vote on an as-converted basis with holders of shares of common stock. In addition, so long as NR-GRI and its affiliates collectively beneficially own at least twenty percent of the securities issued pursuant to the SPA, including the Series A Redeemable Convertible Preferred Stock, we may not, without the consent of NR-GRI, liquidate, dissolve, or wind up our affairs or effect a merger or sale of the Company or other Fundamental Transaction (as defined in Note 12,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included elsewhere in this Annual Report); create, authorize, or issue shares of capital stock that are senior or pari passu to the Series A Redeemable Convertible Preferred Stock; complete an acquisition with consideration above $1.0 million; incur debt in excess of $1.0 million; change our line of business; or enter into certain related-party transactions.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Run and its affiliates’ ownership may limit or preclude other stockholders’ ability to influence corporate matters.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North Run Capital, LP, or North Run, and its affiliates held 46.2% of the voting power of our capital stock based on shares outstanding as of December 31, 2024, in addition North Run may acquire additional shares of common stock and voting power upon exercise of the Warrants. For as long as North Run and its affiliates hold a significant amount of our Series A Redeemable Convertible Preferred Stock and common stock, they will be able to exert significant control over us. This concentrated control may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stockholders may believe are in their best interest. North Run and its affiliates may also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determine to sell substantial amounts of our securities in one or more transactions, including to one or several private parties in negotiated transactions. In that case, those buyers may subsequently be able to exert significant control over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and accordingly, stockholders must rely on stock appreciation for any return on their investment.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anticipate paying cash dividends in the foreseeable future. As a result, only appreciation of the price of our common stock, which may never occur, will provide a return to stockholders. Investors seeking cash dividends should not invest in our common stock.</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charter documents and Delaware law could discourage takeover attempts and lead to management entrenchment and, therefore, may depress the trading price of our common stock.</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have the effect of delaying or preventing changes in control or changes in our management without the consent of our board of directors, including, among other things:</w:t>
      </w:r>
    </w:p>
    <w:p>
      <w:pPr>
        <w:spacing w:after="0" w:line="121" w:lineRule="exact"/>
        <w:rPr>
          <w:sz w:val="20"/>
          <w:szCs w:val="20"/>
          <w:color w:val="auto"/>
        </w:rPr>
      </w:pPr>
    </w:p>
    <w:p>
      <w:pPr>
        <w:ind w:left="7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84"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3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removal of directors;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chairperson of our board of directors, the chief executive officer, the president (in absence of a chief executive officer) or our board of directors, which may delay the ability of our stockholders to force consideration of a proposal or to take action, including the removal of directors;</w:t>
      </w:r>
    </w:p>
    <w:p>
      <w:pPr>
        <w:spacing w:after="0" w:line="14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holders of at least two-thirds of the shares entitled to vote at an election of directors is required to adopt, amend or repeal our bylaws or repeal the provisions of our amended and restated certificate of incorporation regarding the election and removal of directors;</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by majority vote, to amend the amended and restated bylaws, which may allow our board of directors to take additional actions to prevent a hostile acquisition and inhibit the ability of an acquirer from amending the amended and restated bylaws to facilitate a hostile acquisition; and</w:t>
      </w:r>
    </w:p>
    <w:p>
      <w:pPr>
        <w:spacing w:after="0" w:line="13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provisions may not be successful in protecting our stockholders from coercive or harmful takeover tactics by requiring potential acquirers to negotiate with our board of directors and by providing our board of directors with adequate time to assess any acquisition proposal. These provisions in our amended and restated certificate of incorporation and amended and restated bylaws may discourage, delay or prevent a transaction involving a change in control that is in the best interest of our stockholders. Even in the absence of a takeover attempt, the existence of these provisions may adversely affect the prevailing market price of our common stock if they are viewed as discouraging future takeover attempts.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certain anti-takeover provisions under the Delaware General Corporation Law, or DGCL. Under the DGCL, a corporation may not, in general, engage in a business combination with any holder of 15% or more of its capital stock unless the holder has held the stock for three years or, among other things, our board of directors has approved the transaction.</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certain courts as the sole and exclusive forums for certain litigation that may be initiated by our stockholders, which could limit our stockholders’ ability to obtain a favorable judicial forum for disputes with us.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fiduciary duty owed by any of our directors, officers or other employees or our stockholders; (iii) any action asserting a claim arising pursuant to any provision of the DGCL or our amended and restated certificate of incorporation or amended and restated bylaws; or (iv) any action asserting a claim governed by the internal affairs doctrine. Additionally, our amended and restated certificate of incorporation provides that the federal district courts of the United States of America will be the exclusive forum for the resolution of any complaint asserting a cause of action against us or any of our directors, officers, employees or agents and arising under the Securities Act. Our amended and restated certificate of incorporation further provides that any person or entity purchasing or acquiring any interest in shares of our capital stock shall be deemed to have notice of and to have consented to the provisions described above. This forum selection provision in our amended and restated certificate of incorporation may limit our stockholders’ ability to obtain a favorable judicial forum for disputes with us. This exclusive forum provision will not apply to suits brought to enforce a duty or liability created by the Exchange Act or any other claim for which the federal courts have exclusive jurisdiction.</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market for our common stock may not develop or be sustained, and the trading price of our common stock is likely to be volatile.</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active trading market for our common stock may not develop or be sustained, which could depress the market price of our common stock and could affect your ability to sell your shares. The trading price of our common stock is likely to be highly volatile and could be subject to wide fluctuations in response to various factors, some of which are beyond our control. In addition to the factors discussed in this “Risk Factors” section of this Annual Report, these factors include:</w:t>
      </w:r>
    </w:p>
    <w:p>
      <w:pPr>
        <w:spacing w:after="0" w:line="139" w:lineRule="exact"/>
        <w:rPr>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shift in our investor base;</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condition and operating performance;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similar companies;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by us or our competitors;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or failure of our business strategy;</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as needed;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53" w:lineRule="exact"/>
        <w:rPr>
          <w:sz w:val="20"/>
          <w:szCs w:val="20"/>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performance of the equity markets;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publicly owned and available for trading;</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or governmental investigations;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affecting our business, including tax legislation;</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or dispositions;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our ability to meet earnings guidance;</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changes in recommendations or withdrawal of research coverage by securities analysts;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volumes of sales of our shares of common stock by existing stockholders;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our common stock;</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us and our industry; and</w:t>
      </w:r>
    </w:p>
    <w:p>
      <w:pPr>
        <w:spacing w:after="0" w:line="184"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markets or general economic conditions, including the effects of recession or slow economic growth in the U.S. and abroad, interest rates, fuel prices, international currency fluctuations, corruption, political instability, acts of war, including the ongoing war between Russia and Ukraine and the conflicts in the Middle East, acts of terrorism, natural disasters and public health crises or pandemics.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medical device companies in particular, have experienced extreme price and volume fluctuations that have often been unrelated or disproportionate to the operating performance of those companies. This could limit or prevent investors from readily selling their shares of common stock and may otherwise negatively affect the liquidity of our common stock. Securities class action litigation has often been instituted against companies following periods of volatility in the overall market and in the market price of a company’s securities and suits have been initiated against us to date. For example, on August 14, 2023, two stockholders filed a Verified Amended Class Action Complaint against the Company and certain of its officers and members of the board of directors in the matter captioned Schaper v. LENSAR, Inc., et al., Case No. 1:23-cv-00692-JLH (D. Del.). In November 2024, the court granted our motion to dismiss the plaintiffs’ complaint. This type of litigation could result in very substantial costs, divert our management’s attention and resources, and could have a material adverse effect on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develop and maintain proper and effective internal control over financial reporting and will be subject to other requirements that will be burdensome and costly.</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are required to file with the SEC annual, quarterly and current reports that are specified in Section 13 of the Exchange Act. We are required to prepare financial statements that are fully compliant with all SEC reporting requirements on a timely basis. In addition, we are subject to other reporting and corporate governance requirements, including the requirements of the Nasdaq Stock Market, or Nasdaq, and certain provisions of the Sarbanes-Oxley Act and the regulations promulgated thereunder, which impose significant compliance obligations upon 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continue to devote significant resources and time to comply with the internal control over financial reporting requirements of the Sarbanes-Oxley Act, including costs associated with auditing and legal fees and accounting and administrative staff. In addition, Section 404(a) under the Sarbanes-Oxley Act requires that we assess the effectiveness of our controls over financial reporting. Our future compliance with the annual internal control report requirement will depend on the effectiveness of our financial reporting and data systems and controls across our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subsidiaries. We cannot be certain that these measures will ensure that we design, implement and maintain adequate controls over our financial processes and reporting in the future. Any failure to implement required new or improved controls, or difficulties encountered in their implementation or operation, could harm our operating results, cause us to fail to meet our financial reporting obligations, or cause us to suffer adverse regulatory consequences or violate applicable stock exchange listing rules. Inadequate internal controls could also cause investors to lose confidence in our reported financial information, which could have a negative effect on the trading price of our stock and our access to capital.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as long as we are an “emerging growth company” under the JOBS Act or remain a non-accelerated filer, we will not be required to comply with Section 404(b) of the Sarbanes-Oxley Act, which would require our independent auditors to issue an opinion on their audit of our internal control over financial reporting, until the later of the year following our first annual report required to be filed with the SEC and the date we are no longer an “emerging growth company” and cease to be a non-accelerated filer. If, once we are required to comply with Section 404(b) under the Sarbanes-Oxley Act, our independent registered public accounting firm cannot provide an unqualified attestation report on the effectiveness of our internal control over financial reporting, investor confidence and, in turn, the market price of our common stock, could decline.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The design of our disclosure controls and procedures can only provide reasonable assurance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inaccurate or unfavorable research about our business, our stock price and trading volume could decline.</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If one or more of the analysts who cover us were to downgrade our stock or publish inaccurate or unfavorable research about our business, our stock price would likely decline. If one or more of these analysts were to cease coverage of us or fail to publish reports on us regularly, demand for our stock could decrease, which might cause our stock price and trading volume to decline and may also impair our ability to expand our business with existing customers and attract new customers.</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stakeholder expectations regarding environmental, social, and governance matters may cause us to incur expenses and liabilities or otherwise adversely impact our business, financial condition, or operations.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Companies across industries are facing increasing scrutiny from a variety of stakeholders related to their environmental, social, and governance, or ESG, practices. Expectations regarding voluntary ESG initiatives and disclosures may result in increased costs (including but not limited to increased costs related to compliance, stakeholder engagement, contracting and insurance), changes in demand for certain offerings, enhanced compliance or disclosure obligations, or other adverse impacts to our business, financial condition, or results of operations.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For example, certain statements in our voluntary disclosures may be based on assumptions, estimates, hypothetical expectations, or third-party information. Additionally, expectations around the Company’s management of ESG matters continues to evolve rapidly, in many instances due to factors that are out of our control. In addition, we may commit to certain initiatives or goals and we may not ultimately be able to achieve such commitments or goals due to factors that are within or outside of our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control. Moreover, actions or statements that we may take based on based on expectations, assumptions, or third-party information that we currently believe to be reasonable may subsequently be determined to be erroneous or be subject to misinterpretation. Even if this is not the case, our current actions may subsequently be determined to be insufficient by various stakeholders, and we may be subject to investor or regulator engagement on our ESG initiatives and disclosures, even if such initiatives are currently voluntary.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new ESG rules and regulations have been adopted and may continue to be introduced in various states and other jurisdictions. Our failure to comply with any applicable rules or regulations could lead to penalties and adversely impact our reputation, customer attraction and retention, access to capital and employee retention.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to offset future taxable income may be subject to certain limitations.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we had net operating loss, or NOL, carryforwards of $37.6 million for federal income tax purposes and $26.0 million for state income tax purposes, which may be available to offset our future taxable income, if any. Our federal NOL carryforwards are not subject to expiration, but may generally only be used to offset 80% of future taxable income in a given year. Our state NOL carryforwards begin to expire in 2028. Our state NOL carryforwards could expire unused, to the extent subject to expiration, and be unavailable to offset future taxable income.</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Sections 382 and 383 of the Code, a corporation that undergoes an “ownership change” is subject to limitations on its ability to use its pre-change NOL and tax credit carryforwards to offset future taxable income and income taxes, respectively. For these purposes, an ownership change generally occurs where the aggregate change in stock ownership of one or more stockholders or groups of stockholders owning at least 5% of a corporation’s stock exceeds 50 percentage points (by value) over a rolling three-year period. Similar rules may apply under state tax laws. We completed an ownership change analysis pursuant to Section 382 of the Code through our taxable year ended December 31, 2023, and determined we experienced an ownership change on May 18, 2023 in connection with the Private Placement of Series A Redeemable Convertible Preferred Stock. Our ability to utilize our NOL carryforwards and other tax attributes to offset future taxable income or income taxes is limited as a result of such ownership change. We may experience ownership changes in the future as a result of future transactions in our stock, some of which may be outside our control. If we undergo ownership changes in the future, our ability to use our NOL carryforwards could be further limited.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design and assess our program based on the National Institute of Standards and Technology Cybersecurity Framework, or NIST CSF. This does not imply that we meet any particular technical standards, specifications, or requirements, only that we use the NIST CSF as a guide to help us identify, assess, and manage cybersecurity risks relevant to our business.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cybersecurity risk management program include but are not limited to the following:</w:t>
      </w:r>
    </w:p>
    <w:p>
      <w:pPr>
        <w:spacing w:after="0" w:line="117" w:lineRule="exact"/>
        <w:rPr>
          <w:sz w:val="20"/>
          <w:szCs w:val="20"/>
          <w:color w:val="auto"/>
        </w:rPr>
      </w:pPr>
    </w:p>
    <w:p>
      <w:pPr>
        <w:jc w:val="center"/>
        <w:ind w:left="5540" w:right="1360" w:hanging="5023"/>
        <w:spacing w:after="0" w:line="783" w:lineRule="auto"/>
        <w:tabs>
          <w:tab w:leader="none" w:pos="10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risks from cybersecurity threats to our critical systems and information;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86" w:lineRule="exact"/>
        <w:rPr>
          <w:sz w:val="20"/>
          <w:szCs w:val="20"/>
          <w:color w:val="auto"/>
        </w:rPr>
      </w:pPr>
    </w:p>
    <w:p>
      <w:pPr>
        <w:ind w:left="1020" w:right="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technology team principally responsible for managing (1) our cybersecurity risk assessment processes, (2) our security controls, and (3) our response to cybersecurity incidents;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with subject matter expertise, where appropriate, to assess, test or otherwise assist with aspects of our security processes;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identified cybersecurity threats that have materially affected or are reasonably likely to materially affect us, including our operations, business strategy, results of operations, or financial condition. For more information, see the section titled “Risk Factor—Risks Related to Our Business— We rely significantly on the use of information technology. Cybersecurity risks – any technology failures causing a material disruption to operational technology or cyber-attacks on our systems affecting our ability to protect the integrity and security of customer and employee information – could harm our reputation and/or could disrupt our operations and negatively impact our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oversight of cybersecurity risks, including oversight of management’s implementation of our cybersecurity risk management program.</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receives periodic reports from management on our cybersecurity risks. In addition, management updates the Audit Committee, where it deems appropriate, regarding any cybersecurity incidents it considers to be significant or potentially significant.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reports to the full Board regarding its activities, including those related to cybersecurity. The full Board also receives briefings from management on our cyber risk management program. Board members receive presentations on cybersecurity topics from internal information technology staff or external experts as part of the Board’s continuing education on topics that impact public companies.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team, including the Director of Information Technology, Chief Operating Officer, Chief Financial Officer, and Principal Accounting Officer,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management team collectively has over 30 years of experience managing cybersecurity risks and is knowledgeable about our products and systems.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team takes steps to stay informed about and monitors efforts to prevent, detect, mitigate, and remediate cybersecurity risks and incidents through various means, which may include briefings from internal information technology personnel; threat intelligence and other information obtained from governmental, public or private sources, including external consultants engaged by us; and alerts and reports produced by security tools deployed in the IT environment.</w:t>
      </w:r>
    </w:p>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occupy approximately 35,000 square feet of office and manufacturing space at our corporate headquarters in Orlando, Florida, increasing to 45,000 square feet in September 2025, under a lease that expires in May 2029.</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14, 2023, stockholders Ryan Schaper and Christopher P. Bolster filed a Verified Amended Class Action Complaint (“Amended Complaint”) against the Company and certain of its officers and members of the board of directors (“Defendants”) in the matter captioned Schaper v. LENSAR, Inc., et al., Case No. 1:23-cv-00692-JLH (D. Del.). On January 12, 2024, Lead Plaintiffs filed a Verified Second Amended Class Action Complaint, or the Second Amended Complaint.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as Defendants filed a motion to dismiss on February 26, 2024. On November 18, 2024, the court granted our motion to dismiss; the complaint was dismissed, and the case was closed during the three months ended December 31, 2024.</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Mine Safety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ind w:right="178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rPr>
          <w:sz w:val="20"/>
          <w:szCs w:val="20"/>
          <w:color w:val="auto"/>
        </w:rPr>
      </w:pPr>
      <w:r>
        <w:rPr>
          <w:rFonts w:ascii="Times New Roman" w:cs="Times New Roman" w:eastAsia="Times New Roman" w:hAnsi="Times New Roman"/>
          <w:sz w:val="18"/>
          <w:szCs w:val="18"/>
          <w:color w:val="auto"/>
        </w:rPr>
        <w:t>Our common stock is traded on The Nasdaq Stock Market under the symbol “LNSR.”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31, 2025, there were approximately 80 holders of record of our common stock. This number does not include “street name” or beneficial holders, whose shares are held of record by banks, brokers, financial institutions and other nominees.</w:t>
      </w:r>
    </w:p>
    <w:p>
      <w:pPr>
        <w:spacing w:after="0" w:line="266" w:lineRule="exact"/>
        <w:rPr>
          <w:sz w:val="20"/>
          <w:szCs w:val="20"/>
          <w:color w:val="auto"/>
        </w:rPr>
      </w:pPr>
    </w:p>
    <w:p>
      <w:pPr>
        <w:ind w:right="29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Recent Sales of Unregistered Securities; Purchases of Equity Securities by the Issuer or Affiliated Purchaser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do not anticipate paying any cash dividends in the foreseeable future. Instead, we anticipate that all of our earnings will be used to provide working capital, to support our operations and to finance the growth and development of our business. Any future determination to declare cash dividends will be made at the discretion of our board of directors and will depend on our financial condition, results of operations, capital requirements, general business conditions and other factors that our board of directors may deem relevant. In addition, if we were to enter into a credit facility in the future, we anticipate that the terms of such facility could limit or prohibit our ability to pay dividends.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80" w:lineRule="exact"/>
        <w:rPr>
          <w:sz w:val="20"/>
          <w:szCs w:val="20"/>
          <w:color w:val="auto"/>
        </w:rPr>
      </w:pPr>
    </w:p>
    <w:p>
      <w:pPr>
        <w:jc w:val="both"/>
        <w:ind w:right="20"/>
        <w:spacing w:after="0" w:line="245" w:lineRule="exact"/>
        <w:rPr>
          <w:sz w:val="20"/>
          <w:szCs w:val="20"/>
          <w:color w:val="auto"/>
        </w:rPr>
      </w:pPr>
      <w:r>
        <w:rPr>
          <w:rFonts w:ascii="Times New Roman" w:cs="Times New Roman" w:eastAsia="Times New Roman" w:hAnsi="Times New Roman"/>
          <w:sz w:val="18"/>
          <w:szCs w:val="18"/>
          <w:color w:val="auto"/>
        </w:rPr>
        <w:t>The information required by Item 5 of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regarding equity compensation plans is incorporated herein by reference to Item 12 of Part III of this Annual Report.</w:t>
      </w:r>
    </w:p>
    <w:p>
      <w:pPr>
        <w:spacing w:after="0" w:line="3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7" w:name="page78"/>
    <w:bookmarkEnd w:id="77"/>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the related notes included elsewhere in this Annual Report. Some of the information contained in this discussion and analysis or set forth elsewhere in this Annual Report, including information with respect to our plans and strategy for our business, includes forward-looking statements that involve risks, uncertainties and other factors that could cause actual results to differ materially from those made, projected or implied in the forward-looking statements. Please see the “Risk Factors Summary” and “Risk Factors” sections for a discussion of the uncertainties, risks and assumptions associated with these statements. A discussion of the year ended December 31, 2023 compared to the year ended December 31, 2022 has been reported previously in our Annual Report on Form 10-K for the fiscal year ended December 31, 2023, filed with the SEC on March 4, 2024, under the heading “Management’s Discussion and Analysis of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commercial-stage medical device company focused on designing, developing and marketing advanced laser systems for the treatment of cataracts and the management of pre-existing or surgically induced corneal astigmatism. Our systems incorporate a range of proprietary technologies designed to assist the surgeon in obtaining better visual outcomes, efficiency and reproducibility by providing advanced imaging, simplified procedure planning, efficient design and precision. We believe the cumulative effect of these technologies results in a laser system that can be quickly and efficiently integrated into a surgeon’s existing practice, is easy to use and provides surgeons the ability to deliver improved visual outcomes more efficiently.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current product portfolio includes the LENSAR Laser System, or LLS, and the ALLY Robotic Cataract Laser Treatment System™, or ALLY System, (collectively, the Systems) and its associated consumable components. The consumable portion of the system consists of a disposable patient interface device kit, or PID kit, and the system also requires a procedure license. Each procedure on each system requires the use of a PID kit. The PID kit includes a suction ring, vacuum filter and fluidic connection that are designed to facilitate placement of the laser while minimizing a patient’s discomfort, intraocular pressure and trauma to the retina and maintaining corneal integrity. The procedure license is downloaded onto the system as required or as purchased by the customer. The system will not perform a procedure without a valid license. We sell licenses individually and also offer licenses in a subscription package with minimum monthly obligations and the ability to increase procedure numbers as the practice grows to address occasional increases in demand. We believe this structure allows the surgeon to implement a budget while also providing us with a predictable revenue stream.</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focused on continuous innovation and have launched our proprietary next generation ALLY System. The ALLY System is designed to transform premium cataract surgery by utilizing our advanced robotic technologies with the ability to perform the entire procedure in a sterile operating room or in-office surgical suite, delivering operational efficiencies and reducing overhead. Our ALLY System received clearance from the FDA in June 2022, and we executed a controlled and targeted initial launch of the ALLY System beginning in August 2022. The ALLY System is available to all U.S. and EU cataract surgeons and has also received regulatory clearance in India, Taiwan, as well as certain other countries. In 2022, we transitioned from manufacturing and selling our LLS to focus on our ALLY System. In addition, we are pursuing additional marketing or certification applications through our distributors in South Korea and China, but this process could take multiple years. Our growth, market presence and ability to sell the ALLY System will depend on whether the ALLY System receives additional regulatory clearances or certifications and the timing of these clearances or certifications, among other factors. Our future revenue and cash flows will depend on, among other factors, our installed base of Systems and the timing of and applicable clearances for our ALLY System.</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built and are continuing to grow our commercial organization, which includes a direct sales force in the United States and distributors in Germany, China, India, South Korea and other targeted international markets. We believe there is significant opportunity for us to expand our presence in these countries and other markets and regions, subject to applicable regulatory clearance or certification. In the United States, we sell our products through a direct sales organization that, as of December 31, 2024, consisted of approximately 65 commercial professionals, including regional sales managers, clinical applications and outcomes specialists, field service, marketing, technical and customer support personnel. We manufacture our Systems at a facility in Orlando, Florida. We purchase custom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8" w:name="page79"/>
    <w:bookmarkEnd w:id="78"/>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off-the-shelf components from a number of suppliers, including some single-source suppliers. We purchase the majority of our components and major assemblies through purchase orders with limited long-term supply agreements and generally do not maintain large volumes of finished goods. We strive to maintain enough inventory of our various component parts to avoid the impact of potential disruptions in the supply chain; however, availability of these components can be outside of our control.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increased from $42.2 million for the year ended December 31, 2023 to $53.5 million for the year ended December 31, 2024, representing an increase of 27%. Our net losses were $14.4 million and $31.4 million for the years ended December 31, 2023 and 2024, respectively. Our total installed base of LLS and ALLY Systems was approximately 385 as of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to Consider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a highly competitive environment that involves a number of risks, some of which are beyond our control. We are subject to risks common to medical device companies, including risks inherent in:</w:t>
      </w:r>
    </w:p>
    <w:p>
      <w:pPr>
        <w:spacing w:after="0" w:line="54" w:lineRule="exact"/>
        <w:rPr>
          <w:sz w:val="20"/>
          <w:szCs w:val="20"/>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laser system development and commercialization efforts;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studies;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regulatory actions and marketing approvals or certifications;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network of international distributors and a network of suppliers;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coverage and reimbursement by government or other third-party payors for procedures using our products;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and ability to pay for procedures with significant costs not covered by or reimbursable through government or other third-party payors;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of patent and proprietary rights;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future capital;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safety requirements and suggestions regarding patient treatment as required or suggested by health care authorities;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certification by regulatory agencies, including the FDA, or notified bodies for our ALLY System;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shortages, labor market shifts and price increases resulting from various macroeconomic factors;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associated with our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practices in jurisdictions where procedures using our Systems are performed, such as South Korea.</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provide assurance that we will generate significant revenues or achieve and sustain profitability in the future. In addition, we can provide no assurance that we will have sufficient funding to meet our future capital requirements.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revenues and operating expenses are also difficult to predict and depend on several factors, including the level of ongoing research and development requirements necessary to further develop and/or obtain further regulatory clearance or certification of our ALLY System, the number of Systems we manufacture, sell, and lease on an annual basis, the availability of capital and direction from regulatory agencies or notified bodies, which are difficult to predict. We may be able to control the timing and level of research and development and selling, general and administrative expenses, but many of these expenditures will occur irrespective of our actions due to contractually committed activities and payments.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Global economic uncertainty and other factors have impeded global supply chains, resulted in longer lead times and delays in procuring component parts and raw materials, and resulted in inflationary cost increases in certain raw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materials, labor and transportation. We expect these inflationary impacts to continue for the foreseeable future. A high rate of inflation in the future may have an adverse effect on our ability to maintain and increase our gross margin or decrease our operating expenses as a percentage of our revenues if our selling prices of our products do not increase as much or more than our increase in costs.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these and other factors, our historical results are not necessarily indicative of future performance, and any interim results we present are not indicative of the results that may be expected for the full fiscal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revenue comprises product revenue, service revenue and lease revenue. We derive product revenue from the sale of our Systems and sales of our PIDs and procedure licenses to our surgeon customers and to our distributors outside the United States. A PID and procedure license, which may also be referred to as an application license, is required to perform each procedure using our laser system. A procedure license represents a one-time right to utilize the system surgical application in connection with a surgery procedure. Service revenue is derived from the sale of extended warranties for our Systems that provide additional maintenance and service beyond our standard limited warranty. In some situations, we lease our Systems to surgeons, primarily through non-cancellable leases with a fixed lease payment. The following table provides information about revenue and revenue attributable to recurring sources, which we consider to be all components of our revenue except for sales of our Systems: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5"/>
                <w:szCs w:val="15"/>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160" w:type="dxa"/>
            <w:vAlign w:val="bottom"/>
            <w:vMerge w:val="continue"/>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System</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13,345</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Recurring source revenue: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Procedure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27,720</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recurring source revenue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40,149</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53,494</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42,164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Recurring source revenue %</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-465455</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-465455</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-173990</wp:posOffset>
            </wp:positionV>
            <wp:extent cx="514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-156845</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-173990</wp:posOffset>
            </wp:positionV>
            <wp:extent cx="514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-156845</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Total cost of revenue comprises cost of product 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cost of lease revenue and cost of service revenue. Cost of product revenue primarily consists of the raw materials used in the manufacture of our products, plant overhead, personnel costs, such as salaries and wages, including stock-based compensation and benefits, packaging costs, depreciation expense, freight and other related costs, which include shipping, inspection and excess and obsolete inventory charges. Cost of service revenue primarily consists of costs associated with providing maintenance services under our standard limited warranty as well as extended warranty contracts. Cost of lease revenue primarily consists of depreciation expense associated with leased equipment and shipping costs associated with delivery of these Systems.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expenses consist primarily of personnel costs, such as salaries and wages, including stock-based compensation and benefits, professional fees, marketing, insurance, travel and other expenses. We are continuing to grow our sales efforts in the United States. We expect our selling, general and administrative expenses to continue to increase in association with our planned growth.</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engineering, product development, clinical studies to develop and support our products, personnel costs, such as salaries and wages, including stock-based compensation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8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and benefits, regulatory expenses, and other costs associated with products and technologies that are in development. Currently, our research and development expense primarily consists of costs associated with the continued development of our next generation system, the ALLY System, which combines all of the features from our LLS with a dual-modality laser, integrated in a small, compact cataract treatment system that is designed to allow surgeons to perform a sterile laser-assisted cataract surgery in a single operating room or in-office surgical suite.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with finite useful lives consist primarily of acquired trademarks, acquired technology, and customer relationships. Acquired trademarks and acquired technology are amortized on a straight-line basis over their estimated useful lives of 15 to 20 years. Customer relationships are amortized on a straight-line basis or a double declining basis over their estimated useful lives up to 20 years, based on the method that better represents the economic benefits to be obtained.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2024, the Company notified its third-party supplier of the phacoemulsification component in the ALLY System the Company would no longer pursue integration with the supplier’s phacoemulsification unit. This resulted in a triggering event impacting certain acquired technology intangible assets and contract liabilities associated with the phacoemulsification component. During the three months ended June 30, 2024, the Company determined that the carrying value of the intangible assets exceeded the estimated recoverable amount of $0 and recorded an impairment of intangible assets of $3.9 million. The impairment charge was offset with the write-off of contract liabilities associated with the intangible assets of $0.2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consists of the change in estimated fair value of the warrant liabilities using recently quoted market prices of the Company's common stock and the Black-Scholes option pricing model.</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Changes in our tax rates or exposure to additional tax liabilities could adversely affect our earnings and financial condition. Beginning in 2022, the Tax Cuts and Jobs Act eliminated the option of expensing all research and development expenditures in the current year, instead requiring amortization over five years for expenditures in the United States and over fifteen years for foreign-based expenditures, pursuant to Section 174 of the Code, or Section 174. The impact of Section 174 on the Company’s cash from operations depends primarily on the amount of research and development expenditures incurred. Section 174 has not had a material impact on the Company since its effective date. The Company will continue to review the application of Section 174 (together with any relevant Internal Revenue Service guidance, proposed legislation and Treasury Department regulations relevant thereto) and any impact on the Company’s cash from operations, and will adjust the estimates as necessary.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historically experienced seasonal variations in the sales and leases of our products, with our fourth quarter typically being the strongest and the first quarter being the slowest. We believe these seasonal variations are consistent across our industry.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Years Ended December 31, 2024 and 2023</w:t>
      </w:r>
    </w:p>
    <w:p>
      <w:pPr>
        <w:spacing w:after="0" w:line="11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0"/>
        </w:trPr>
        <w:tc>
          <w:tcPr>
            <w:tcW w:w="55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from Prior</w:t>
            </w:r>
          </w:p>
        </w:tc>
        <w:tc>
          <w:tcPr>
            <w:tcW w:w="0" w:type="dxa"/>
            <w:vAlign w:val="bottom"/>
          </w:tcPr>
          <w:p>
            <w:pPr>
              <w:spacing w:after="0"/>
              <w:rPr>
                <w:sz w:val="1"/>
                <w:szCs w:val="1"/>
                <w:color w:val="auto"/>
              </w:rPr>
            </w:pPr>
          </w:p>
        </w:tc>
      </w:tr>
      <w:tr>
        <w:trPr>
          <w:trHeight w:val="142"/>
        </w:trPr>
        <w:tc>
          <w:tcPr>
            <w:tcW w:w="55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2"/>
                <w:szCs w:val="12"/>
                <w:color w:val="auto"/>
              </w:rPr>
            </w:pPr>
          </w:p>
        </w:tc>
        <w:tc>
          <w:tcPr>
            <w:tcW w:w="88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34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Year %</w:t>
            </w:r>
          </w:p>
        </w:tc>
        <w:tc>
          <w:tcPr>
            <w:tcW w:w="0" w:type="dxa"/>
            <w:vAlign w:val="bottom"/>
          </w:tcPr>
          <w:p>
            <w:pPr>
              <w:spacing w:after="0"/>
              <w:rPr>
                <w:sz w:val="1"/>
                <w:szCs w:val="1"/>
                <w:color w:val="auto"/>
              </w:rPr>
            </w:pPr>
          </w:p>
        </w:tc>
      </w:tr>
      <w:tr>
        <w:trPr>
          <w:trHeight w:val="20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41,065</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31,643</w:t>
            </w:r>
          </w:p>
        </w:tc>
        <w:tc>
          <w:tcPr>
            <w:tcW w:w="1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Lease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5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49"/>
        </w:trPr>
        <w:tc>
          <w:tcPr>
            <w:tcW w:w="5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53,494</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42,164</w:t>
            </w:r>
          </w:p>
        </w:tc>
        <w:tc>
          <w:tcPr>
            <w:tcW w:w="15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197"/>
        </w:trPr>
        <w:tc>
          <w:tcPr>
            <w:tcW w:w="55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16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revenue (excluding intangible amortization):</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18,254</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13,902</w:t>
            </w:r>
          </w:p>
        </w:tc>
        <w:tc>
          <w:tcPr>
            <w:tcW w:w="1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Lease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5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9"/>
        </w:trPr>
        <w:tc>
          <w:tcPr>
            <w:tcW w:w="5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27,643</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21,057</w:t>
            </w:r>
          </w:p>
        </w:tc>
        <w:tc>
          <w:tcPr>
            <w:tcW w:w="15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-882015</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-864870</wp:posOffset>
            </wp:positionV>
            <wp:extent cx="60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-882015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-864870</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for the year ended December 31, 2024 was $53.5 million, an increase of 27% when compared to total revenue of $42.2 million for the year ended December 31,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revenue for the year ended December 31, 2024 compared to the year ended December 31, 2023 increased by $9.4 million, or 30%. The increase was primarily attributable to higher Systems sales (including the ability to sell the ALLY System in the EU beginning in August 2024), which amounted to a $3.8 million increase, and increased procedure volume, which amounted to a $5.6 million increase, during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procedure volume:</w:t>
      </w:r>
    </w:p>
    <w:p>
      <w:pPr>
        <w:spacing w:after="0" w:line="11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10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Q1</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39,486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38,901</w:t>
            </w: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Q2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35,349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33,359</w:t>
            </w:r>
          </w:p>
        </w:tc>
        <w:tc>
          <w:tcPr>
            <w:tcW w:w="8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42,231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28,453</w:t>
            </w: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Q4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45,586</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37,414</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31,400</w:t>
            </w:r>
          </w:p>
        </w:tc>
        <w:tc>
          <w:tcPr>
            <w:tcW w:w="80" w:type="dxa"/>
            <w:vAlign w:val="bottom"/>
          </w:tcPr>
          <w:p>
            <w:pPr>
              <w:spacing w:after="0"/>
              <w:rPr>
                <w:sz w:val="18"/>
                <w:szCs w:val="18"/>
                <w:color w:val="auto"/>
              </w:rPr>
            </w:pPr>
          </w:p>
        </w:tc>
      </w:tr>
      <w:tr>
        <w:trPr>
          <w:trHeight w:val="250"/>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procedure volume</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169,506</w:t>
            </w: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137,012</w:t>
            </w: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132,113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-24765</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revenue for the year ended December 31, 2024 compared to the year ended December 31, 2023 increased by $0.8 million.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Geographically, the United States represented 63% and 71% of product and service revenues for the years ended December 31, 2024 and 2023,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Lease revenue for the year ended December 31, 2024 compared to the year ended December 31, 2023 increased by $1.1 million, or 17%, primarily due to increased leased systems. Lease revenue is generated by Systems placements primarily in the United States.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cost of revenue for the year ended December 31, 2024 was $27.6 million, an increase of 31% when compared to total cost of revenue of $21.1 million for the year ended December 31, 2023.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product revenue for the year ended December 31, 2024 compared to the year ended December 31, 2023 increased by $4.4 million, or 31%. The increase was primarily attributable to the number of Systems sales, which have a lower gross margin than procedure licenses, as well as the full costing of raw materials for ALLY Systems in 2024, whereas some raw materials utilized in manufacturing were previously charged to research and development expenses.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service revenue for the year ended December 31, 2024 compared to the year ended December 31, 2023 increased by $1.4 million or 28%. This increase was primarily attributable to the increased number of Systems placements.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lease revenue for the year ended December 31, 2024 compared to the year ended December 31, 2023 increased by $0.8 million, or 40%, primarily due to an increase in the number of newly leased Systems between the years, which have a higher depreciation cost than older and some fully depreciated leased Systems.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for the year ended December 31, 2024 were $26.5 million,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$0.4 million, or 1%, compared to $26.1 million for the year ended December 31, 2023. General and administrative expenses increased in the period due to recording an Employee Retention Credit, or ERC, of $1.4 million in the year ended December 31, 2023, which significantly reduced expenses in 2023. Excluding the ERC, selling, general and administrative expenses decreased due to lower stock-based compensation expense and lower cash-based general and administrative expenses partially offset by a 16% increase in selling and marketing expenses in 2024 supporting the continued ALLY System growth in placements and procedures. We expect our selling and marketing expenses will continue to increase in the future to support the continued growth in ALLY System placements.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expenses were $5.3 million for the year ended December 31, 2024, a decrease of $0.8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 compared to $6.1 million for the year ended December 31, 2023.</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Amortization of Intangible Assets</w:t>
      </w:r>
      <w:r>
        <w:rPr>
          <w:rFonts w:ascii="Times New Roman" w:cs="Times New Roman" w:eastAsia="Times New Roman" w:hAnsi="Times New Roman"/>
          <w:sz w:val="18"/>
          <w:szCs w:val="18"/>
          <w:color w:val="auto"/>
        </w:rPr>
        <w:t>. Amortization of intangible assets was approximately $1.0 million for the year ended December 31, 2024,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with the year ended December 31, 2023.</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Impairment of Intangible Assets. </w:t>
      </w:r>
      <w:r>
        <w:rPr>
          <w:rFonts w:ascii="Times New Roman" w:cs="Times New Roman" w:eastAsia="Times New Roman" w:hAnsi="Times New Roman"/>
          <w:sz w:val="18"/>
          <w:szCs w:val="18"/>
          <w:color w:val="auto"/>
        </w:rPr>
        <w:t>In April 2024, the Company notified its third-party supplier of the phacoemulsification component in the ALLY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would no longer pursue integration with the supplier’s phacoemulsification unit. This resulted in a triggering event impacting certain acquired technology intangible assets and contract liabilities associated with the phacoemulsification component. During the year ended December 31, 2024, the Company determined that the carrying value of the intangible assets exceeded the estimated recoverable amount and recorded an impairment of intangible assets of $3.9 million. The impairment charge was offset with the write-off of contract liabilities associated with the intangible assets of $0.2 million.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 Net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Non-operating income and expenses, net for the year ended December 31, 2024 were $20.7 million as compared to $2.2 million for the year ended December 31, 2023. Non-operating income and expenses consisted primarily of the change in fair value of warrant liabilities in each period.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prepare and analyze operating and financial data and non-GAAP measures to assess the performance of our business, make strategic and offering decisions and build our financial projections. The key non-GAAP measures we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EBITDA and Adjusted EBITDA, are reconciled to net loss below for the years ended December 31, 2024 and 2023.</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5"/>
                <w:szCs w:val="15"/>
                <w:color w:val="auto"/>
              </w:rPr>
            </w:pPr>
          </w:p>
        </w:tc>
        <w:tc>
          <w:tcPr>
            <w:tcW w:w="256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140" w:type="dxa"/>
            <w:vAlign w:val="bottom"/>
            <w:vMerge w:val="continue"/>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(31,404 )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(14,383 )</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 income</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(660 )</w:t>
            </w: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(698 )</w:t>
            </w: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Depreciation expense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expense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(28,133 )</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(11,566 )</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Add: Stock-based compensation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Change in fair value of warrant liabilities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Add: Impairment of intangible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Employee retention credit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(1,368 )</w:t>
            </w:r>
          </w:p>
        </w:tc>
        <w:tc>
          <w:tcPr>
            <w:tcW w:w="0" w:type="dxa"/>
            <w:vAlign w:val="bottom"/>
          </w:tcPr>
          <w:p>
            <w:pPr>
              <w:spacing w:after="0"/>
              <w:rPr>
                <w:sz w:val="1"/>
                <w:szCs w:val="1"/>
                <w:color w:val="auto"/>
              </w:rPr>
            </w:pPr>
          </w:p>
        </w:tc>
      </w:tr>
      <w:tr>
        <w:trPr>
          <w:trHeight w:val="20"/>
        </w:trPr>
        <w:tc>
          <w:tcPr>
            <w:tcW w:w="6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(4,543 )</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-170815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EBITDA is defined as net loss before interest expense, interest income, income tax expense, depreciation and amortization expenses. EBITDA is a non-GAAP financial measure. EBITDA is included in this filing because we believe that EBITDA provides meaningful supplemental information for investors regarding the performance of our business and facilitates a meaningful evaluation of actual results on a comparable basis with historical results. Adjusted EBITDA is also a non-GAAP financial measure. We believe Adjusted EBITDA, which is defined as EBITDA and further excluding stock-based compensation expense, change in fair value of warrant liabilities, impairment of intangible assets and the ERC, provides meaningful supplemental information for investors when evaluating our results and comparing us to peer companies, as stock-based compensation expense and change in fair value of warrant liabilities are significant non-cash charges and impairment of intangible assets is a non-cash charge that is not indicative of our core operating results and the ERC is not recurring. We use these non-GAAP financial measures in order to have comparable financial results to analyze changes in our underlying business from quarter to quarter. However, there are a number of limitations related to the use of non-GAAP measures and their nearest GAAP equivalents. For example, other companies may calculate non-GAAP measures differently, or may use other measures to calculate their financial performance and, therefore, any non-GAAP measures we use may not be directly comparable to similarly titled measures of other companies. Investors should not consider our non-GAAP financial measures in isolation or as a substitute for an analysis of our results as reported under GAAP.</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2024 and 2023, we had net losses of $31.4 million and $14.4 million, respectively, and, as of December 31, 2024, we had an accumulated deficit of $143.3 million. The change in fair value of warrant liabilities had a significant impact of $(21.4) million on net loss in the twelve months ended December 31, 2024, and it is difficult to predict how the fair value of warrant liabilities will impact our future results. The change in fair value of the warrant liability was a result of an increase in the Company’s stock price of approximately 155% during 2024. We expect to continue to incur losses and operating cash outflows for the near-term future as we continue to build our commercial and clinical infrastructure and pursue further regulatory clearances of our ALLY System.</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liquidity needs will be largely determined by our ability to successfully commercialize our products and the progression, additional regulatory clearances or certifications and launch of the ALLY System in additional jurisdictions in the future.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2022, we transitioned from manufacturing and selling our LLS to focus on our ALLY System. The ALLY System has received regulatory approval in the United States, EU, India, Taiwan, as well as certain other countries. In addition, we are pursuing additional marketing or certification applications through our distributors in South Korea or China, but this process could take multiple years. Our growth, market presence and ability to sell the ALLY System will depend on whether the ALLY System receives additional regulatory clearances or certifications and the timing of these clearance or certifications, among other factors. In addition, our future revenue and cash flows will depend on, among other factors, our installed base of Systems and the timing of and applicable clearances for our ALLY System.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selling, general and administrative expenses to increase from current levels to support the expansion efforts in the U.S. and internationally for the ALLY System. The successful commercialization of the ALLY System depends in part on the Company’s ability to produce the ALLY System in sufficient quantities, within requested timing and at an acceptable price to satisfy customer demand.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our cash and cash equivalents, cash from the sale and lease of our Systems and the sale of our consumables. We maintain cash balances with financial institutions in excess of insured limits. As discussed above, ongoing global supply chain disruptions, inflationary pressures and other macroeconomic conditions have negatively affected our capital requirements and more operating capital may be needed to fund our operations in the future. As of December 31, 2024, we expect our current cash, cash equivalents, and investments, together with cash generated from the future sale and lease of our products, to be sufficient to operate our business. Based on our current operating plan, we believe we have sufficient cash and cash equivalents on hand to support current operations for at least one year from the date of issuance of the financial statements included in this Annual Report.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future, we may need to raise additional capital through equity or debt financings, borrowings under credit facilities or from other sources to continue our operations. We may issue securities, including common stock, preferred stock, warrants, and/or debt securities through private placement transactions or registered public offerings in the future. If we issue equity securities to raise additional capital, our existing stockholders may experience dilution, and the new equity securities may have rights, preferences and privileges senior to those of our existing stockholders. 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our revenue and expenses to increase in connection with our on-going activities, particularly as we continue to execute on our growth strategy, including expansion of our sales and customer support teams, as well as increasing our fleet of equipment under lease. The primary factors determining our cash needs are the funding of operations, which we expect to continue to expand as the business grows, and enhancing our product offerings through the commercialization of the ALLY System. Our future liquidity needs, and ability to address those needs, will largely be determined by the success of our commercial efforts and those of our distributors; the ongoing impact of global macroeconomic conditions and supply chain issues on our business; and the timing, scope and magnitude of our commercial and development activities.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2023, we entered into a Securities Purchase Agreement, or SPA, with NR-GRI Partners, LP, or NR-GRI, whereby we sold to NR-GRI, for an aggregate purchase price of $20.0 million, an aggregate of 20,000 shares of a newly established series of preferred stock designated as “Series A Convertible Preferred Stock, par value $0.01 per share”, which has a stated value of $1,000 per share and is convertible into shares of the Company’s common stock, and warrants, the Warrants, to purchase an aggregate of 4.4 million shares of our common stock, the Private Placement. Fifty percent of the Warrants have an exercise price equal to $2.45 per share, and 50% of the Warrants have an exercise price equal to $3.0625 per share, subject in each instance to adjustments as provided under the terms of the Warrants. Net proceeds from the transaction were approximately $19.1 million after offering expenses. The Series A Redeemable Convertible Preferred Stock, if converted, would result in the issuance of 7.9 million shares of our common stock. Additionally, the terms of our Series A Redeemable Convertible Preferred Stock restrict our ability to incur debt in excess of $1.0 million or issue new shares in an amount greater than 10% of our outstanding common stock as of May 18, 2023 without the approval of the holder of the Series A Redeemable Convertible Preferred Stock (subject to certain exceptions).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raise additional funds will depend, among other factors, on financial, economic and market conditions, many of which are outside of our control, and we may be unable to raise financing when needed, or on terms favorable to us. If the necessary funds are not available from these sources, we may have to delay, reduce or suspend the scope of our sales and marketing efforts, research and development activities, or other components of our operations. Any of these events could adversely affect our ability to achieve our business and financial goals or to achieve or maintain profitability and could have a material adverse effect on our business, financial condition and results of operations. Additionally, the extent and duration of the impact that global economic uncertainty may have on our stock price and on those of other companies in our industry is highly uncertain and may make us look less attractive to investors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there may be a less active trading market for our common stock, our stock price may be more volatile, and our ability to raise capital could be impaired, which could in the future negatively affect our liquidity and financial position.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material contractual obligations and commercial commitments at December 31, 2024 primarily consist of $2.6 million in operating lease liabilities for our facility lease, $0.7 million in lease obligations for additional facility space not recorded on the balance sheet, and $12.2 million in remaining minimum purchase obligations for inventory components for the manufacture and supply of certain components within the next 15 months. Our contractual obligations have increased due to supply chain issues that have necessitated us to enter into longer-term and more expensive per unit contracts to build and source inventory to satisfy the expected commercial demand for the ALLY System, if approved by regulatory authorities or certified by notified bodies in the applicable regions. We expect to meet these requirements through cash and cash equivalents and cash provided by operations. Some of these amounts are based on management’s estimates and assumptions about these obligations, including their duration, timing, anticipated actions by third parties and other factors. Because these estimates and assumptions are necessarily subjective, the obligations we will actually pay in future periods may vary from those described.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for the periods indicated, selected items in our statements of cash flows:</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5"/>
                <w:szCs w:val="15"/>
                <w:color w:val="auto"/>
              </w:rPr>
            </w:pPr>
          </w:p>
        </w:tc>
        <w:tc>
          <w:tcPr>
            <w:tcW w:w="26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040" w:type="dxa"/>
            <w:vAlign w:val="bottom"/>
            <w:vMerge w:val="continue"/>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(2,275 )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(9,659 )</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(2,161 )</w:t>
            </w: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(4,156 )</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-170815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was $2.3 million, consisting primarily of a net loss of $31.4 million and a decrease in net operating assets of $3.0 million, partially offset by non-cash charges of $32.2 million. Non-cash charges primarily consisted of depreciation, amortization, impairment of intangible assets, stock-based compensation, and change in fair value of warrant liabilities. Net operating assets decreased due to accounts receivable and inventories offset with accounts payable and accrued liabilities.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$9.7 million, consisting primarily of a net loss of $14.4 million and a decrease in net operating assets of $7.8 million, partially offset by non-cash charges of $12.5 million. Non-cash charges consisted of depreciation, amortization, stock-based compensation, and change in fair value of warrant liabilities. Net operating assets decreased due to prepaid and other current assets, inventories, and accounts payable offset with accounts receivable, net.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was $2.2 million, which consisted primarily of purchases and maturities of investments.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was $4.2 million, which consisted primarily of purchases of investments and capital expenditures for property and equipment.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was $0.1 million, primarily due to the net proceeds from issuance of common stock under equity incentive plans.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was $19.8 million, primarily due to the net proceeds from issuance of Series A Redeemable Convertible Preferred Stock and Warrants of $19.5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U.S. Generally Accepted Accounting Principles, or GAAP, and the discussion and analysis of our financial condition and operating results require our management to make judgments, assumptions and estimates that affect the amounts reported in our financial statements. Management bases its estimates on historical experience and on various other assumptions it believes to be reasonable under the circumstances, the results of which form the basis for making judgments about the carrying values of assets and liabilities. The impact of accounting estimates and judgments on our financial condition and results of operations due to global macroeconomic conditions has introduced additional uncertainties. We evaluate our estimates and assumptions on an ongoing basis. Actual results may differ from these estimates and such differences may be material.</w:t>
      </w:r>
    </w:p>
    <w:p>
      <w:pPr>
        <w:spacing w:after="0" w:line="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the financial statements. We believe the following accounting policies are the most critical in understanding the estimates and judgments that are involved in preparing our financial statements and the uncertainties that could impact our results of operations, financial condition, and 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Service Revenue Recognition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from the sale of products and services when we transfer control of such promised products and services. The amount of revenue recognized reflects the consideration we expect to be entitled to receive in exchange for these products and services. A five-step model is utilized to achieve the core principle and includes the following steps: (1) identify the customer contract; (2) identify the contract’s performance obligations; (3) determine the transaction price; (4) allocate the transaction price to the performance obligations; and (5) recognize revenue when the performance obligations are satisfied.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principally derive our revenue from the sale and lease of systems and the sale of other related products and services, including PIDs, procedure licenses, and extended warranty service agreements. A procedure license represents a one-time right to utilize the system surgical application in connection with a surgery procedure. Without separately procuring procedure licenses granted by us, either together with the purchase of the system or under separate subsequent contracts, the customer does not have the right to use the surgical software application to perform surgical procedures. Typically, returns are not allowed.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may require significant judgment. Judgment is required to determine the level of interdependency between the system and the sale of other related products and services. We evaluate each product or service promised in a contract to determine whether it represents a distinct performance obligation. A performance obligation is distinct if (1) the customer can benefit from the product or service on its own or with other resources that are readily available to the customer and (2) the product or service is separately identifiable from other promises in the contract.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contracts involving the sale or lease of a system, our performance obligations generally include the system, PID, procedure license, and extended warranty service agreements. In addition, our customer contracts contain provisions for installation and training services, which are not assessed as performance obligations as they are determined to be immaterial promises in the context of the contract and are required for a customer to use the system.</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determined that the system, PID and procedure license are each capable of being distinct because they are each sold separately and the customer can benefit from these products with the other readily available resources that are sold by us. In addition, we have determined each are separately identifiable because the system, PID and procedure license (1) are not highly interdependent or interrelated; (2) do not modify or customize one another; and (3) do not include a significant service of integrating the promised goods into a bundled output. This is because we are able to fulfill each promise in the contract independently of the others and we would be able to fulfill our promise to transfer the system even if the customer did not purchase a PID or procedure license or to fulfill our promise to provide the PID or the procedure license even if the customer acquired the system separately.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extended warranty, unlike our standard product warranty, is a performance obligation because it provides an incremental service that is beyond ensuring the product delivered will be consistent with stated contractual specifications.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a contract contains multiple performance obligations, revenue is allocated to each performance obligation based on its relative standalone selling price.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revenue as the performance obligations are satisfied by transferring control of the product or service to a customer as described below. We record a contract liability, or deferred revenue, when we have an obligation to provide a product or service to the customer and payment is received or due in advance of our performance.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Product revenue. </w:t>
      </w:r>
      <w:r>
        <w:rPr>
          <w:rFonts w:ascii="Times New Roman" w:cs="Times New Roman" w:eastAsia="Times New Roman" w:hAnsi="Times New Roman"/>
          <w:sz w:val="18"/>
          <w:szCs w:val="18"/>
          <w:color w:val="auto"/>
        </w:rPr>
        <w:t>We recognize revenue for the sale of the products at a point in time when control is transferred to customers.</w:t>
      </w:r>
    </w:p>
    <w:p>
      <w:pPr>
        <w:spacing w:after="0" w:line="225" w:lineRule="exact"/>
        <w:rPr>
          <w:sz w:val="20"/>
          <w:szCs w:val="20"/>
          <w:color w:val="auto"/>
        </w:rPr>
      </w:pPr>
    </w:p>
    <w:p>
      <w:pPr>
        <w:jc w:val="both"/>
        <w:ind w:left="15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Equipment. </w:t>
      </w:r>
      <w:r>
        <w:rPr>
          <w:rFonts w:ascii="Times New Roman" w:cs="Times New Roman" w:eastAsia="Times New Roman" w:hAnsi="Times New Roman"/>
          <w:sz w:val="18"/>
          <w:szCs w:val="18"/>
          <w:color w:val="auto"/>
        </w:rPr>
        <w:t>System sales are recognized as Product revenue when the Company transfers control of the system. This usually occurs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customer signs a contract, we install the system, and we perform the requisite training for use of the system for direct customers. System sales to distributors are recognized as revenue upon shipment as they do not require training and installation.</w:t>
      </w:r>
    </w:p>
    <w:p>
      <w:pPr>
        <w:spacing w:after="0" w:line="173" w:lineRule="exact"/>
        <w:rPr>
          <w:sz w:val="20"/>
          <w:szCs w:val="20"/>
          <w:color w:val="auto"/>
        </w:rPr>
      </w:pPr>
    </w:p>
    <w:p>
      <w:pPr>
        <w:jc w:val="both"/>
        <w:ind w:left="15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PID and Procedure Licenses. </w:t>
      </w:r>
      <w:r>
        <w:rPr>
          <w:rFonts w:ascii="Times New Roman" w:cs="Times New Roman" w:eastAsia="Times New Roman" w:hAnsi="Times New Roman"/>
          <w:sz w:val="18"/>
          <w:szCs w:val="18"/>
          <w:color w:val="auto"/>
        </w:rPr>
        <w:t>The system requires both a PID and a procedure license to perform each procedure. We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revenue for PIDs when we transfer control of the PID. We recognize Product revenue for procedure licenses at the point in time when control of the procedure license is transferred to the customer. A procedure license represents a one-time right to utilize the system surgical application in connection with a procedure. For the sale of PIDs and procedure licenses, we may offer volume discounts to certain customers. To determine the amount of revenue that should be recognized at the time control over these products transfers to the customer, we estimate the average per unit price, net of discounts.</w:t>
      </w:r>
    </w:p>
    <w:p>
      <w:pPr>
        <w:spacing w:after="0" w:line="182"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We offer an extended warranty that provides additional maintenance services beyond the standard limited warranty.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Service revenue from the sale of extended warranties over the warranty period on a ratable basis as we stand ready to provide services as needed. Customers have the option of renewing the warranty period, which is considered a new and separate contract.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Revenue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lease equipment to customers under operating lease arrangements. At contract inception we perform an evaluation to determine if a lease arrangement conveys the right to control the use of an identified asset. To the extent such rights of control are conveyed, we further make an assessment as to the applicable lease classification. The identification of specified assets and determination of appropriate lease classification may require the use of management judgment.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Some of our operating leases include a purchase option for the customer to purchase the leased asset at the end of the lease arrangement, subject to a new contract. We do not believe the purchase price qualifies as a bargain purchase option.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lease arrangements with lease and non-lease components where we are the lessor, we allocate the contract’s transaction price (including discounts) to the lease and non-lease components on a relative standalone selling price, which requires judgments. For those leases with variable lease payments, the variable lease payment is typically based upon use of the leased equipment or the purchase of procedure licenses and PIDs used with the leased equipment.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operating leases, rental income is recognized on a straight-line basis over the lease term as lease revenue. Depreciation expense associated with the leased equipment under operating lease arrangements is reflected in cost of lease in the statements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leases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Lessee operating leases are included in other current liabilities and long-term operating lease liabilities in our balance sheets. We do not have lessee finance leases.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lease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Lease payments are discounted using our incremental borrowing rate as of the commencement date of each lease. Our remaining lease terms may include options to extend or terminate the lease when it is reasonably certain that we will exercise that option. Lease expense for lease payments is recognized on a straight-line basis as operating expense in our statements of operations over the lease term.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Inventory, which consists of raw materials, work-in-process and finished goods, is stated at the lower of cost or net realizable value. Inventory levels are analyzed periodically on a first-in, first-out basis and written down to their net realizable value if they have become obsolete, have a cost basis in excess of its expected net realizable value or are in excess of expected requirements. We analyze current and future product demand relative to the remaining product shelf life to identify potential excess inventory. We build demand forecasts by considering factors such as, but not limited to, overall market potential, market share, market acceptance and patient usage.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Warrant Liabilities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estimated the fair value of the warrant liabilities using recently quoted market prices of the Company's common stock and the Black-Scholes option pricing model. The Black-Scholes option pricing model requires the use of highly subjective and complex assumptions which impact the fair value of the warrant liabilities, including the warrant’s expected term and the implied volatility of the underlying stock. Because of our limited stock trading history, we estimated stock price volatility based on an index of the historical volatilities of a group of comparable publicly-traded medical device and other peer companies, which we believe was representative of the volatility of our common stock. We have estimated the expected term based on the remaining contractual term of the warrants. The assumptions used in calculating the fair value of the warrants represent our best estimates, however the estimates involve inherent uncertainties and judgment and the use of different values could produce materially different results.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 Accounting Election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107 of the JOBS Act provides that an “emerging growth company” may take advantage of the extended transition period provided in Section 7(a) (2)(B) of the Securities Act for complying with new or revised accounting standards. Therefore, an emerging growth company can delay the adoption of certain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rely on other exemptions provided by the JOBS Act so long as we remain eligible, including without limitation, not being required to comply with the auditor attestation requirements of Section 404(b) of the Sarbanes-Oxley Act.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remain an emerging growth company until December 31, 2025 (the fiscal year-end following the fifth anniversary of the completion of the Spin-Off).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financial statements included elsewhere in this Annual Report for a discussion of recently adopted accounting pronouncements and recently issued accounting pronouncements not yet adopted as of December 31, 2024.</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had cash, cash equivalents and short-term and long-term investments of $22.5 million as of December 31, 2024. We generally hold our cash and cash equivalents in interest-bearing bank accounts, money market funds, and U.S. treasury bills. Our investments consist primarily of U.S. treasury bills and agency bonds, as well as certificates of deposit. All our investments are classified as available-for-sale. Our cash and cash equivalents are held in deposit demand accounts at large financial institutions in amounts in excess of the Federal Deposit Insurance Corporation, or FDIC, insurance coverage limit of $250,000 per depositor, per FDIC-insured bank, per ownership category. Management has reviewed the financial situation and government guarantees to depositors, if applicable, of the financial institutions and believes there to be little or no credit risk to us. A hypothetical 10% change in interest rates would not have had a material impact on the value of our cash and cash equivalents as of December 31, 2024.</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principally consist of accounts receivable and notes receivable. We limit our credit risk with respect to accounts receivable and notes receivable by performing credit evaluations when deemed necessary, but we do not require collateral to secure amounts owed to us by our customers. We do have the ability to disable the system’s ability to operate for lack of payment and, in the case of notes receivable, repossess the system if scheduled payments lapse. As of December 31, 2024, one customer accounted for approximately 12% of our accounts receivable, net.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have limited exposure to foreign currency fluctuations and do not engage in any hedging activities as part of our normal course of business.</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and are incorporated herein by reference.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tab/>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has evaluated, with the participation of the chief executive officer and the chief financial officer, the effectiveness of our disclosure controls and procedures (as defined in Rules 13a-15(e) and 15d-15(e) under the Exchange Act) as of the end of the period covered by this Annual Report. Based on this evaluation, the chief executive officer and chief financial officer concluded that the Company’s disclosure controls and procedures were effective at the reasonable assurance level as of December 31,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such term is defined in Rule 13a-15(f) and 15d-15(f) under the Exchange Act. Our management, under the supervision and with the participation of our principal executive officer and principal financial officer, conducted an assessment of the effectiveness of our internal control over financial reporting as of December 31, 2024 based on the criteria set forth in “Internal Control – Integrated Framework (2013)” issued by the Committee of Sponsoring Organizations of the Treadway Commission. Based on this assessment, our management concluded that, as of December 31, 2024, our internal control over financial reporting was effective.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so long as we qualify as an “emerging growth company” as defined under the JOBS Act or a non-accelerated filer, our independent registered public accounting firm is not required to issue an attestation report on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December 31, 2024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360" w:hanging="352"/>
        <w:spacing w:after="0"/>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760" w:hanging="752"/>
        <w:spacing w:after="0" w:line="266" w:lineRule="auto"/>
        <w:tabs>
          <w:tab w:leader="none" w:pos="37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2024, no directors or “officers” (as defined in Rule 16a-1(f) under the Exchange Act) of the Company adopted, modified or terminated a “Rule 10b5-1 trading arrangement” and/or “non-Rule 10b5-1 trading arrangement,” as each term is defined in Item 408(a) of Regulation 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our annual meeting of stockholders to be held in 2025 (the “2025 Annual Meeting of Stockholders”), which we intend to file with the SEC within 120 days of the year ended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2025 Annual Meeting of Stockholders, which we intend to file with the SEC within 120 days of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Related Stockholder Matters.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2025 Annual Meeting of Stockholders, which we intend to file with the SEC within 120 days of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2025 Annual Meeting of Stockholders, which we intend to file with the SEC within 120 days of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the 2025 Annual Meeting of Stockholders, which we intend to file with the SEC within 120 days of the year ended December 31, 2024.</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2" w:name="page93"/>
    <w:bookmarkEnd w:id="92"/>
    <w:tbl>
      <w:tblPr>
        <w:tblLayout w:type="fixed"/>
        <w:tblInd w:w="1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1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020" w:type="dxa"/>
            <w:vAlign w:val="bottom"/>
          </w:tcPr>
          <w:p>
            <w:pPr>
              <w:spacing w:after="0"/>
              <w:rPr>
                <w:sz w:val="20"/>
                <w:szCs w:val="20"/>
                <w:color w:val="auto"/>
              </w:rPr>
            </w:pPr>
          </w:p>
        </w:tc>
      </w:tr>
      <w:tr>
        <w:trPr>
          <w:trHeight w:val="392"/>
        </w:trPr>
        <w:tc>
          <w:tcPr>
            <w:tcW w:w="102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1020" w:type="dxa"/>
            <w:vAlign w:val="bottom"/>
          </w:tcPr>
          <w:p>
            <w:pPr>
              <w:spacing w:after="0"/>
              <w:rPr>
                <w:sz w:val="24"/>
                <w:szCs w:val="24"/>
                <w:color w:val="auto"/>
              </w:rPr>
            </w:pPr>
          </w:p>
        </w:tc>
      </w:tr>
      <w:tr>
        <w:trPr>
          <w:trHeight w:val="324"/>
        </w:trPr>
        <w:tc>
          <w:tcPr>
            <w:tcW w:w="10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(a)(1) Financial Statements</w:t>
            </w:r>
          </w:p>
        </w:tc>
        <w:tc>
          <w:tcPr>
            <w:tcW w:w="1020" w:type="dxa"/>
            <w:vAlign w:val="bottom"/>
          </w:tcPr>
          <w:p>
            <w:pPr>
              <w:spacing w:after="0"/>
              <w:rPr>
                <w:sz w:val="24"/>
                <w:szCs w:val="24"/>
                <w:color w:val="auto"/>
              </w:rPr>
            </w:pPr>
          </w:p>
        </w:tc>
      </w:tr>
      <w:tr>
        <w:trPr>
          <w:trHeight w:val="324"/>
        </w:trPr>
        <w:tc>
          <w:tcPr>
            <w:tcW w:w="10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documents are included on pages F-1 through F-36 attached hereto and are filed as part of this Annual Report.</w:t>
            </w:r>
          </w:p>
        </w:tc>
        <w:tc>
          <w:tcPr>
            <w:tcW w:w="1020" w:type="dxa"/>
            <w:vAlign w:val="bottom"/>
          </w:tcPr>
          <w:p>
            <w:pPr>
              <w:spacing w:after="0"/>
              <w:rPr>
                <w:sz w:val="24"/>
                <w:szCs w:val="24"/>
                <w:color w:val="auto"/>
              </w:rPr>
            </w:pPr>
          </w:p>
        </w:tc>
      </w:tr>
      <w:tr>
        <w:trPr>
          <w:trHeight w:val="418"/>
        </w:trPr>
        <w:tc>
          <w:tcPr>
            <w:tcW w:w="32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AUDITED FINANCIAL STATEMENTS</w:t>
            </w:r>
          </w:p>
        </w:tc>
        <w:tc>
          <w:tcPr>
            <w:tcW w:w="7000" w:type="dxa"/>
            <w:vAlign w:val="bottom"/>
            <w:gridSpan w:val="4"/>
          </w:tcPr>
          <w:p>
            <w:pPr>
              <w:spacing w:after="0"/>
              <w:rPr>
                <w:sz w:val="24"/>
                <w:szCs w:val="24"/>
                <w:color w:val="auto"/>
              </w:rPr>
            </w:pPr>
          </w:p>
        </w:tc>
        <w:tc>
          <w:tcPr>
            <w:tcW w:w="1020" w:type="dxa"/>
            <w:vAlign w:val="bottom"/>
          </w:tcPr>
          <w:p>
            <w:pPr>
              <w:spacing w:after="0"/>
              <w:rPr>
                <w:sz w:val="24"/>
                <w:szCs w:val="24"/>
                <w:color w:val="auto"/>
              </w:rPr>
            </w:pPr>
          </w:p>
        </w:tc>
      </w:tr>
      <w:tr>
        <w:trPr>
          <w:trHeight w:val="412"/>
        </w:trPr>
        <w:tc>
          <w:tcPr>
            <w:tcW w:w="102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7"/>
              </w:rPr>
              <w:t>F-1</w:t>
            </w:r>
          </w:p>
        </w:tc>
      </w:tr>
      <w:tr>
        <w:trPr>
          <w:trHeight w:val="412"/>
        </w:trPr>
        <w:tc>
          <w:tcPr>
            <w:tcW w:w="5820" w:type="dxa"/>
            <w:vAlign w:val="bottom"/>
            <w:tcBorders>
              <w:top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rPr>
              <w:t>STATEMENTS OF OPERATIONS AND COMPREHENSIVE LOSS</w:t>
            </w:r>
          </w:p>
        </w:tc>
        <w:tc>
          <w:tcPr>
            <w:tcW w:w="4380" w:type="dxa"/>
            <w:vAlign w:val="bottom"/>
            <w:gridSpan w:val="2"/>
          </w:tcPr>
          <w:p>
            <w:pPr>
              <w:spacing w:after="0"/>
              <w:rPr>
                <w:sz w:val="24"/>
                <w:szCs w:val="24"/>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7"/>
              </w:rPr>
              <w:t>F-2</w:t>
            </w:r>
          </w:p>
        </w:tc>
      </w:tr>
      <w:tr>
        <w:trPr>
          <w:trHeight w:val="412"/>
        </w:trPr>
        <w:tc>
          <w:tcPr>
            <w:tcW w:w="1580" w:type="dxa"/>
            <w:vAlign w:val="bottom"/>
            <w:tcBorders>
              <w:top w:val="single" w:sz="8" w:color="0000FF"/>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BALANCE SHEETS</w:t>
            </w:r>
          </w:p>
        </w:tc>
        <w:tc>
          <w:tcPr>
            <w:tcW w:w="20" w:type="dxa"/>
            <w:vAlign w:val="bottom"/>
            <w:tcBorders>
              <w:top w:val="single" w:sz="8" w:color="0000FF"/>
              <w:bottom w:val="single" w:sz="8" w:color="0000EE"/>
            </w:tcBorders>
          </w:tcPr>
          <w:p>
            <w:pPr>
              <w:spacing w:after="0"/>
              <w:rPr>
                <w:sz w:val="24"/>
                <w:szCs w:val="24"/>
                <w:color w:val="auto"/>
              </w:rPr>
            </w:pPr>
          </w:p>
        </w:tc>
        <w:tc>
          <w:tcPr>
            <w:tcW w:w="3500" w:type="dxa"/>
            <w:vAlign w:val="bottom"/>
            <w:tcBorders>
              <w:top w:val="single" w:sz="8" w:color="0000FF"/>
            </w:tcBorders>
            <w:gridSpan w:val="5"/>
          </w:tcPr>
          <w:p>
            <w:pPr>
              <w:spacing w:after="0"/>
              <w:rPr>
                <w:sz w:val="24"/>
                <w:szCs w:val="24"/>
                <w:color w:val="auto"/>
              </w:rPr>
            </w:pPr>
          </w:p>
        </w:tc>
        <w:tc>
          <w:tcPr>
            <w:tcW w:w="5100" w:type="dxa"/>
            <w:vAlign w:val="bottom"/>
            <w:gridSpan w:val="3"/>
          </w:tcPr>
          <w:p>
            <w:pPr>
              <w:spacing w:after="0"/>
              <w:rPr>
                <w:sz w:val="24"/>
                <w:szCs w:val="24"/>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7"/>
              </w:rPr>
              <w:t>F-3</w:t>
            </w:r>
          </w:p>
        </w:tc>
      </w:tr>
      <w:tr>
        <w:trPr>
          <w:trHeight w:val="412"/>
        </w:trPr>
        <w:tc>
          <w:tcPr>
            <w:tcW w:w="1020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STATEMENTS OF CASH FLOWS</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7"/>
              </w:rPr>
              <w:t>F-4</w:t>
            </w:r>
          </w:p>
        </w:tc>
      </w:tr>
      <w:tr>
        <w:trPr>
          <w:trHeight w:val="20"/>
        </w:trPr>
        <w:tc>
          <w:tcPr>
            <w:tcW w:w="266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8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942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STATEMENT OF CHANGES IN REDEEMABLE CONVERTIBLE PREFERRED STOCK AND STOCKHOLDERS’ EQUITY</w:t>
            </w:r>
          </w:p>
        </w:tc>
        <w:tc>
          <w:tcPr>
            <w:tcW w:w="780" w:type="dxa"/>
            <w:vAlign w:val="bottom"/>
          </w:tcPr>
          <w:p>
            <w:pPr>
              <w:spacing w:after="0"/>
              <w:rPr>
                <w:sz w:val="24"/>
                <w:szCs w:val="24"/>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7"/>
              </w:rPr>
              <w:t>F-6</w:t>
            </w:r>
          </w:p>
        </w:tc>
      </w:tr>
      <w:tr>
        <w:trPr>
          <w:trHeight w:val="412"/>
        </w:trPr>
        <w:tc>
          <w:tcPr>
            <w:tcW w:w="312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20" w:type="dxa"/>
            <w:vAlign w:val="bottom"/>
            <w:tcBorders>
              <w:bottom w:val="single" w:sz="8" w:color="0000EE"/>
            </w:tcBorders>
          </w:tcPr>
          <w:p>
            <w:pPr>
              <w:spacing w:after="0"/>
              <w:rPr>
                <w:sz w:val="24"/>
                <w:szCs w:val="24"/>
                <w:color w:val="auto"/>
              </w:rPr>
            </w:pPr>
          </w:p>
        </w:tc>
        <w:tc>
          <w:tcPr>
            <w:tcW w:w="7060" w:type="dxa"/>
            <w:vAlign w:val="bottom"/>
            <w:gridSpan w:val="5"/>
          </w:tcPr>
          <w:p>
            <w:pPr>
              <w:spacing w:after="0"/>
              <w:rPr>
                <w:sz w:val="24"/>
                <w:szCs w:val="24"/>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7"/>
              </w:rPr>
              <w:t>F-7</w:t>
            </w: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440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2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0"/>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0" w:type="dxa"/>
            <w:vAlign w:val="bottom"/>
            <w:gridSpan w:val="11"/>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0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80"/>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w:t>
            </w:r>
          </w:p>
        </w:tc>
        <w:tc>
          <w:tcPr>
            <w:tcW w:w="39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Sales Agreement, dated April 8, 2021 by and between</w:t>
              </w:r>
            </w:hyperlink>
          </w:p>
        </w:tc>
        <w:tc>
          <w:tcPr>
            <w:tcW w:w="4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 S-3</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333-255136</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04/08/2021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00" w:type="dxa"/>
            <w:vAlign w:val="bottom"/>
            <w:gridSpan w:val="11"/>
          </w:tcPr>
          <w:p>
            <w:pPr>
              <w:spacing w:after="0" w:line="19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LENSAR, Inc. and SVB Leerink LLC</w:t>
              </w:r>
            </w:hyperlink>
          </w:p>
        </w:tc>
        <w:tc>
          <w:tcPr>
            <w:tcW w:w="1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w:t>
            </w:r>
          </w:p>
        </w:tc>
        <w:tc>
          <w:tcPr>
            <w:tcW w:w="39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Separation and Distribution Agreement between PDL</w:t>
              </w:r>
            </w:hyperlink>
          </w:p>
        </w:tc>
        <w:tc>
          <w:tcPr>
            <w:tcW w:w="500" w:type="dxa"/>
            <w:vAlign w:val="bottom"/>
            <w:gridSpan w:val="3"/>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10/02/2020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00" w:type="dxa"/>
            <w:vAlign w:val="bottom"/>
            <w:gridSpan w:val="11"/>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BioPharma, Inc. and LENSAR, Inc</w:t>
              </w:r>
              <w:r>
                <w:rPr>
                  <w:rFonts w:ascii="Times New Roman" w:cs="Times New Roman" w:eastAsia="Times New Roman" w:hAnsi="Times New Roman"/>
                  <w:sz w:val="18"/>
                  <w:szCs w:val="18"/>
                  <w:color w:val="000000"/>
                </w:rPr>
                <w:t>.</w:t>
              </w:r>
            </w:hyperlink>
          </w:p>
        </w:tc>
        <w:tc>
          <w:tcPr>
            <w:tcW w:w="1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39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Amended and Restated Certificate of Incorporation of</w:t>
              </w:r>
            </w:hyperlink>
          </w:p>
        </w:tc>
        <w:tc>
          <w:tcPr>
            <w:tcW w:w="480" w:type="dxa"/>
            <w:vAlign w:val="bottom"/>
            <w:gridSpan w:val="2"/>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10/02/2020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29">
              <w:r>
                <w:rPr>
                  <w:rFonts w:ascii="Times New Roman" w:cs="Times New Roman" w:eastAsia="Times New Roman" w:hAnsi="Times New Roman"/>
                  <w:sz w:val="18"/>
                  <w:szCs w:val="18"/>
                  <w:color w:val="0000EE"/>
                  <w:w w:val="97"/>
                </w:rPr>
                <w:t>LENSAR, Inc.</w:t>
              </w:r>
            </w:hyperlink>
          </w:p>
        </w:tc>
        <w:tc>
          <w:tcPr>
            <w:tcW w:w="3340" w:type="dxa"/>
            <w:vAlign w:val="bottom"/>
            <w:gridSpan w:val="10"/>
          </w:tcPr>
          <w:p>
            <w:pPr>
              <w:spacing w:after="0"/>
              <w:rPr>
                <w:sz w:val="17"/>
                <w:szCs w:val="17"/>
                <w:color w:val="auto"/>
              </w:rPr>
            </w:pPr>
          </w:p>
        </w:tc>
        <w:tc>
          <w:tcPr>
            <w:tcW w:w="1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35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Amended and Restated Bylaws of LENSAR, Inc.</w:t>
              </w:r>
            </w:hyperlink>
          </w:p>
        </w:tc>
        <w:tc>
          <w:tcPr>
            <w:tcW w:w="20" w:type="dxa"/>
            <w:vAlign w:val="bottom"/>
            <w:tcBorders>
              <w:bottom w:val="single" w:sz="8" w:color="0000EE"/>
            </w:tcBorders>
          </w:tcPr>
          <w:p>
            <w:pPr>
              <w:spacing w:after="0"/>
              <w:rPr>
                <w:sz w:val="24"/>
                <w:szCs w:val="24"/>
                <w:color w:val="auto"/>
              </w:rPr>
            </w:pPr>
          </w:p>
        </w:tc>
        <w:tc>
          <w:tcPr>
            <w:tcW w:w="820" w:type="dxa"/>
            <w:vAlign w:val="bottom"/>
            <w:gridSpan w:val="5"/>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 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11/07/2024</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w:t>
            </w:r>
          </w:p>
        </w:tc>
        <w:tc>
          <w:tcPr>
            <w:tcW w:w="44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Certificate of Designations, Preferences and Rights of Series</w:t>
              </w:r>
            </w:hyperlink>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05/18/2023</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62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A Convertible Preferred Stock filed May 18, 2023</w:t>
              </w:r>
            </w:hyperlink>
          </w:p>
        </w:tc>
        <w:tc>
          <w:tcPr>
            <w:tcW w:w="780" w:type="dxa"/>
            <w:vAlign w:val="bottom"/>
            <w:gridSpan w:val="4"/>
          </w:tcPr>
          <w:p>
            <w:pPr>
              <w:spacing w:after="0"/>
              <w:rPr>
                <w:sz w:val="17"/>
                <w:szCs w:val="17"/>
                <w:color w:val="auto"/>
              </w:rPr>
            </w:pPr>
          </w:p>
        </w:tc>
        <w:tc>
          <w:tcPr>
            <w:tcW w:w="1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4400" w:type="dxa"/>
            <w:vAlign w:val="bottom"/>
            <w:gridSpan w:val="11"/>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Form of Certificate of Common Stock</w:t>
              </w:r>
            </w:hyperlink>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10/A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09/14/2020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2760" w:type="dxa"/>
            <w:vAlign w:val="bottom"/>
            <w:tcBorders>
              <w:top w:val="single" w:sz="8" w:color="0000EE"/>
            </w:tcBorders>
            <w:gridSpan w:val="4"/>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Description of Registered Securities</w:t>
              </w:r>
            </w:hyperlink>
          </w:p>
        </w:tc>
        <w:tc>
          <w:tcPr>
            <w:tcW w:w="1640" w:type="dxa"/>
            <w:vAlign w:val="bottom"/>
            <w:gridSpan w:val="7"/>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 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03/04/2024</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0"/>
        </w:trPr>
        <w:tc>
          <w:tcPr>
            <w:tcW w:w="1040" w:type="dxa"/>
            <w:vAlign w:val="bottom"/>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14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rPr>
              <w:t>93</w:t>
            </w: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4460" w:type="dxa"/>
            <w:vAlign w:val="bottom"/>
            <w:gridSpan w:val="2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2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55"/>
        </w:trPr>
        <w:tc>
          <w:tcPr>
            <w:tcW w:w="10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4460" w:type="dxa"/>
            <w:vAlign w:val="bottom"/>
            <w:gridSpan w:val="25"/>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020" w:type="dxa"/>
            <w:vAlign w:val="bottom"/>
          </w:tcPr>
          <w:p>
            <w:pPr>
              <w:jc w:val="center"/>
              <w:ind w:left="48"/>
              <w:spacing w:after="0" w:line="155" w:lineRule="exact"/>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94"/>
        </w:trPr>
        <w:tc>
          <w:tcPr>
            <w:tcW w:w="10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4.3</w:t>
            </w:r>
          </w:p>
        </w:tc>
        <w:tc>
          <w:tcPr>
            <w:tcW w:w="4460" w:type="dxa"/>
            <w:vAlign w:val="bottom"/>
            <w:tcBorders>
              <w:bottom w:val="single" w:sz="8" w:color="0000FF"/>
            </w:tcBorders>
            <w:gridSpan w:val="25"/>
          </w:tcPr>
          <w:p>
            <w:pPr>
              <w:spacing w:after="0" w:line="194"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Registration Rights Agreement, dated May 12, 2023, between</w:t>
              </w:r>
            </w:hyperlink>
          </w:p>
        </w:tc>
        <w:tc>
          <w:tcPr>
            <w:tcW w:w="12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Form 8-K</w:t>
            </w:r>
          </w:p>
        </w:tc>
        <w:tc>
          <w:tcPr>
            <w:tcW w:w="12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13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05/18/2023</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60" w:type="dxa"/>
            <w:vAlign w:val="bottom"/>
            <w:gridSpan w:val="25"/>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LENSAR, Inc. and NR-GRI Partners, LP</w:t>
              </w:r>
            </w:hyperlink>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w:t>
            </w:r>
          </w:p>
        </w:tc>
        <w:tc>
          <w:tcPr>
            <w:tcW w:w="4460" w:type="dxa"/>
            <w:vAlign w:val="bottom"/>
            <w:gridSpan w:val="25"/>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Class A Common Stock Purchase Warrant, dated May 18,</w:t>
              </w:r>
            </w:hyperlink>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05/18/2023</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37">
              <w:r>
                <w:rPr>
                  <w:rFonts w:ascii="Times New Roman" w:cs="Times New Roman" w:eastAsia="Times New Roman" w:hAnsi="Times New Roman"/>
                  <w:sz w:val="18"/>
                  <w:szCs w:val="18"/>
                  <w:color w:val="0000FF"/>
                  <w:w w:val="94"/>
                </w:rPr>
                <w:t>2023</w:t>
              </w:r>
            </w:hyperlink>
          </w:p>
        </w:tc>
        <w:tc>
          <w:tcPr>
            <w:tcW w:w="5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4.5</w:t>
            </w:r>
          </w:p>
        </w:tc>
        <w:tc>
          <w:tcPr>
            <w:tcW w:w="4460" w:type="dxa"/>
            <w:vAlign w:val="bottom"/>
            <w:gridSpan w:val="25"/>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Class B Common Stock Purchase Warrant, dated May 18,</w:t>
              </w:r>
            </w:hyperlink>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05/18/2023</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138">
              <w:r>
                <w:rPr>
                  <w:rFonts w:ascii="Times New Roman" w:cs="Times New Roman" w:eastAsia="Times New Roman" w:hAnsi="Times New Roman"/>
                  <w:sz w:val="18"/>
                  <w:szCs w:val="18"/>
                  <w:color w:val="0000FF"/>
                  <w:w w:val="94"/>
                </w:rPr>
                <w:t>2023</w:t>
              </w:r>
            </w:hyperlink>
          </w:p>
        </w:tc>
        <w:tc>
          <w:tcPr>
            <w:tcW w:w="5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2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Transition Services Agreement between PDL BioPharma,</w:t>
              </w:r>
            </w:hyperlink>
          </w:p>
        </w:tc>
        <w:tc>
          <w:tcPr>
            <w:tcW w:w="260" w:type="dxa"/>
            <w:vAlign w:val="bottom"/>
            <w:gridSpan w:val="6"/>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10/02/2020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60" w:type="dxa"/>
            <w:vAlign w:val="bottom"/>
            <w:gridSpan w:val="25"/>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Inc. and LENSAR, Inc</w:t>
              </w:r>
              <w:r>
                <w:rPr>
                  <w:rFonts w:ascii="Times New Roman" w:cs="Times New Roman" w:eastAsia="Times New Roman" w:hAnsi="Times New Roman"/>
                  <w:sz w:val="18"/>
                  <w:szCs w:val="18"/>
                  <w:color w:val="000000"/>
                </w:rPr>
                <w:t>.</w:t>
              </w:r>
            </w:hyperlink>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43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Tax Matters Agreement between PDL BioPharma, Inc. and</w:t>
              </w:r>
            </w:hyperlink>
          </w:p>
        </w:tc>
        <w:tc>
          <w:tcPr>
            <w:tcW w:w="140" w:type="dxa"/>
            <w:vAlign w:val="bottom"/>
            <w:gridSpan w:val="3"/>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10/02/2020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40">
              <w:r>
                <w:rPr>
                  <w:rFonts w:ascii="Times New Roman" w:cs="Times New Roman" w:eastAsia="Times New Roman" w:hAnsi="Times New Roman"/>
                  <w:sz w:val="18"/>
                  <w:szCs w:val="18"/>
                  <w:color w:val="0000EE"/>
                  <w:w w:val="97"/>
                </w:rPr>
                <w:t>LENSAR, Inc.</w:t>
              </w:r>
            </w:hyperlink>
          </w:p>
        </w:tc>
        <w:tc>
          <w:tcPr>
            <w:tcW w:w="3400" w:type="dxa"/>
            <w:vAlign w:val="bottom"/>
            <w:gridSpan w:val="22"/>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4460" w:type="dxa"/>
            <w:vAlign w:val="bottom"/>
            <w:gridSpan w:val="25"/>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2020 Incentive Award Plan</w:t>
              </w:r>
            </w:hyperlink>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 S-8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333-249323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10/05/2020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9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Restricted Stock Agreement pursuant to 2020</w:t>
              </w:r>
            </w:hyperlink>
          </w:p>
        </w:tc>
        <w:tc>
          <w:tcPr>
            <w:tcW w:w="500" w:type="dxa"/>
            <w:vAlign w:val="bottom"/>
            <w:gridSpan w:val="10"/>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 S-8</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333-249323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10/05/2020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60" w:type="dxa"/>
            <w:vAlign w:val="bottom"/>
            <w:gridSpan w:val="25"/>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Incentive Award Plan</w:t>
              </w:r>
            </w:hyperlink>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EE"/>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44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Stock Option Agreement pursuant to 2020 Incentive</w:t>
              </w:r>
            </w:hyperlink>
          </w:p>
        </w:tc>
        <w:tc>
          <w:tcPr>
            <w:tcW w:w="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 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03/03/2022</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60" w:type="dxa"/>
            <w:vAlign w:val="bottom"/>
            <w:gridSpan w:val="25"/>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Award Plan</w:t>
              </w:r>
            </w:hyperlink>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60" w:type="dxa"/>
            <w:vAlign w:val="bottom"/>
            <w:tcBorders>
              <w:right w:val="single" w:sz="8" w:color="0000EE"/>
            </w:tcBorders>
            <w:gridSpan w:val="2"/>
            <w:shd w:val="clear" w:color="auto" w:fill="0000FF"/>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43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Restricted Stock Unit Agreement pursuant to 2020</w:t>
              </w:r>
            </w:hyperlink>
          </w:p>
        </w:tc>
        <w:tc>
          <w:tcPr>
            <w:tcW w:w="140" w:type="dxa"/>
            <w:vAlign w:val="bottom"/>
            <w:gridSpan w:val="3"/>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 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03/03/2022</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60" w:type="dxa"/>
            <w:vAlign w:val="bottom"/>
            <w:gridSpan w:val="25"/>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Incentive Award Plan</w:t>
              </w:r>
            </w:hyperlink>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40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Performance Restricted Stock Unit Agreement</w:t>
              </w:r>
            </w:hyperlink>
          </w:p>
        </w:tc>
        <w:tc>
          <w:tcPr>
            <w:tcW w:w="440" w:type="dxa"/>
            <w:vAlign w:val="bottom"/>
            <w:gridSpan w:val="9"/>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 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05/09/2024</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8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pursuant to 2020 Incentive Award Plan</w:t>
              </w:r>
            </w:hyperlink>
          </w:p>
        </w:tc>
        <w:tc>
          <w:tcPr>
            <w:tcW w:w="1640" w:type="dxa"/>
            <w:vAlign w:val="bottom"/>
            <w:gridSpan w:val="17"/>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41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Performance Restricted Stock Unit Agreement –</w:t>
              </w:r>
            </w:hyperlink>
          </w:p>
        </w:tc>
        <w:tc>
          <w:tcPr>
            <w:tcW w:w="300" w:type="dxa"/>
            <w:vAlign w:val="bottom"/>
            <w:gridSpan w:val="7"/>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 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05/09/2024</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60" w:type="dxa"/>
            <w:vAlign w:val="bottom"/>
            <w:gridSpan w:val="25"/>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Director Deferral pursuant to 2020 Incentive Award Plan</w:t>
              </w:r>
            </w:hyperlink>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4100" w:type="dxa"/>
            <w:vAlign w:val="bottom"/>
            <w:tcBorders>
              <w:top w:val="single" w:sz="8" w:color="0000FF"/>
            </w:tcBorders>
            <w:gridSpan w:val="17"/>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2020 Employee Stock Purchase Plan</w:t>
              </w:r>
            </w:hyperlink>
          </w:p>
        </w:tc>
        <w:tc>
          <w:tcPr>
            <w:tcW w:w="360" w:type="dxa"/>
            <w:vAlign w:val="bottom"/>
            <w:gridSpan w:val="8"/>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10/A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09/14/2020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640" w:type="dxa"/>
            <w:vAlign w:val="bottom"/>
            <w:gridSpan w:val="7"/>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3880" w:type="dxa"/>
            <w:vAlign w:val="bottom"/>
            <w:tcBorders>
              <w:bottom w:val="single" w:sz="8" w:color="0000EE"/>
            </w:tcBorders>
            <w:gridSpan w:val="14"/>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2024 Employment Inducement Incentive Award Plan</w:t>
              </w:r>
            </w:hyperlink>
          </w:p>
        </w:tc>
        <w:tc>
          <w:tcPr>
            <w:tcW w:w="580" w:type="dxa"/>
            <w:vAlign w:val="bottom"/>
            <w:gridSpan w:val="11"/>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02/26/2024</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37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Stock Option Agreement pursuant to 2024</w:t>
              </w:r>
            </w:hyperlink>
          </w:p>
        </w:tc>
        <w:tc>
          <w:tcPr>
            <w:tcW w:w="740" w:type="dxa"/>
            <w:vAlign w:val="bottom"/>
            <w:gridSpan w:val="12"/>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02/26/2024</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4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Employment Inducement Incentive Award Plan</w:t>
              </w:r>
            </w:hyperlink>
          </w:p>
        </w:tc>
        <w:tc>
          <w:tcPr>
            <w:tcW w:w="980" w:type="dxa"/>
            <w:vAlign w:val="bottom"/>
            <w:gridSpan w:val="13"/>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43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Restricted Stock Unit Agreement pursuant to 2024</w:t>
              </w:r>
            </w:hyperlink>
          </w:p>
        </w:tc>
        <w:tc>
          <w:tcPr>
            <w:tcW w:w="140" w:type="dxa"/>
            <w:vAlign w:val="bottom"/>
            <w:gridSpan w:val="3"/>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02/26/2024</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60" w:type="dxa"/>
            <w:vAlign w:val="bottom"/>
            <w:gridSpan w:val="25"/>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Employment Inducement Incentive Award Plan</w:t>
              </w:r>
            </w:hyperlink>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180" w:type="dxa"/>
            <w:vAlign w:val="bottom"/>
            <w:gridSpan w:val="10"/>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gridSpan w:val="1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4460" w:type="dxa"/>
            <w:vAlign w:val="bottom"/>
            <w:gridSpan w:val="25"/>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Non-Employee Director Compensation Program, as amended</w:t>
              </w:r>
            </w:hyperlink>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 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05/09/2024</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4280" w:type="dxa"/>
            <w:vAlign w:val="bottom"/>
            <w:tcBorders>
              <w:top w:val="single" w:sz="8" w:color="0000FF"/>
              <w:bottom w:val="single" w:sz="8" w:color="0000EE"/>
            </w:tcBorders>
            <w:gridSpan w:val="21"/>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Employment Agreement, dated as of July 21, 2020, by and</w:t>
              </w:r>
            </w:hyperlink>
          </w:p>
        </w:tc>
        <w:tc>
          <w:tcPr>
            <w:tcW w:w="140" w:type="dxa"/>
            <w:vAlign w:val="bottom"/>
            <w:tcBorders>
              <w:top w:val="single" w:sz="8" w:color="0000FF"/>
            </w:tcBorders>
            <w:gridSpan w:val="2"/>
          </w:tcPr>
          <w:p>
            <w:pPr>
              <w:spacing w:after="0"/>
              <w:rPr>
                <w:sz w:val="24"/>
                <w:szCs w:val="24"/>
                <w:color w:val="auto"/>
              </w:rPr>
            </w:pPr>
          </w:p>
        </w:tc>
        <w:tc>
          <w:tcPr>
            <w:tcW w:w="40" w:type="dxa"/>
            <w:vAlign w:val="bottom"/>
            <w:gridSpan w:val="2"/>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10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08/26/2020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1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between LENSAR, Inc. and Nicholas Curtis</w:t>
              </w:r>
            </w:hyperlink>
          </w:p>
        </w:tc>
        <w:tc>
          <w:tcPr>
            <w:tcW w:w="1280" w:type="dxa"/>
            <w:vAlign w:val="bottom"/>
            <w:gridSpan w:val="15"/>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42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Employment Agreement, dated as of July 21, 2020, by and</w:t>
              </w:r>
            </w:hyperlink>
          </w:p>
        </w:tc>
        <w:tc>
          <w:tcPr>
            <w:tcW w:w="180" w:type="dxa"/>
            <w:vAlign w:val="bottom"/>
            <w:gridSpan w:val="4"/>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10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08/26/2020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60" w:type="dxa"/>
            <w:vAlign w:val="bottom"/>
            <w:gridSpan w:val="25"/>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between LENSAR, Inc. and Alan Connaughton</w:t>
              </w:r>
            </w:hyperlink>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0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jc w:val="right"/>
              <w:ind w:right="951"/>
              <w:spacing w:after="0"/>
              <w:rPr>
                <w:sz w:val="20"/>
                <w:szCs w:val="20"/>
                <w:color w:val="auto"/>
              </w:rPr>
            </w:pPr>
            <w:r>
              <w:rPr>
                <w:rFonts w:ascii="Times New Roman" w:cs="Times New Roman" w:eastAsia="Times New Roman" w:hAnsi="Times New Roman"/>
                <w:sz w:val="18"/>
                <w:szCs w:val="18"/>
                <w:color w:val="auto"/>
              </w:rPr>
              <w:t>94</w:t>
            </w: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2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4460" w:type="dxa"/>
            <w:vAlign w:val="bottom"/>
            <w:gridSpan w:val="2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20" w:type="dxa"/>
            <w:vAlign w:val="bottom"/>
          </w:tcPr>
          <w:p>
            <w:pPr>
              <w:jc w:val="center"/>
              <w:ind w:left="35"/>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55"/>
        </w:trPr>
        <w:tc>
          <w:tcPr>
            <w:tcW w:w="10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4460" w:type="dxa"/>
            <w:vAlign w:val="bottom"/>
            <w:gridSpan w:val="25"/>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020" w:type="dxa"/>
            <w:vAlign w:val="bottom"/>
          </w:tcPr>
          <w:p>
            <w:pPr>
              <w:jc w:val="center"/>
              <w:ind w:left="35"/>
              <w:spacing w:after="0" w:line="155" w:lineRule="exact"/>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94"/>
        </w:trPr>
        <w:tc>
          <w:tcPr>
            <w:tcW w:w="10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10.16#</w:t>
            </w:r>
          </w:p>
        </w:tc>
        <w:tc>
          <w:tcPr>
            <w:tcW w:w="4280" w:type="dxa"/>
            <w:vAlign w:val="bottom"/>
            <w:tcBorders>
              <w:bottom w:val="single" w:sz="8" w:color="0000EE"/>
            </w:tcBorders>
            <w:gridSpan w:val="20"/>
          </w:tcPr>
          <w:p>
            <w:pPr>
              <w:spacing w:after="0" w:line="194"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Employment Agreement, dated as of July 21, 2020, by and</w:t>
              </w:r>
            </w:hyperlink>
          </w:p>
        </w:tc>
        <w:tc>
          <w:tcPr>
            <w:tcW w:w="180" w:type="dxa"/>
            <w:vAlign w:val="bottom"/>
            <w:gridSpan w:val="5"/>
          </w:tcPr>
          <w:p>
            <w:pPr>
              <w:spacing w:after="0"/>
              <w:rPr>
                <w:sz w:val="16"/>
                <w:szCs w:val="16"/>
                <w:color w:val="auto"/>
              </w:rPr>
            </w:pPr>
          </w:p>
        </w:tc>
        <w:tc>
          <w:tcPr>
            <w:tcW w:w="12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Form 10</w:t>
            </w: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001-39473</w:t>
            </w: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10.8</w:t>
            </w:r>
          </w:p>
        </w:tc>
        <w:tc>
          <w:tcPr>
            <w:tcW w:w="13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08/26/2020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between LENSAR, Inc. and Thomas R. Staab II</w:t>
              </w:r>
            </w:hyperlink>
          </w:p>
        </w:tc>
        <w:tc>
          <w:tcPr>
            <w:tcW w:w="1000" w:type="dxa"/>
            <w:vAlign w:val="bottom"/>
            <w:gridSpan w:val="13"/>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44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Form of Indemnification Agreement between LENSAR, Inc.</w:t>
              </w:r>
            </w:hyperlink>
          </w:p>
        </w:tc>
        <w:tc>
          <w:tcPr>
            <w:tcW w:w="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10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08/26/2020</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60" w:type="dxa"/>
            <w:vAlign w:val="bottom"/>
            <w:gridSpan w:val="25"/>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and its directors and officers</w:t>
              </w:r>
            </w:hyperlink>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42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Industrial Real Estate Lease, dated as of July 30, 2010, by</w:t>
            </w:r>
          </w:p>
        </w:tc>
        <w:tc>
          <w:tcPr>
            <w:tcW w:w="220" w:type="dxa"/>
            <w:vAlign w:val="bottom"/>
            <w:gridSpan w:val="6"/>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6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and between LENSAR, Inc. and Challenger-Discovery, LLC,</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02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as amended as of March 15, 2016, December 16, 2016,</w:t>
            </w:r>
          </w:p>
        </w:tc>
        <w:tc>
          <w:tcPr>
            <w:tcW w:w="440" w:type="dxa"/>
            <w:vAlign w:val="bottom"/>
            <w:gridSpan w:val="11"/>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August 20, 2020, September 9, 2020, and December 17, 2024</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44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Securities Purchase Agreement, dated May 12, 2023, between</w:t>
              </w:r>
            </w:hyperlink>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05/15/2023</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60" w:type="dxa"/>
            <w:vAlign w:val="bottom"/>
            <w:gridSpan w:val="25"/>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LENSAR, Inc. and NR-GRI Partners, LP</w:t>
              </w:r>
            </w:hyperlink>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44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Voting Agreement between NR-GRI Partners, LLP,</w:t>
              </w:r>
            </w:hyperlink>
          </w:p>
        </w:tc>
        <w:tc>
          <w:tcPr>
            <w:tcW w:w="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05/18/2023</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4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and each of the executive officers and directors of LENSAR,</w:t>
              </w:r>
            </w:hyperlink>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60" w:type="dxa"/>
            <w:vAlign w:val="bottom"/>
            <w:gridSpan w:val="25"/>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Inc.</w:t>
              </w:r>
            </w:hyperlink>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44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Insider Trading Compliance Policy</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212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8"/>
                <w:szCs w:val="18"/>
                <w:color w:val="0000FF"/>
                <w:w w:val="98"/>
              </w:rPr>
            </w:pPr>
            <w:hyperlink r:id="rId159">
              <w:r>
                <w:rPr>
                  <w:rFonts w:ascii="Times New Roman" w:cs="Times New Roman" w:eastAsia="Times New Roman" w:hAnsi="Times New Roman"/>
                  <w:sz w:val="18"/>
                  <w:szCs w:val="18"/>
                  <w:color w:val="0000FF"/>
                  <w:w w:val="98"/>
                </w:rPr>
                <w:t>Subsidiaries of the Registrant</w:t>
              </w:r>
            </w:hyperlink>
          </w:p>
        </w:tc>
        <w:tc>
          <w:tcPr>
            <w:tcW w:w="20" w:type="dxa"/>
            <w:vAlign w:val="bottom"/>
            <w:tcBorders>
              <w:top w:val="single" w:sz="8" w:color="0000FF"/>
              <w:bottom w:val="single" w:sz="8" w:color="0000EE"/>
            </w:tcBorders>
          </w:tcPr>
          <w:p>
            <w:pPr>
              <w:spacing w:after="0"/>
              <w:rPr>
                <w:sz w:val="24"/>
                <w:szCs w:val="24"/>
                <w:color w:val="auto"/>
              </w:rPr>
            </w:pPr>
          </w:p>
        </w:tc>
        <w:tc>
          <w:tcPr>
            <w:tcW w:w="380" w:type="dxa"/>
            <w:vAlign w:val="bottom"/>
            <w:tcBorders>
              <w:top w:val="single" w:sz="8" w:color="0000FF"/>
            </w:tcBorders>
            <w:gridSpan w:val="2"/>
          </w:tcPr>
          <w:p>
            <w:pPr>
              <w:spacing w:after="0"/>
              <w:rPr>
                <w:sz w:val="24"/>
                <w:szCs w:val="24"/>
                <w:color w:val="auto"/>
              </w:rPr>
            </w:pPr>
          </w:p>
        </w:tc>
        <w:tc>
          <w:tcPr>
            <w:tcW w:w="1940" w:type="dxa"/>
            <w:vAlign w:val="bottom"/>
            <w:gridSpan w:val="15"/>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 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03/12/2021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43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140" w:type="dxa"/>
            <w:vAlign w:val="bottom"/>
            <w:gridSpan w:val="4"/>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1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280" w:type="dxa"/>
            <w:vAlign w:val="bottom"/>
            <w:gridSpan w:val="9"/>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Rule 13a-14(a) or Rule 15d-</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20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14(a) of the Securities Exchange Act of 1934, as amended</w:t>
            </w:r>
          </w:p>
        </w:tc>
        <w:tc>
          <w:tcPr>
            <w:tcW w:w="20" w:type="dxa"/>
            <w:vAlign w:val="bottom"/>
            <w:tcBorders>
              <w:bottom w:val="single" w:sz="8" w:color="0000EE"/>
            </w:tcBorders>
          </w:tcPr>
          <w:p>
            <w:pPr>
              <w:spacing w:after="0"/>
              <w:rPr>
                <w:sz w:val="17"/>
                <w:szCs w:val="17"/>
                <w:color w:val="auto"/>
              </w:rPr>
            </w:pPr>
          </w:p>
        </w:tc>
        <w:tc>
          <w:tcPr>
            <w:tcW w:w="240" w:type="dxa"/>
            <w:vAlign w:val="bottom"/>
            <w:gridSpan w:val="7"/>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3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w:t>
            </w:r>
          </w:p>
        </w:tc>
        <w:tc>
          <w:tcPr>
            <w:tcW w:w="100" w:type="dxa"/>
            <w:vAlign w:val="bottom"/>
            <w:gridSpan w:val="2"/>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34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13a-14(a) or Rule 15d-14(a) of the Securities Exchange Act</w:t>
            </w:r>
          </w:p>
        </w:tc>
        <w:tc>
          <w:tcPr>
            <w:tcW w:w="120" w:type="dxa"/>
            <w:vAlign w:val="bottom"/>
            <w:gridSpan w:val="3"/>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of 1934, as amended</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2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220" w:type="dxa"/>
            <w:vAlign w:val="bottom"/>
            <w:gridSpan w:val="6"/>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32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140" w:type="dxa"/>
            <w:vAlign w:val="bottom"/>
            <w:gridSpan w:val="4"/>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32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140" w:type="dxa"/>
            <w:vAlign w:val="bottom"/>
            <w:gridSpan w:val="16"/>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1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280" w:type="dxa"/>
            <w:vAlign w:val="bottom"/>
            <w:gridSpan w:val="9"/>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1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300" w:type="dxa"/>
            <w:vAlign w:val="bottom"/>
            <w:gridSpan w:val="10"/>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32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w:t>
            </w:r>
          </w:p>
        </w:tc>
        <w:tc>
          <w:tcPr>
            <w:tcW w:w="140" w:type="dxa"/>
            <w:vAlign w:val="bottom"/>
            <w:gridSpan w:val="4"/>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4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9"/>
          </w:tcPr>
          <w:p>
            <w:pPr>
              <w:spacing w:after="0" w:line="20" w:lineRule="exact"/>
              <w:rPr>
                <w:sz w:val="1"/>
                <w:szCs w:val="1"/>
                <w:color w:val="auto"/>
              </w:rPr>
            </w:pPr>
          </w:p>
        </w:tc>
        <w:tc>
          <w:tcPr>
            <w:tcW w:w="56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39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Policy Relating to Recovery of Erroneously Awarded</w:t>
              </w:r>
            </w:hyperlink>
          </w:p>
        </w:tc>
        <w:tc>
          <w:tcPr>
            <w:tcW w:w="560" w:type="dxa"/>
            <w:vAlign w:val="bottom"/>
            <w:gridSpan w:val="12"/>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 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001-39473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03/04/2024</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0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60">
              <w:r>
                <w:rPr>
                  <w:rFonts w:ascii="Times New Roman" w:cs="Times New Roman" w:eastAsia="Times New Roman" w:hAnsi="Times New Roman"/>
                  <w:sz w:val="18"/>
                  <w:szCs w:val="18"/>
                  <w:color w:val="0000FF"/>
                  <w:w w:val="98"/>
                </w:rPr>
                <w:t>Compensation</w:t>
              </w:r>
            </w:hyperlink>
          </w:p>
        </w:tc>
        <w:tc>
          <w:tcPr>
            <w:tcW w:w="20" w:type="dxa"/>
            <w:vAlign w:val="bottom"/>
            <w:tcBorders>
              <w:bottom w:val="single" w:sz="8" w:color="0000EE"/>
            </w:tcBorders>
          </w:tcPr>
          <w:p>
            <w:pPr>
              <w:spacing w:after="0"/>
              <w:rPr>
                <w:sz w:val="17"/>
                <w:szCs w:val="17"/>
                <w:color w:val="auto"/>
              </w:rPr>
            </w:pPr>
          </w:p>
        </w:tc>
        <w:tc>
          <w:tcPr>
            <w:tcW w:w="3400" w:type="dxa"/>
            <w:vAlign w:val="bottom"/>
            <w:gridSpan w:val="21"/>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4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4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its XBRL</w:t>
            </w: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44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0"/>
        </w:trPr>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rPr>
              <w:t>95</w:t>
            </w: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95" w:name="page96"/>
    <w:bookmarkEnd w:id="95"/>
    <w:tbl>
      <w:tblPr>
        <w:tblLayout w:type="fixed"/>
        <w:tblInd w:w="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148"/>
        </w:trPr>
        <w:tc>
          <w:tcPr>
            <w:tcW w:w="840" w:type="dxa"/>
            <w:vAlign w:val="bottom"/>
            <w:vMerge w:val="continue"/>
          </w:tcPr>
          <w:p>
            <w:pPr>
              <w:spacing w:after="0"/>
              <w:rPr>
                <w:sz w:val="12"/>
                <w:szCs w:val="12"/>
                <w:color w:val="auto"/>
              </w:rPr>
            </w:pPr>
          </w:p>
        </w:tc>
        <w:tc>
          <w:tcPr>
            <w:tcW w:w="48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20" w:type="dxa"/>
            <w:vAlign w:val="bottom"/>
          </w:tcPr>
          <w:p>
            <w:pPr>
              <w:jc w:val="center"/>
              <w:ind w:left="221"/>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55"/>
        </w:trPr>
        <w:tc>
          <w:tcPr>
            <w:tcW w:w="8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2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920" w:type="dxa"/>
            <w:vAlign w:val="bottom"/>
          </w:tcPr>
          <w:p>
            <w:pPr>
              <w:jc w:val="center"/>
              <w:ind w:left="221"/>
              <w:spacing w:after="0" w:line="155" w:lineRule="exact"/>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jc w:val="center"/>
              <w:ind w:left="2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Linkbase Documents</w:t>
            </w:r>
          </w:p>
        </w:tc>
        <w:tc>
          <w:tcPr>
            <w:tcW w:w="1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(as formatted as Inline</w:t>
            </w: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jc w:val="center"/>
              <w:ind w:left="2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1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160" w:hanging="152"/>
        <w:spacing w:after="0"/>
        <w:tabs>
          <w:tab w:leader="none" w:pos="1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attachments to certain of these exhibits have been omitted pursuant to Regulation S-K, Item 601(a)(5).</w:t>
      </w:r>
    </w:p>
    <w:p>
      <w:pPr>
        <w:spacing w:after="0" w:line="184" w:lineRule="exact"/>
        <w:rPr>
          <w:rFonts w:ascii="Times New Roman" w:cs="Times New Roman" w:eastAsia="Times New Roman" w:hAnsi="Times New Roman"/>
          <w:sz w:val="18"/>
          <w:szCs w:val="18"/>
          <w:color w:val="auto"/>
        </w:rPr>
      </w:pPr>
    </w:p>
    <w:p>
      <w:pPr>
        <w:ind w:right="5940"/>
        <w:spacing w:after="0" w:line="4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 * Filed herewith.</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98" w:right="47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770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LENSAR, Inc.</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770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rPr>
              <w:t>By:   /s/ NICHOLAS T. CURTIS</w:t>
            </w:r>
          </w:p>
        </w:tc>
      </w:tr>
      <w:tr>
        <w:trPr>
          <w:trHeight w:val="191"/>
        </w:trPr>
        <w:tc>
          <w:tcPr>
            <w:tcW w:w="34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4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Nicholas T. Curtis</w:t>
            </w:r>
          </w:p>
        </w:tc>
      </w:tr>
      <w:tr>
        <w:trPr>
          <w:trHeight w:val="216"/>
        </w:trPr>
        <w:tc>
          <w:tcPr>
            <w:tcW w:w="34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4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3280" w:type="dxa"/>
            <w:vAlign w:val="bottom"/>
          </w:tcPr>
          <w:p>
            <w:pPr>
              <w:spacing w:after="0"/>
              <w:rPr>
                <w:sz w:val="24"/>
                <w:szCs w:val="24"/>
                <w:color w:val="auto"/>
              </w:rPr>
            </w:pPr>
          </w:p>
        </w:tc>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R. STAAB, II</w:t>
            </w:r>
          </w:p>
        </w:tc>
      </w:tr>
      <w:tr>
        <w:trPr>
          <w:trHeight w:val="191"/>
        </w:trPr>
        <w:tc>
          <w:tcPr>
            <w:tcW w:w="34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4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Thomas R. Staab, II</w:t>
            </w:r>
          </w:p>
        </w:tc>
      </w:tr>
      <w:tr>
        <w:trPr>
          <w:trHeight w:val="216"/>
        </w:trPr>
        <w:tc>
          <w:tcPr>
            <w:tcW w:w="34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413" w:right="339" w:bottom="1440" w:gutter="0" w:footer="0" w:header="0"/>
        </w:sectPr>
      </w:pPr>
    </w:p>
    <w:p>
      <w:pPr>
        <w:spacing w:after="0" w:line="15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3571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8"/>
          <w:szCs w:val="18"/>
          <w:color w:val="auto"/>
        </w:rPr>
        <w:t>/s/ Nicholas T.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Nicholas T. Curtis</w:t>
      </w:r>
    </w:p>
    <w:p>
      <w:pPr>
        <w:spacing w:after="0" w:line="200" w:lineRule="exact"/>
        <w:rPr>
          <w:sz w:val="20"/>
          <w:szCs w:val="20"/>
          <w:color w:val="auto"/>
        </w:rPr>
      </w:pPr>
    </w:p>
    <w:p>
      <w:pPr>
        <w:spacing w:after="0" w:line="223" w:lineRule="exact"/>
        <w:rPr>
          <w:sz w:val="20"/>
          <w:szCs w:val="20"/>
          <w:color w:val="auto"/>
        </w:rPr>
      </w:pPr>
    </w:p>
    <w:p>
      <w:pPr>
        <w:jc w:val="right"/>
        <w:ind w:right="440"/>
        <w:spacing w:after="0"/>
        <w:rPr>
          <w:sz w:val="20"/>
          <w:szCs w:val="20"/>
          <w:color w:val="auto"/>
        </w:rPr>
      </w:pPr>
      <w:r>
        <w:rPr>
          <w:rFonts w:ascii="Times New Roman" w:cs="Times New Roman" w:eastAsia="Times New Roman" w:hAnsi="Times New Roman"/>
          <w:sz w:val="18"/>
          <w:szCs w:val="18"/>
          <w:color w:val="auto"/>
        </w:rPr>
        <w:t>/s/ Thomas R. Staab,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Thomas R. Staab, II</w:t>
      </w:r>
    </w:p>
    <w:p>
      <w:pPr>
        <w:spacing w:after="0" w:line="200" w:lineRule="exact"/>
        <w:rPr>
          <w:sz w:val="20"/>
          <w:szCs w:val="20"/>
          <w:color w:val="auto"/>
        </w:rPr>
      </w:pPr>
    </w:p>
    <w:p>
      <w:pPr>
        <w:spacing w:after="0" w:line="223"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/s/ Kendra W.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Kendra W. Wong</w:t>
      </w:r>
    </w:p>
    <w:p>
      <w:pPr>
        <w:spacing w:after="0" w:line="2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 William J. Link,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William J. Link, Ph.D.</w:t>
      </w:r>
    </w:p>
    <w:p>
      <w:pPr>
        <w:spacing w:after="0" w:line="2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Thomas B.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Thomas B. Ellis</w:t>
      </w:r>
    </w:p>
    <w:p>
      <w:pPr>
        <w:spacing w:after="0" w:line="2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/s/ Todd B.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Todd B. Hammer</w:t>
      </w:r>
    </w:p>
    <w:p>
      <w:pPr>
        <w:spacing w:after="0" w:line="2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/s/ Richard L. Lindstrom,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571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Richard L. Lindstrom, M.D.</w:t>
      </w:r>
    </w:p>
    <w:p>
      <w:pPr>
        <w:spacing w:after="0" w:line="2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 Elizabeth G. O’Farrell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Elizabeth G. O’Farrell</w:t>
      </w:r>
    </w:p>
    <w:p>
      <w:pPr>
        <w:spacing w:after="0" w:line="2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Aimee S. Weisner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Aimee S. Weisner</w:t>
      </w:r>
    </w:p>
    <w:p>
      <w:pPr>
        <w:spacing w:after="0" w:line="22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 Gary M. Winer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Gary M. Winer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05"/>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6"/>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628"/>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6"/>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628"/>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6"/>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accounting officer</w:t>
            </w: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662"/>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Chairperson of the Board of Directors</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661"/>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662"/>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661"/>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662"/>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661"/>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r>
        <w:trPr>
          <w:trHeight w:val="661"/>
        </w:trPr>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27, 2025</w:t>
            </w:r>
          </w:p>
        </w:tc>
      </w:tr>
    </w:tbl>
    <w:p>
      <w:pPr>
        <w:spacing w:after="0" w:line="393" w:lineRule="exact"/>
        <w:rPr>
          <w:sz w:val="20"/>
          <w:szCs w:val="20"/>
          <w:color w:val="auto"/>
        </w:rPr>
      </w:pPr>
    </w:p>
    <w:p>
      <w:pPr>
        <w:sectPr>
          <w:pgSz w:w="11900" w:h="16838" w:orient="portrait"/>
          <w:cols w:equalWidth="0" w:num="2">
            <w:col w:w="3120" w:space="720"/>
            <w:col w:w="7400"/>
          </w:cols>
          <w:pgMar w:left="320" w:top="1413" w:right="33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97" w:name="page98"/>
    <w:bookmarkEnd w:id="9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02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 and 2023 and for the Years Ended December 31, 2024 and 2023</w:t>
            </w:r>
          </w:p>
        </w:tc>
        <w:tc>
          <w:tcPr>
            <w:tcW w:w="1040" w:type="dxa"/>
            <w:vAlign w:val="bottom"/>
          </w:tcPr>
          <w:p>
            <w:pPr>
              <w:spacing w:after="0"/>
              <w:rPr>
                <w:sz w:val="20"/>
                <w:szCs w:val="20"/>
                <w:color w:val="auto"/>
              </w:rPr>
            </w:pPr>
          </w:p>
        </w:tc>
      </w:tr>
      <w:tr>
        <w:trPr>
          <w:trHeight w:val="418"/>
        </w:trPr>
        <w:tc>
          <w:tcPr>
            <w:tcW w:w="32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AUDITED FINANCIAL STATEMENTS</w:t>
            </w:r>
          </w:p>
        </w:tc>
        <w:tc>
          <w:tcPr>
            <w:tcW w:w="7000" w:type="dxa"/>
            <w:vAlign w:val="bottom"/>
            <w:gridSpan w:val="4"/>
          </w:tcPr>
          <w:p>
            <w:pPr>
              <w:spacing w:after="0"/>
              <w:rPr>
                <w:sz w:val="24"/>
                <w:szCs w:val="24"/>
                <w:color w:val="auto"/>
              </w:rPr>
            </w:pPr>
          </w:p>
        </w:tc>
        <w:tc>
          <w:tcPr>
            <w:tcW w:w="1040" w:type="dxa"/>
            <w:vAlign w:val="bottom"/>
          </w:tcPr>
          <w:p>
            <w:pPr>
              <w:spacing w:after="0"/>
              <w:rPr>
                <w:sz w:val="24"/>
                <w:szCs w:val="24"/>
                <w:color w:val="auto"/>
              </w:rPr>
            </w:pPr>
          </w:p>
        </w:tc>
      </w:tr>
      <w:tr>
        <w:trPr>
          <w:trHeight w:val="412"/>
        </w:trPr>
        <w:tc>
          <w:tcPr>
            <w:tcW w:w="102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238)</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5"/>
              </w:rPr>
              <w:t>F-1</w:t>
            </w:r>
          </w:p>
        </w:tc>
      </w:tr>
      <w:tr>
        <w:trPr>
          <w:trHeight w:val="412"/>
        </w:trPr>
        <w:tc>
          <w:tcPr>
            <w:tcW w:w="7140" w:type="dxa"/>
            <w:vAlign w:val="bottom"/>
            <w:tcBorders>
              <w:top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rPr>
              <w:t>STATEMENTS OF OPERATIONS AND COMPREHENSIVE LOSS</w:t>
            </w:r>
          </w:p>
        </w:tc>
        <w:tc>
          <w:tcPr>
            <w:tcW w:w="3060" w:type="dxa"/>
            <w:vAlign w:val="bottom"/>
            <w:gridSpan w:val="2"/>
          </w:tcPr>
          <w:p>
            <w:pPr>
              <w:spacing w:after="0"/>
              <w:rPr>
                <w:sz w:val="24"/>
                <w:szCs w:val="24"/>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5"/>
              </w:rPr>
              <w:t>F-2</w:t>
            </w:r>
          </w:p>
        </w:tc>
      </w:tr>
      <w:tr>
        <w:trPr>
          <w:trHeight w:val="412"/>
        </w:trPr>
        <w:tc>
          <w:tcPr>
            <w:tcW w:w="1580" w:type="dxa"/>
            <w:vAlign w:val="bottom"/>
            <w:tcBorders>
              <w:top w:val="single" w:sz="8" w:color="0000FF"/>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BALANCE SHEETS</w:t>
            </w:r>
          </w:p>
        </w:tc>
        <w:tc>
          <w:tcPr>
            <w:tcW w:w="20" w:type="dxa"/>
            <w:vAlign w:val="bottom"/>
            <w:tcBorders>
              <w:top w:val="single" w:sz="8" w:color="0000FF"/>
              <w:bottom w:val="single" w:sz="8" w:color="0000EE"/>
            </w:tcBorders>
          </w:tcPr>
          <w:p>
            <w:pPr>
              <w:spacing w:after="0"/>
              <w:rPr>
                <w:sz w:val="24"/>
                <w:szCs w:val="24"/>
                <w:color w:val="auto"/>
              </w:rPr>
            </w:pPr>
          </w:p>
        </w:tc>
        <w:tc>
          <w:tcPr>
            <w:tcW w:w="3500" w:type="dxa"/>
            <w:vAlign w:val="bottom"/>
            <w:tcBorders>
              <w:top w:val="single" w:sz="8" w:color="0000FF"/>
            </w:tcBorders>
            <w:gridSpan w:val="4"/>
          </w:tcPr>
          <w:p>
            <w:pPr>
              <w:spacing w:after="0"/>
              <w:rPr>
                <w:sz w:val="24"/>
                <w:szCs w:val="24"/>
                <w:color w:val="auto"/>
              </w:rPr>
            </w:pPr>
          </w:p>
        </w:tc>
        <w:tc>
          <w:tcPr>
            <w:tcW w:w="5100" w:type="dxa"/>
            <w:vAlign w:val="bottom"/>
            <w:gridSpan w:val="3"/>
          </w:tcPr>
          <w:p>
            <w:pPr>
              <w:spacing w:after="0"/>
              <w:rPr>
                <w:sz w:val="24"/>
                <w:szCs w:val="24"/>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5"/>
              </w:rPr>
              <w:t>F-3</w:t>
            </w:r>
          </w:p>
        </w:tc>
      </w:tr>
      <w:tr>
        <w:trPr>
          <w:trHeight w:val="412"/>
        </w:trPr>
        <w:tc>
          <w:tcPr>
            <w:tcW w:w="102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STATEMENTS OF CASH FLOWS</w:t>
            </w: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66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3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942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9"/>
              </w:rPr>
              <w:t>STATEMENT OF CHANGES IN REDEEMABLE CONVERTIBLE PREFERRED STOCK AND STOCKHOLDERS’ EQUITY</w:t>
            </w:r>
          </w:p>
        </w:tc>
        <w:tc>
          <w:tcPr>
            <w:tcW w:w="780" w:type="dxa"/>
            <w:vAlign w:val="bottom"/>
          </w:tcPr>
          <w:p>
            <w:pPr>
              <w:spacing w:after="0"/>
              <w:rPr>
                <w:sz w:val="24"/>
                <w:szCs w:val="24"/>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5"/>
              </w:rPr>
              <w:t>F-6</w:t>
            </w:r>
          </w:p>
        </w:tc>
      </w:tr>
      <w:tr>
        <w:trPr>
          <w:trHeight w:val="412"/>
        </w:trPr>
        <w:tc>
          <w:tcPr>
            <w:tcW w:w="312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7080" w:type="dxa"/>
            <w:vAlign w:val="bottom"/>
            <w:gridSpan w:val="5"/>
          </w:tcPr>
          <w:p>
            <w:pPr>
              <w:spacing w:after="0"/>
              <w:rPr>
                <w:sz w:val="24"/>
                <w:szCs w:val="24"/>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5"/>
              </w:rPr>
              <w:t>F-7</w:t>
            </w:r>
          </w:p>
        </w:tc>
      </w:tr>
      <w:tr>
        <w:trPr>
          <w:trHeight w:val="885"/>
        </w:trPr>
        <w:tc>
          <w:tcPr>
            <w:tcW w:w="7140" w:type="dxa"/>
            <w:vAlign w:val="bottom"/>
            <w:gridSpan w:val="7"/>
          </w:tcPr>
          <w:p>
            <w:pPr>
              <w:ind w:left="5540"/>
              <w:spacing w:after="0"/>
              <w:rPr>
                <w:sz w:val="20"/>
                <w:szCs w:val="20"/>
                <w:color w:val="auto"/>
              </w:rPr>
            </w:pPr>
            <w:r>
              <w:rPr>
                <w:rFonts w:ascii="Times New Roman" w:cs="Times New Roman" w:eastAsia="Times New Roman" w:hAnsi="Times New Roman"/>
                <w:sz w:val="18"/>
                <w:szCs w:val="18"/>
                <w:color w:val="auto"/>
              </w:rPr>
              <w:t>98</w:t>
            </w:r>
          </w:p>
        </w:tc>
        <w:tc>
          <w:tcPr>
            <w:tcW w:w="2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63"/>
        </w:trPr>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p>
      <w:pPr>
        <w:ind w:left="3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LENSAR,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LENSAR, Inc. (the “Company”) as of December 31, 2024 and 2023, and the related statements of operations and comprehensive loss, of changes in redeemable convertible preferred stock and stockholders' equity and of cash flows for the years then ended, including the related notes (collectively referred to as the “financial statements”). In our opinion, the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financial statements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6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41,065</w:t>
            </w:r>
          </w:p>
        </w:tc>
        <w:tc>
          <w:tcPr>
            <w:tcW w:w="280" w:type="dxa"/>
            <w:vAlign w:val="bottom"/>
          </w:tcPr>
          <w:p>
            <w:pPr>
              <w:spacing w:after="0"/>
              <w:rPr>
                <w:sz w:val="18"/>
                <w:szCs w:val="18"/>
                <w:color w:val="auto"/>
              </w:rPr>
            </w:pP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31,643</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Lease</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00" w:type="dxa"/>
            <w:vAlign w:val="bottom"/>
          </w:tcPr>
          <w:p>
            <w:pPr>
              <w:spacing w:after="0"/>
              <w:rPr>
                <w:sz w:val="18"/>
                <w:szCs w:val="18"/>
                <w:color w:val="auto"/>
              </w:rPr>
            </w:pPr>
          </w:p>
        </w:tc>
      </w:tr>
      <w:tr>
        <w:trPr>
          <w:trHeight w:val="210"/>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53,494</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 (exclusive of amortization)</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18,254</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13,902</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 of revenue</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27,643</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21,057</w:t>
            </w:r>
          </w:p>
        </w:tc>
        <w:tc>
          <w:tcPr>
            <w:tcW w:w="100" w:type="dxa"/>
            <w:vAlign w:val="bottom"/>
          </w:tcPr>
          <w:p>
            <w:pPr>
              <w:spacing w:after="0"/>
              <w:rPr>
                <w:sz w:val="18"/>
                <w:szCs w:val="18"/>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26,488</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26,100</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36,516</w:t>
            </w:r>
          </w:p>
        </w:tc>
        <w:tc>
          <w:tcPr>
            <w:tcW w:w="28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33,336</w:t>
            </w:r>
          </w:p>
        </w:tc>
        <w:tc>
          <w:tcPr>
            <w:tcW w:w="100" w:type="dxa"/>
            <w:vAlign w:val="bottom"/>
            <w:tcBorders>
              <w:top w:val="single" w:sz="8" w:color="CFF0FC"/>
            </w:tcBorders>
          </w:tcPr>
          <w:p>
            <w:pPr>
              <w:spacing w:after="0"/>
              <w:rPr>
                <w:sz w:val="18"/>
                <w:szCs w:val="18"/>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(10,665 )</w:t>
            </w: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(12,229 )</w:t>
            </w:r>
          </w:p>
        </w:tc>
      </w:tr>
      <w:tr>
        <w:trPr>
          <w:trHeight w:val="209"/>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9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(21,399 )</w:t>
            </w: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(2,852 )</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8"/>
                <w:szCs w:val="18"/>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(31,404 )</w:t>
            </w: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(14,383 )</w:t>
            </w:r>
          </w:p>
        </w:tc>
      </w:tr>
      <w:tr>
        <w:trPr>
          <w:trHeight w:val="210"/>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gain</w:t>
            </w:r>
          </w:p>
        </w:tc>
        <w:tc>
          <w:tcPr>
            <w:tcW w:w="9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unrealized gain on investments</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(31,402 )</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(14,379 )</w:t>
            </w: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(2.73 )</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(1.31 )</w:t>
            </w: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4"/>
        </w:trPr>
        <w:tc>
          <w:tcPr>
            <w:tcW w:w="7760" w:type="dxa"/>
            <w:vAlign w:val="bottom"/>
            <w:shd w:val="clear" w:color="auto" w:fill="CFF0FC"/>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Weighted-average number of shares used in calculation of net loss per</w:t>
            </w: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8"/>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common share:</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10,971</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-3445510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-2887980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-2047875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-1756410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-1190625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-908050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00" w:name="page101"/>
    <w:bookmarkEnd w:id="100"/>
    <w:p>
      <w:pPr>
        <w:ind w:left="5060"/>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16,263</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20,621</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 of $105 and $62, respectively</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receivable, net of allowance of $8 and $7, respectively</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tcPr>
          <w:p>
            <w:pPr>
              <w:spacing w:after="0"/>
              <w:rPr>
                <w:sz w:val="18"/>
                <w:szCs w:val="18"/>
                <w:color w:val="auto"/>
              </w:rPr>
            </w:pPr>
          </w:p>
        </w:tc>
      </w:tr>
      <w:tr>
        <w:trPr>
          <w:trHeight w:val="209"/>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41,979</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46,444</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under lease, net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and other receivables, long-term, net of allowance of $23 and $26, respectively</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11,025</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66,297</w:t>
            </w:r>
          </w:p>
        </w:tc>
        <w:tc>
          <w:tcPr>
            <w:tcW w:w="280" w:type="dxa"/>
            <w:vAlign w:val="bottom"/>
          </w:tcPr>
          <w:p>
            <w:pPr>
              <w:spacing w:after="0"/>
              <w:rPr>
                <w:sz w:val="18"/>
                <w:szCs w:val="18"/>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69,585</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5,995</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8"/>
                <w:szCs w:val="18"/>
                <w:color w:val="auto"/>
              </w:rPr>
            </w:pPr>
          </w:p>
        </w:tc>
      </w:tr>
      <w:tr>
        <w:trPr>
          <w:trHeight w:val="210"/>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15,003</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29,856</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8"/>
                <w:szCs w:val="18"/>
                <w:color w:val="auto"/>
              </w:rPr>
            </w:pPr>
          </w:p>
        </w:tc>
      </w:tr>
      <w:tr>
        <w:trPr>
          <w:trHeight w:val="210"/>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47,651</w:t>
            </w:r>
          </w:p>
        </w:tc>
        <w:tc>
          <w:tcPr>
            <w:tcW w:w="2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Series A Redeemable Convertible Preferred Stock, par value $0.01 per share, 20 shares authorized at</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2024 and 2023; 20 shares issued and outstanding at December 31, 2024 and 2023;</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aggregate liquidation preference of $20,000 at December 31, 2024 and 2023</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13,747</w:t>
            </w:r>
          </w:p>
        </w:tc>
        <w:tc>
          <w:tcPr>
            <w:tcW w:w="100" w:type="dxa"/>
            <w:vAlign w:val="bottom"/>
            <w:shd w:val="clear" w:color="auto" w:fill="CFF0FC"/>
          </w:tcPr>
          <w:p>
            <w:pPr>
              <w:spacing w:after="0"/>
              <w:rPr>
                <w:sz w:val="20"/>
                <w:szCs w:val="20"/>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6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par value $0.01 per share, 9,980 shares authorized at December 31, 2024 and 2023;</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 shares issued and outstanding at December 31, 2024 and 2023</w:t>
            </w:r>
          </w:p>
        </w:tc>
        <w:tc>
          <w:tcPr>
            <w:tcW w:w="3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150,000 shares authorized at December 31, 2024 and 2023;</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11,654 and 11,327 shares issued and outstanding at December 31, 2024 and 2023, respectively</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148,035</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145,203</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(143,295 )</w:t>
            </w:r>
          </w:p>
        </w:tc>
        <w:tc>
          <w:tcPr>
            <w:tcW w:w="5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(111,891 )</w:t>
            </w:r>
          </w:p>
        </w:tc>
      </w:tr>
      <w:tr>
        <w:trPr>
          <w:trHeight w:val="210"/>
        </w:trPr>
        <w:tc>
          <w:tcPr>
            <w:tcW w:w="77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280" w:type="dxa"/>
            <w:vAlign w:val="bottom"/>
            <w:tcBorders>
              <w:top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33,429</w:t>
            </w:r>
          </w:p>
        </w:tc>
        <w:tc>
          <w:tcPr>
            <w:tcW w:w="100" w:type="dxa"/>
            <w:vAlign w:val="bottom"/>
            <w:tcBorders>
              <w:top w:val="single" w:sz="8" w:color="CFF0FC"/>
            </w:tcBorders>
          </w:tcPr>
          <w:p>
            <w:pPr>
              <w:spacing w:after="0"/>
              <w:rPr>
                <w:sz w:val="18"/>
                <w:szCs w:val="18"/>
                <w:color w:val="auto"/>
              </w:rPr>
            </w:pPr>
          </w:p>
        </w:tc>
      </w:tr>
      <w:tr>
        <w:trPr>
          <w:trHeight w:val="250"/>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redeemable convertible preferred stock, and stockholders’ equity</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66,297</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69,585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-3668395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-3668395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-1971040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-316865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01" w:name="page102"/>
    <w:bookmarkEnd w:id="10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6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(31,404 )</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(14,383 )</w:t>
            </w: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Write-down of inventory</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21,399</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on investments, net</w:t>
            </w: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(250 )</w:t>
            </w: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(2,189 )</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Notes receivable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(980 )</w:t>
            </w: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(1,305 )</w:t>
            </w: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(4,899 )</w:t>
            </w: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(7,461 )</w:t>
            </w: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(1,417 )</w:t>
            </w: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(559 )</w:t>
            </w: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(539 )</w:t>
            </w:r>
          </w:p>
        </w:tc>
      </w:tr>
      <w:tr>
        <w:trPr>
          <w:trHeight w:val="216"/>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(84 )</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8"/>
                <w:szCs w:val="18"/>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(2,275 )</w:t>
            </w: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(9,659 )</w:t>
            </w: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(156 )</w:t>
            </w: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(236 )</w:t>
            </w: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 of investments</w:t>
            </w: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(10,245 )</w:t>
            </w: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(3,920 )</w:t>
            </w: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(2,161 )</w:t>
            </w: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(4,156 )</w:t>
            </w:r>
          </w:p>
        </w:tc>
      </w:tr>
      <w:tr>
        <w:trPr>
          <w:trHeight w:val="210"/>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through option exercises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settlement of stock-based compensation awards</w:t>
            </w: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(188 )</w:t>
            </w: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(52 )</w:t>
            </w: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redeemable convertible preferred stock, net of offering costs</w:t>
            </w:r>
          </w:p>
        </w:tc>
        <w:tc>
          <w:tcPr>
            <w:tcW w:w="9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issuance of warrants</w:t>
            </w: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accrued offering costs allocable to preferred stock</w:t>
            </w:r>
          </w:p>
        </w:tc>
        <w:tc>
          <w:tcPr>
            <w:tcW w:w="9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(98 )</w:t>
            </w:r>
          </w:p>
        </w:tc>
        <w:tc>
          <w:tcPr>
            <w:tcW w:w="9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9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(4,358 )</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20,621</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year</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16,263</w:t>
            </w:r>
          </w:p>
        </w:tc>
        <w:tc>
          <w:tcPr>
            <w:tcW w:w="280" w:type="dxa"/>
            <w:vAlign w:val="bottom"/>
          </w:tcPr>
          <w:p>
            <w:pPr>
              <w:spacing w:after="0"/>
              <w:rPr>
                <w:sz w:val="18"/>
                <w:szCs w:val="18"/>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20,621</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-2416810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-1567815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-453390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02" w:name="page103"/>
    <w:bookmarkEnd w:id="10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CASH FLOWS, continued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2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7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taxes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 from Inventories to Equipment under lease, net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9,066</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Transfer from (to) Inventories to (from) Property and equipment, net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(491 )</w:t>
            </w:r>
          </w:p>
        </w:tc>
      </w:tr>
      <w:tr>
        <w:trPr>
          <w:trHeight w:val="234"/>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offering costs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(135 )</w:t>
            </w:r>
          </w:p>
        </w:tc>
      </w:tr>
    </w:tbl>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03" w:name="page104"/>
    <w:bookmarkEnd w:id="10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LENSAR,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 OF CHANGES IN REDEEMABLE CONVERTIBLE PREFERRED STOCK AND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3800" w:type="dxa"/>
            <w:vAlign w:val="bottom"/>
          </w:tcPr>
          <w:p>
            <w:pPr>
              <w:spacing w:after="0"/>
              <w:rPr>
                <w:sz w:val="2"/>
                <w:szCs w:val="2"/>
                <w:color w:val="auto"/>
              </w:rPr>
            </w:pPr>
          </w:p>
        </w:tc>
        <w:tc>
          <w:tcPr>
            <w:tcW w:w="1140" w:type="dxa"/>
            <w:vAlign w:val="bottom"/>
            <w:gridSpan w:val="3"/>
            <w:vMerge w:val="restart"/>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8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800" w:type="dxa"/>
            <w:vAlign w:val="bottom"/>
          </w:tcPr>
          <w:p>
            <w:pPr>
              <w:spacing w:after="0"/>
              <w:rPr>
                <w:sz w:val="9"/>
                <w:szCs w:val="9"/>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560" w:type="dxa"/>
            <w:vAlign w:val="bottom"/>
            <w:gridSpan w:val="4"/>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140" w:type="dxa"/>
            <w:vAlign w:val="bottom"/>
            <w:gridSpan w:val="3"/>
          </w:tcPr>
          <w:p>
            <w:pPr>
              <w:jc w:val="center"/>
              <w:ind w:left="334"/>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4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20" w:type="dxa"/>
            <w:vAlign w:val="bottom"/>
          </w:tcPr>
          <w:p>
            <w:pPr>
              <w:spacing w:after="0"/>
              <w:rPr>
                <w:sz w:val="12"/>
                <w:szCs w:val="12"/>
                <w:color w:val="auto"/>
              </w:rPr>
            </w:pPr>
          </w:p>
        </w:tc>
        <w:tc>
          <w:tcPr>
            <w:tcW w:w="60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continue"/>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20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165"/>
        </w:trPr>
        <w:tc>
          <w:tcPr>
            <w:tcW w:w="3800" w:type="dxa"/>
            <w:vAlign w:val="bottom"/>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ed</w:t>
            </w:r>
          </w:p>
        </w:tc>
        <w:tc>
          <w:tcPr>
            <w:tcW w:w="120" w:type="dxa"/>
            <w:vAlign w:val="bottom"/>
          </w:tcPr>
          <w:p>
            <w:pPr>
              <w:spacing w:after="0"/>
              <w:rPr>
                <w:sz w:val="13"/>
                <w:szCs w:val="13"/>
                <w:color w:val="auto"/>
              </w:rPr>
            </w:pPr>
          </w:p>
        </w:tc>
        <w:tc>
          <w:tcPr>
            <w:tcW w:w="600" w:type="dxa"/>
            <w:vAlign w:val="bottom"/>
          </w:tcPr>
          <w:p>
            <w:pPr>
              <w:jc w:val="center"/>
              <w:ind w:right="33"/>
              <w:spacing w:after="0" w:line="160" w:lineRule="exact"/>
              <w:rPr>
                <w:sz w:val="20"/>
                <w:szCs w:val="20"/>
                <w:color w:val="auto"/>
              </w:rPr>
            </w:pPr>
            <w:r>
              <w:rPr>
                <w:rFonts w:ascii="Times New Roman" w:cs="Times New Roman" w:eastAsia="Times New Roman" w:hAnsi="Times New Roman"/>
                <w:sz w:val="14"/>
                <w:szCs w:val="14"/>
                <w:b w:val="1"/>
                <w:bCs w:val="1"/>
                <w:color w:val="auto"/>
              </w:rPr>
              <w:t>nsive</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7"/>
              </w:rPr>
              <w:t>rs’</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78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20" w:type="dxa"/>
            <w:vAlign w:val="bottom"/>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2"/>
                <w:szCs w:val="12"/>
                <w:color w:val="auto"/>
              </w:rPr>
            </w:pPr>
          </w:p>
        </w:tc>
        <w:tc>
          <w:tcPr>
            <w:tcW w:w="82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600" w:type="dxa"/>
            <w:vAlign w:val="bottom"/>
          </w:tcPr>
          <w:p>
            <w:pPr>
              <w:jc w:val="center"/>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1"/>
        </w:trPr>
        <w:tc>
          <w:tcPr>
            <w:tcW w:w="380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7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220" w:type="dxa"/>
            <w:vAlign w:val="bottom"/>
            <w:tcBorders>
              <w:right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139,38</w:t>
            </w:r>
          </w:p>
        </w:tc>
        <w:tc>
          <w:tcPr>
            <w:tcW w:w="2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shd w:val="clear" w:color="auto" w:fill="CFF0FC"/>
          </w:tcPr>
          <w:p>
            <w:pPr>
              <w:spacing w:after="0"/>
              <w:rPr>
                <w:sz w:val="20"/>
                <w:szCs w:val="20"/>
                <w:color w:val="auto"/>
              </w:rPr>
            </w:pP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9"/>
              </w:rPr>
              <w:t>(97,508 )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8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Series A Redeemable Convertible</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13,74</w:t>
            </w: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net of offering costs of $649</w:t>
            </w: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20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under the 2020 Plan</w:t>
            </w: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2020 Plan, net</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forfeitures</w:t>
            </w: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the 2020 ESPP</w:t>
            </w: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 cancelled</w:t>
            </w: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9"/>
              </w:rPr>
              <w:t>(14,383 )</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(14,383 )</w:t>
            </w: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unrealized gain on investments</w:t>
            </w: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80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7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8"/>
              </w:rPr>
              <w:t>13,74</w:t>
            </w:r>
          </w:p>
        </w:tc>
        <w:tc>
          <w:tcPr>
            <w:tcW w:w="220" w:type="dxa"/>
            <w:vAlign w:val="bottom"/>
            <w:tcBorders>
              <w:right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145,20</w:t>
            </w:r>
          </w:p>
        </w:tc>
        <w:tc>
          <w:tcPr>
            <w:tcW w:w="2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(111,89</w:t>
            </w: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shd w:val="clear" w:color="auto" w:fill="CFF0FC"/>
          </w:tcPr>
          <w:p>
            <w:pPr>
              <w:spacing w:after="0"/>
              <w:rPr>
                <w:sz w:val="20"/>
                <w:szCs w:val="20"/>
                <w:color w:val="auto"/>
              </w:rPr>
            </w:pP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20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right w:val="single" w:sz="8" w:color="auto"/>
            </w:tcBorders>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under the 2020 Plan</w:t>
            </w: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 under the Incentive Plans</w:t>
            </w: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Incentive</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Plans, net of forfeitures</w:t>
            </w: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(196 )</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(194 )</w:t>
            </w: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the 2020 ESPP</w:t>
            </w: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offering costs accrual release</w:t>
            </w: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9"/>
              </w:rPr>
              <w:t>(31,404 )</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(31,404 )</w:t>
            </w: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unrealized gain on investments</w:t>
            </w:r>
          </w:p>
        </w:tc>
        <w:tc>
          <w:tcPr>
            <w:tcW w:w="7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80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7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w w:val="98"/>
              </w:rPr>
              <w:t>13,78</w:t>
            </w:r>
          </w:p>
        </w:tc>
        <w:tc>
          <w:tcPr>
            <w:tcW w:w="220" w:type="dxa"/>
            <w:vAlign w:val="bottom"/>
            <w:tcBorders>
              <w:right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148,03</w:t>
            </w:r>
          </w:p>
        </w:tc>
        <w:tc>
          <w:tcPr>
            <w:tcW w:w="2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(143,29</w:t>
            </w: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3800" w:type="dxa"/>
            <w:vAlign w:val="bottom"/>
            <w:shd w:val="clear" w:color="auto" w:fill="CFF0FC"/>
          </w:tcPr>
          <w:p>
            <w:pPr>
              <w:spacing w:after="0"/>
              <w:rPr>
                <w:sz w:val="22"/>
                <w:szCs w:val="22"/>
                <w:color w:val="auto"/>
              </w:rPr>
            </w:pP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20</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11,654</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-24765</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-7620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ind w:left="398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Organization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LENSAR, Inc. (“LENSAR” or the “Company”) is a global medical device business focused on the design, development and commercialization of advanced technology for the treatment of cataracts and management of astigmatism to achieve improved visual outcomes for patients. The Company is a public company whose stock is listed and trading under the symbol “LNSR” on The Nasdaq Stock Market LLC (“Nasdaq”). The Company’s revenue is derived from the sale and lease of the Company’s LENSAR Laser System (“LLS”) and ALLY Robotic Cataract Laser System™ (“ALLY System”) (collectively the “Systems”), which may include equipment, a consumable referred to as the Patient Interface Device (“PID”), procedure licenses, training, installation, limited warranty and maintenance agreements through extended warranty. The Company has developed its ALLY System as a compact, highly ergonomic system utilizing an extremely fast dual-modality laser and integrating artificial intelligence (“AI”) into proprietary imaging and software. The ALLY System is designed to transform premium cataract surgery by utilizing LENSAR’s advanced robotic technologies with the ability to perform the entire procedure in a sterile operating room or in-office surgical suite, delivering operational efficiencies and reducing overhead. The Company executed a controlled and targeted initial launch of the ALLY System beginning in August 2022 in the United States. The ALLY System is available to U.S. and European Union cataract surgeons and has also received regulatory clearance in India, Taiwan, and certain other countries. In addition, the Company is pursuing additional marketing or certification applications through its distributors in South Korea and China.</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incurred recurring losses and operating cash outflows since its inception and as of December 31, 2024 had an accumulated deficit of $143,295. The Company expects to continue to incur losses and cash outflows from operating activities for the near-term future. Pricing increases in component parts for the ALLY System resulting from inflationary pressures and related macroeconomic conditions may necessitate an increase in overall cost to customers, which in turn may have an adverse impact on customer demand.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believes the Company’s cash, cash equivalents, and investments, together with cash generated from the future sale and lease of products, will provide sufficient funds for its operating, investing, and financing cash flows for a period of at least twelve months from the date of issuance of these financial statements. The Company expects annual revenue and selling, general and administrative expenses to increase from current levels associated with the increase in ALLY System placements. In addition, the Company’s growth depends in part on the Company’s ability to produce the ALLY System in sufficient quantities, within requested timelines and at an acceptable price to satisfy customer demand. The Company’s liquidity needs will be largely determined by the Company’s ability to continue to successfully commercialize its products and the progression, additional regulatory clearances or certifications and launch of the ALLY System in additional jurisdictions in the future. In the future, the Company may need to raise additional capital through equity or debt financings, borrowings under credit facilities or from other sources in the future. The Company may issue securities, including common stock, preferred stock, warrants, and/or debt securities through private placement transactions or registered public offerings in the future. The Company’s ability to raise additional funds will depend, among other factors, on financial, economic and market conditions, many of which are outside of the Company’s control, and the Company may be unable to raise financing when needed, or on terms favorable to the Company. If the necessary funds are not available from these sources, the Company may have to delay, reduce or suspend the scope of its sales and marketing efforts, research and development activities, or other components of its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financial statements have been prepared in accordance with generally accepted accounting principles in the United States of America (“U.S. GAAP”) and pursuant to the regulations of the U.S. Securities and Exchange Commission (“SEC”). Certain balances in the prior year financial statements have been reclassified for comparison purposes to conform to the presentation in the current period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to the financial statements. The accounting estimates that require management’s most significant, difficult and subjective judgments include, but are not limited to, revenue recognition and allowance for expected credit losses, the valuation of notes receivable and inventory, the assessment of recoverability of intangible assets and their estimated useful lives, the valuation and recognition of stock-based compensation, operating lease right-of-use assets and liabilities, the recognition and measurement of current and deferred income tax assets and liabilities, and the valuation of warrant liabilities. Management evaluates its estimates on an ongoing basis as there are changes in circumstances, facts, and experience. Changes in estimates are recorded in the period in which they become known. Actual results could differ from these estimates.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issuance of these financial statements, the Company is not aware of any specific event or circumstance that would require the Company to update estimates, judgments or revise the carrying value of any assets or liabilities.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initial maturities of three months or less at the date of purchase to be cash equivalents. Cash equivalents consist primarily of amounts invested in money market funds and U.S. Treasury bills that are stated at fair value, based on quoted market prices.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consist of money market funds, U.S. treasury bills and government securities, and certificates of deposit. The Company’s investments are classified as available-for-sale and carried at estimated fair values and reported in cash equivalents, short-term investments, and long-term investments. Management determines the appropriate classification of the investments at the time they are purchased and evaluates the appropriateness of such classifications at each balance sheet date. Investments with contractual maturities greater than 12 months are considered long-term investments.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unrealized gains or losses of investments are recorded in other comprehensive income on the statements of operations. The Company regularly reviews its investments for declines in estimated fair value below amortized cost. The factors considered in determining whether a credit loss exists include the creditworthiness of the security issuers, the number of investments in an unrealized loss position, the severity and duration of the unrealized losses, and whether it is more likely than not that the Company will be required to sell the investments before the recovery of their amortized cost basis. The cost of investments sold is based on the specific identification method. In circumstances when an unrealized loss is determined to be credit-related, or when the Company intends to sell or is more likely than not required to sell a security before it recovers its amortized cost basis, the difference between the fair value and the amortized cost of the security is recognized within other income, net in the statements of operations, and an allowance for credit loss is recorded on the balance sheets. In circumstances when the decline in fair value is non-credit related, the difference is reported in accumulated other comprehensive loss, net of tax as a separate component of stockholders’ equity.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Credit Losses, and Other Risks and Uncertainties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cash equivalents, and investments. The primary objectives for the Company’s investment portfolio are the preservation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 capital and the maintenance of liquidity. The Company maintains deposits in federally insured financial institutions in excess of federally insured limits. The Company is exposed to credit risk in the event of default by the financial institutions holding its cash, cash equivalents and investments and issuers of investments. The Company manages its credit risk by holding its cash, cash equivalents and investments in large financial institutions within the U.S. In addition, the Company’s investment policy limits investments to certain types of instruments such as money market funds, debt securities issued by the U.S. government and its agencies, corporate debt securities, commercial paper as well as asset-backed securities, and places restrictions on the credit ratings, maturities and concentration by type and issuer. Furthermore, the Company limits the amount of credit exposure in any one financial instrument. The Company has not experienced any losses on its deposits of cash, cash equivalents and investments.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$136 and $95 for allowance for credit losses as of December 31, 2024 and 2023, respectively. The Company makes estimates of the collectability of accounts receivable. In doing so, the Company analyzes historical bad debt trends, customer credit worthiness, current economic trends, changes in customer payment patterns, and possible impact of current conditions and reasonable forecasts not already reflected in historical loss information when evaluating the adequacy of the allowance for credit losses. Amounts are charged off against the allowance for credit losses when the Company determines that recovery is unlikely, and the Company ceases collection efforts.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evaluates financial instruments to determine if such instruments are derivatives or contain features that qualify as embedded derivatives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For derivative financial instruments that are accounted for as liabilities, the derivative instrument is initially recorded at its fair value and is then re-valued at each reporting date, with changes in the fair value reported in the statements of operations. Warrants issued by the Company that do not meet the criteria for equity treatment are recorded as liabilities. We do not use financial instruments or derivatives for any trading purposes.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financial instruments are estimates of the amounts that would be received if the Company were to sell an asset or the Company paid to transfer a liability in an orderly transaction between market participants at the measurement date or exit price. The assets and liabilities are categorized and disclosed in one of the following three categories:</w:t>
      </w:r>
    </w:p>
    <w:p>
      <w:pPr>
        <w:spacing w:after="0" w:line="135" w:lineRule="exact"/>
        <w:rPr>
          <w:sz w:val="20"/>
          <w:szCs w:val="20"/>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1—based on quoted market prices in active markets for identical assets and liabilities.</w:t>
      </w:r>
    </w:p>
    <w:p>
      <w:pPr>
        <w:spacing w:after="0" w:line="198"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2—based on observable inputs other than quoted prices in active markets for identical assets and liabilities, quoted prices for identical or similar assets or liabilities in inactive markets, or other inputs that are or can be corroborated by observable market data for substantially the full term of the assets or liabilities.</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3—based on unobservable inputs using management’s best estimate and assumptions when inputs are unavailable.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measurements are classified in their entirety based on the lowest level of input that is significant to their fair value measurement.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Inventory, which consists of raw materials, work-in-process and finished goods, is stated at the lower of cost or net realizable value. The Company determines cost using standard costs which approximates actual costs determined on the first-in, first-out basis. Inventory levels are analyzed periodically and written down to their net realizable value if they have become obsolete, have a cost basis in excess of expected net realizable value or are in excess of expected requirements. The Company analyzes current and future product demand relative to the remaining product shelf life to identify potential excess inventory. The Company builds demand forecasts by considering factors such as, but not limited to, overall market potential, market share, market acceptance and patient usage. The Company classifies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as current on the balance sheets when the Company expects inventory to be consumed for commercial use within the next twelve months.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Intangible assets with finite useful lives consist primarily of acquired product rights, acquired technology, and customer relationships. Acquired product rights and acquired technology are amortized on a straight-line basis over their estimated useful lives of 15 to 20 years. Customer relationships are amortized on a straight-line basis or a double declining basis over their estimated useful lives up to 20 years, based on the method that better represents the economic benefits to be obtained. The estimated useful lives associated with finite-lived intangible assets are consistent with the estimated lives of the associated products and may be modified when circumstances warrant. Such assets are reviewed for impairment when events or circumstances indicate that the carrying value of an asset may not be recoverable. An impairment loss would be recognized when estimated undiscounted future cash flows expected to result from the use of an asset and its eventual disposition are less than its carrying amount. During the year ended December 31, 2024, the Company recorded an impairment for intangible assets, see Note 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for more details. The Company did not record any impairment of its intangible assets for the year ended December 31, 2023.</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Repairs and maintenance costs are expensed as incurred. Depreciation is computed using the straight-line method over the following estimated useful lives:</w:t>
      </w:r>
    </w:p>
    <w:p>
      <w:pPr>
        <w:sectPr>
          <w:pgSz w:w="11900" w:h="16838" w:orient="portrait"/>
          <w:cols w:equalWidth="0" w:num="1">
            <w:col w:w="11240"/>
          </w:cols>
          <w:pgMar w:left="320" w:top="1440" w:right="339" w:bottom="1440" w:gutter="0" w:footer="0" w:header="0"/>
        </w:sectPr>
      </w:pPr>
    </w:p>
    <w:p>
      <w:pPr>
        <w:spacing w:after="0" w:line="6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Research and development equipment</w:t>
      </w:r>
    </w:p>
    <w:p>
      <w:pPr>
        <w:spacing w:after="0" w:line="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Manufacturing equipment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Computer and office equipment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Transportation equipment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Software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Lesser of useful life or term of lease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 years</w:t>
      </w:r>
    </w:p>
    <w:p>
      <w:pPr>
        <w:spacing w:after="0" w:line="9" w:lineRule="exact"/>
        <w:rPr>
          <w:sz w:val="20"/>
          <w:szCs w:val="20"/>
          <w:color w:val="auto"/>
        </w:rPr>
      </w:pPr>
    </w:p>
    <w:p>
      <w:pPr>
        <w:ind w:left="140" w:hanging="138"/>
        <w:spacing w:after="0"/>
        <w:tabs>
          <w:tab w:leader="none" w:pos="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years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years</w:t>
      </w:r>
    </w:p>
    <w:p>
      <w:pPr>
        <w:spacing w:after="0" w:line="9" w:lineRule="exact"/>
        <w:rPr>
          <w:rFonts w:ascii="Times New Roman" w:cs="Times New Roman" w:eastAsia="Times New Roman" w:hAnsi="Times New Roman"/>
          <w:sz w:val="18"/>
          <w:szCs w:val="18"/>
          <w:color w:val="auto"/>
        </w:rPr>
      </w:pPr>
    </w:p>
    <w:p>
      <w:pPr>
        <w:ind w:left="140" w:hanging="138"/>
        <w:spacing w:after="0"/>
        <w:tabs>
          <w:tab w:leader="none" w:pos="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w:t>
      </w:r>
    </w:p>
    <w:p>
      <w:pPr>
        <w:spacing w:after="0" w:line="200" w:lineRule="exact"/>
        <w:rPr>
          <w:sz w:val="20"/>
          <w:szCs w:val="20"/>
          <w:color w:val="auto"/>
        </w:rPr>
      </w:pPr>
    </w:p>
    <w:p>
      <w:pPr>
        <w:sectPr>
          <w:pgSz w:w="11900" w:h="16838" w:orient="portrait"/>
          <w:cols w:equalWidth="0" w:num="2">
            <w:col w:w="4740" w:space="720"/>
            <w:col w:w="5780"/>
          </w:cols>
          <w:pgMar w:left="320" w:top="1440" w:right="33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Under Lease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Equipment under lease is related to systems which are leased to customers instead of sold. Equipment under operating lease is stated at cost less accumulated depreciation and is classified as Equipment under lease, net on the balance sheets. Depreciation is computed using the straight-line method over an estimated useful life of the greater of the lease term or five years to ten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Policy Elections and Practical Expedients Taken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applies the following policy elections: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elected to apply the practical expedient that allows an entity to not adjust the promised amount of consideration in customer contracts for the effect of a significant financing component when the period between the transfer of product and services and payment of the related consideration is less than one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Shipping and handling costs associated with outbound freight after control over a product has transferred to a customer are accounted for as a fulfillment cost and are included in cost of product revenue. Shipping and handling costs for the years ended December 31, 2024 and 2023 were $337 and $198, respectively.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8" w:name="page109"/>
    <w:bookmarkEnd w:id="108"/>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from the sale of products and services when the Company transfers control of such promised products and services. The amount of revenue recognized reflects the consideration to which the Company expects to be entitled to receive in exchange for these products and services. A five-step model is utilized to achieve the core principle and includes the following steps: (1) identify the customer contract; (2) identify the contract’s performance obligations; (3) determine the transaction price; (4) allocate the transaction price to the performance obligations; and (5) recognize revenue when the performance obligations are satisfied.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principally derives its revenue from the sale and lease of systems and the sale of other related products and services, including PIDs, procedure licenses, and extended warranty service agreements. Most customers are on pre-paid or 30-day payment terms, depending on the product purchased. Typically, returns are not allowed.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Judgment is required to determine the level of interdependency between the system and the sale of other related products and services. For bundled packages, which include the sale or lease of a system and provision of other products and services, the Company accounts for individual products and services separately if they are distinct—i.e., if a product or service is separately identifiable from other items in the bundled package and if the customer can benefit from it on its own or with other resources that are readily available to the customer. The system, training and installation services are one performance obligation. The other products and services, including PIDs, procedure licenses, and extended warranty services, which are either sold together with the system or on a standalone basis, are all accounted for as separate performance obligations. The transaction price of bundled packages is allocated to each performance obligation on a relative standalone selling price basis. Standalone selling prices are based on observable prices at which the Company separately sells the products or services. If a standalone selling price is not directly observable, the Company estimates the selling price using available observable information.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revenue as the performance obligations are satisfied by transferring control of the product or service to a customer, as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r>
        <w:rPr>
          <w:rFonts w:ascii="Times New Roman" w:cs="Times New Roman" w:eastAsia="Times New Roman" w:hAnsi="Times New Roman"/>
          <w:sz w:val="18"/>
          <w:szCs w:val="18"/>
          <w:color w:val="auto"/>
        </w:rPr>
        <w:t>. The Company recognizes revenue for the sale of the following products at a point in time:</w:t>
      </w:r>
    </w:p>
    <w:p>
      <w:pPr>
        <w:spacing w:after="0" w:line="117"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i w:val="1"/>
          <w:iCs w:val="1"/>
          <w:color w:val="auto"/>
        </w:rPr>
        <w:t>Equipment</w:t>
      </w:r>
      <w:r>
        <w:rPr>
          <w:rFonts w:ascii="Times New Roman" w:cs="Times New Roman" w:eastAsia="Times New Roman" w:hAnsi="Times New Roman"/>
          <w:sz w:val="18"/>
          <w:szCs w:val="18"/>
          <w:color w:val="auto"/>
        </w:rPr>
        <w:t>. The Company’s LLS and ALLY System sales are recognized as Product revenue when the Company transfers control of the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usually occurs after the customer signs a contract, the Company installs the system, and the Company performs the requisite training for use of the system for direct customers. System sales to distributors are recognized as revenue upon shipment as they do not require training and installation.</w:t>
      </w:r>
    </w:p>
    <w:p>
      <w:pPr>
        <w:spacing w:after="0" w:line="72" w:lineRule="exact"/>
        <w:rPr>
          <w:sz w:val="20"/>
          <w:szCs w:val="20"/>
          <w:color w:val="auto"/>
        </w:rPr>
      </w:pPr>
    </w:p>
    <w:p>
      <w:pPr>
        <w:jc w:val="both"/>
        <w:ind w:left="760"/>
        <w:spacing w:after="0" w:line="257" w:lineRule="auto"/>
        <w:rPr>
          <w:sz w:val="20"/>
          <w:szCs w:val="20"/>
          <w:color w:val="auto"/>
        </w:rPr>
      </w:pPr>
      <w:r>
        <w:rPr>
          <w:rFonts w:ascii="Times New Roman" w:cs="Times New Roman" w:eastAsia="Times New Roman" w:hAnsi="Times New Roman"/>
          <w:sz w:val="18"/>
          <w:szCs w:val="18"/>
          <w:i w:val="1"/>
          <w:iCs w:val="1"/>
          <w:color w:val="auto"/>
        </w:rPr>
        <w:t>PID and Procedure Licenses</w:t>
      </w:r>
      <w:r>
        <w:rPr>
          <w:rFonts w:ascii="Times New Roman" w:cs="Times New Roman" w:eastAsia="Times New Roman" w:hAnsi="Times New Roman"/>
          <w:sz w:val="18"/>
          <w:szCs w:val="18"/>
          <w:color w:val="auto"/>
        </w:rPr>
        <w:t>. The systems require both a PID and a procedure license to perform each procedure. The Company recognizes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revenue for PIDs when the Company transfers control of the PID. The Company recognizes Product revenue for procedure licenses at the point in time when control of the procedure license is transferred to the customer. A procedure license represents a one-time right to utilize the system surgical application in connection with a surgery procedure. For the sale of PIDs and procedure licenses, the Company may offer volume discounts to certain customers. To determine the amount of revenue that should be recognized at the time control over these products transfers to the customer, the Company estimates the average per unit price, net of discounts.</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Service Revenue</w:t>
      </w:r>
      <w:r>
        <w:rPr>
          <w:rFonts w:ascii="Times New Roman" w:cs="Times New Roman" w:eastAsia="Times New Roman" w:hAnsi="Times New Roman"/>
          <w:sz w:val="18"/>
          <w:szCs w:val="18"/>
          <w:color w:val="auto"/>
        </w:rPr>
        <w:t>. The Company offers an extended warranty that provides additional maintenance services beyond the standard limited warranty.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recognizes Service revenue from the sale of extended warranties over the warranty period on a ratable basis as the Company stands ready to provide services as needed. Customers have the option of renewing the warranty period, which is considered a new and separate contract.</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Lease Revenue</w:t>
      </w:r>
      <w:r>
        <w:rPr>
          <w:rFonts w:ascii="Times New Roman" w:cs="Times New Roman" w:eastAsia="Times New Roman" w:hAnsi="Times New Roman"/>
          <w:sz w:val="18"/>
          <w:szCs w:val="18"/>
          <w:color w:val="auto"/>
        </w:rPr>
        <w:t>. For system operating leases, the Company recognizes lease revenue over the length of the lease in accordance with ASC Topic 842,</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 (“ASC 842”). For additional information regarding accounting for leases, see the Leases section within this footnote below and Note 6,</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offers a variety of commission plans to the Company’s salesforce. Certain compensation under these plans is earned by sales representatives solely as a result of obtaining a customer contract. These are considered incremental costs of obtaining a contract and are eligible for capitalization under ASC Topic 340-40, </w:t>
      </w:r>
      <w:r>
        <w:rPr>
          <w:rFonts w:ascii="Times New Roman" w:cs="Times New Roman" w:eastAsia="Times New Roman" w:hAnsi="Times New Roman"/>
          <w:sz w:val="18"/>
          <w:szCs w:val="18"/>
          <w:i w:val="1"/>
          <w:iCs w:val="1"/>
          <w:color w:val="auto"/>
        </w:rPr>
        <w:t>Other Assets and Deferred Costs – Contracts with Customers</w:t>
      </w:r>
      <w:r>
        <w:rPr>
          <w:rFonts w:ascii="Times New Roman" w:cs="Times New Roman" w:eastAsia="Times New Roman" w:hAnsi="Times New Roman"/>
          <w:sz w:val="18"/>
          <w:szCs w:val="18"/>
          <w:color w:val="auto"/>
        </w:rPr>
        <w:t>, to the extent they are recoverable. Incremental costs of obtaining a contract are deferred over the period the related revenue is recognized and the Company has elected not to defer costs related to goods or services to be delivered over a period that is one year or less.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Financing Component</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provides extended payment terms to certain customers that represent a significant financing component. The Company adjusts the amount of promised consideration for the time value of money using its discount rate and recognizes interest income separate from the revenue recognized on contracts with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Limited Warranty Obligations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offers limited warranties on the Company’s products which provide the customer assurance that the product will function as the parties intended because it complies with agreed-upon specifications; therefore, these assurance-type warranties are not treated as a separate revenue performance obligation and are accounted for as guarantees under U.S. GAAP. The Company regularly reviews its warranty liability and updates these balances based on historical warranty cost trends.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Customers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one customer accounted for 14% of the Company’s revenue and 12% of the Company’s accounts receivable, net as of December 31, 2024. For the year ended December 31, 2023, one customer accounted for 10% of the Company’s revenue and no customers accounted for 10% or more of the Company’s accounts receivable, net as of December 31,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ASC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for the identification of related parties and disclosure of related party transactions. A party is considered to be related to the Company if the party, directly or indirectly or through one or more intermediaries, controls, is controlled by, or is under common control with the Company. Related parties also include principal owners, management and directors, as well as members of their immediate families or any other parties with which the Company may deal if one party to a transaction controls, or can significantly influence, the management or operating policies of the other to an extent that one of the transacting parties might be prevented from fully pursuing its own separate interests.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involving related parties cannot be presumed to be conducted on an arm’s-length basis, as the requisite conditions of competitive, free-market dealings may not exist. Representations about transactions with related parties, if made, shall not imply that the related party transactions were consummated on terms equivalent to those that prevail in arm’s-length transactions unless such representations can be substantiated.</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May 2023, the Company completed the Private Placement (as defined in Note 12,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xml:space="preserve">) with NR-GRI Partners, LP (“NR-GRI”), an affiliate of North Run Capital, LP (“North Run”). Pursuant to the terms of the Private Placement, Thomas B. Ellis and Todd B. Hammer, co-managing partners of North Run, joined the Company’s Board of Directors following the Company’s 2023 Annual Meeting of Stockholders. Refer to Note 10,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xml:space="preserve">, and Note 12,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for more details related to the Private Placement.</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2023, the Company entered into an international distribution agreement in India with a company owned by an employee at that time. The Company established the distributor relationship to gain regulatory and operational efficiencies, as well as to establish consistent operations with all other international markets where it conducts business. During the year ended December 31, 2023, the Company began transitioning transactions with customers in India to the distributor. The Company recognized $290 and $202 in product revenue, $301 and $103 in cost of product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$119 and $184 in selling, general and administrative expenses for the years ended December 31, 2024 and 2023, respectively, associated with its Indian operations. There were no amounts due from, or due to, the distributor at December 31, 2024 or 2023. The related party relationship ended on April 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consist primarily of engineering, product development, clinical studies to develop and support the Company’s products, regulatory expenses, and other costs associated with products and technologies that are in development. Research and development expenses include employee compensation, including stock-based compensation, supplies, consulting, prototypes, testing, materials, travel expenses, and depreciation.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incurred. Advertising costs includes design and production costs, including website development, written media campaigns, and other items. Advertising costs of $580 and $617 were expensed during the years ended December 31, 2024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U.S. federal, state, and local corporate income taxes at the entity level.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income taxes is determined using the asset and liability approach. Tax laws require items to be included in tax filings at different times than the items are reflected in the financial statements. A current liability is recognized for the estimated taxes payable for the current year. Deferred taxes represent the future tax consequences expected to occur when the reported amounts of assets and liabilities are recovered or paid. Deferred taxes are adjusted for enacted changes in tax rates and tax laws in the year in which such laws are enacted. Valuation allowances are recorded to reduce deferred tax assets when it is more likely than not that a tax benefit will not be realized.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 The Company adjusts the level of the liability to reflect any subsequent changes in the relevant facts surrounding the uncertain positions. Any interest and penalties on uncertain tax positions are included within the tax provision.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Under Sections 382 and 383 of the Internal Revenue Code of 1986, as amended (the “Code”), an aggregate change in stock ownership of one or more stockholders or groups of stockholders owning at least 5% of the Company’s stock that exceeds 50 percentage points (by value) over a rolling three-year period (a “Section 382 ownership change”) may result in a limitation on the amount of net operating loss and tax credit carryforwards that may be used in future years. The Company completed a Section 382 ownership change analysis through its taxable year ended December 31, 2023 and determined that, during the second quarter of 2023, the Company experienced a Section 382 ownership change in connection with the Private Placement of Series A Redeemable Convertible Preferred Stock (the “Private Placement”), triggering the application of Section 382 of the Code. Refer to Note 12, </w:t>
      </w:r>
      <w:r>
        <w:rPr>
          <w:rFonts w:ascii="Times New Roman" w:cs="Times New Roman" w:eastAsia="Times New Roman" w:hAnsi="Times New Roman"/>
          <w:sz w:val="18"/>
          <w:szCs w:val="18"/>
          <w:i w:val="1"/>
          <w:iCs w:val="1"/>
          <w:color w:val="auto"/>
        </w:rPr>
        <w:t>Redeemable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Preferred Stock</w:t>
      </w:r>
      <w:r>
        <w:rPr>
          <w:rFonts w:ascii="Times New Roman" w:cs="Times New Roman" w:eastAsia="Times New Roman" w:hAnsi="Times New Roman"/>
          <w:sz w:val="18"/>
          <w:szCs w:val="18"/>
          <w:color w:val="auto"/>
        </w:rPr>
        <w:t>, for more details related to the Private Placement. The Company has not completed an analysis to determine whether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 Section 382 ownership changes have occurred and thus whether additional limitations have been triggered under Sections 382 and 383 of the Code since December 31, 2023. The Company computed and applied limitations of tax deductions in the income tax provision computation for the years ended December 31, 2023 and December 31, 2024; however, these limitations do not have a material impact on the financial statements.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leasing arrangements in accordance with ASC Topic 842. The Company determines if an arrangement is a lease or contains an embedded lease at inception if it contains the right to control the use of an identified asset under a leasing arrangement with an initial term greater than 12 months. The Company determines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whether a contract conveys the right to control the use of an identified asset for a period of time if the contract contains both the right to obtain substantially all of the economic benefits from the use of the identified asset and the right to direct the use of the identified asset.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Policy Elections and Practical Expedients Taken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lease arrangements with lease and non-lease components, which are accounted for separately.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leases that commenced before the effective date of ASC 842, the Company elected the practical expedients to not reassess the following: (i) whether any expired or existing contracts contain leases; (ii) the lease classification for any expired or existing leases; and (iii) initial direct costs for any existing leases.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short term leases, defined as leases with a lease term of 12 months or less, the Company elected to not recognize an associated lease liability and right of use (“ROU”) asset. Lease payments for short term leases are expensed on a straight-line basis over the lease term.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 policy to exclude from the consideration in a lessor contract all taxes assessed by a governmental authority that are both imposed on and concurrent with a specific lease revenue-producing transaction and collected by the Company from a lessee.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Lessee operating right of use assets are included in Other assets in the Company’s balance sheet. Lessee operating lease liabilities are included in Operating lease liabilities and Long-term operating lease liabilities in the Company’s balance sheet. The Company does not have lessee financing leases.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lease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remaining lease payments over the lease term. The Company uses the implicit rate when readily determinable at lease inception. As most of the Company’s leases do not provide an implicit rate, the Company uses its incremental borrowing rate based on the information available at the commencement date, including the lease term and the Company’s credit risk, in determining the present value of lease payments. The Company’s remaining lease terms may include options to extend or terminate the lease when it is reasonably certain that the Company will exercise that option. Lease expense for lease payments is recognized on a straight-line basis as operating expense in the statements of operations over the lease term.</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lease arrangements with lease and non-lease components where the Company is the lessee, the Company separately accounts for lease and non-lease components, which consists primarily of common area maintenance services. Non-lease components are expensed as incurred.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equipment to customers under operating leases. Leases are generally not cancellable until after an initial term and may or may not require the customer to purchase a minimum number of procedures and consumables throughout the contract term.</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lease arrangements with lease and non-lease components where the Company is the lessor, the Company allocates the contract’s transaction price (including discounts) to the lease and non-lease components on a relative standalone selling price basis using the Company’s best estimate of the standalone selling price of each distinct product or service in the contract. Lease elements generally include a system, while non-lease elements generally include extended warranty services, PIDs and procedure licenses. The stand-alone selling prices for the extended warranty services, PIDs and procedure licenses are determined based on the prices at which the Company separately sells such products and services. The system stand-alone selling prices are determined using the expected cost plus a margin approach. Allocation of the transaction price is determined at the inception of the lease arrangement. The Company’s leases primarily consist of leases with fixed lease payments. For those leases with variable lease payments, the variable lease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 is typically based upon use of the leased equipment or the purchase of procedure licenses and consumables used with the leased equipment. Non-lease components are accounted for under ASC 606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additional information regarding ASC 606, see Note 3, </w:t>
      </w:r>
      <w:r>
        <w:rPr>
          <w:rFonts w:ascii="Times New Roman" w:cs="Times New Roman" w:eastAsia="Times New Roman" w:hAnsi="Times New Roman"/>
          <w:sz w:val="18"/>
          <w:szCs w:val="18"/>
          <w:i w:val="1"/>
          <w:iCs w:val="1"/>
          <w:color w:val="auto"/>
        </w:rPr>
        <w:t>Revenue from Contracts with Customers.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leases include options to extend the leases on a month-to-month basis if the customer does not notify the Company of the intention to return the equipment at the end of the lease term. The Company typically does not offer options to terminate the leases before the end of the lease term. A new contract is generated if a customer intends to continue using the equipment under the initial term and the new contract term is not included in the initial lease term.</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determining whether a transaction should be classified as a sales-type or operating lease, the Company considers the following criteria at lease commencement: (1) whether title of the system transfers automatically or for a nominal fee by the end of the lease term, (2) whether the present value of the minimum lease payments equals or exceeds substantially all of the fair value of the leased system, (3) whether the lease term is for the major part of the remaining economic life of the leased system, (4) whether the lease grants the lessee an option to purchase the leased system that the lessee is reasonably certain to exercise, and (5) whether the underlying system is of such a specialized nature that it is expected to have no alternative use to the Company at the end of the lease term. If any of these criteria are met, the lease is classified as a sales-type lease. If none of these criteria are met the lease is classified as an operating lease. For the years ended December 31, 2024 and 2023, the Company does not have any sales-type leases.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operating leases, rental income is recognized on a straight-line basis over the lease term as lease revenue. The cost of customer-leased equipment is recorded within equipment under lease, net in the balance sheets and depreciated over the equipment’s estimated useful life. Depreciation expense associated with the leased equipment under operating lease arrangements is reflected in cost of lease in the statements of operations. Some of the Company’s operating leases include a purchase option for the customer to purchase the leased asset at the end of the lease arrangement, subject to a new contract. The purchase price does not qualify as a bargain purchase option. The Company manages its risk on its investment in the equipment through pricing and the term of the leases. Lessees do not provide residual value guarantees on leased equipment. Equipment returned to the Company may be leased or sold to other customers. Initial direct costs, recorded in prepaid and other current assets, are deferred and recognized over the lease term.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(“ASC 718”). Stock-based compensation is measured at the grant date based on the fair value of the award and is generally expensed over the requisite service period. Stock-based compensation expense is recognized using a straight-line attribution method over the requisite service period, except for portions of awards subject to performance conditions, which will be recognized ratably over the service period for each separate performance vesting tranche once it is probable the performance condition will be met. The Company made accounting policy elections to account for modifications to the requisite service period using the bifurcated approach and to account for forfeitures as they occur.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14,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for a discussion of stock-based compensation plans.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Basic earnings (loss) per common share is calculated by dividing the earnings (loss) attributable to common stockholders by the weighted-average number of shares of common stock outstanding during the period, without consideration of potentially dilutive securities. Diluted earnings (loss) per share is computed by dividing the earnings (loss) attributable to common stockholders by the weighted-average number of shares of common stock and potentially dilutive securities outstanding for the period. For purposes of the diluted earnings (loss) per share calculation, Series A Redeemable Convertible Preferred Stock, Series A Warrants, and Series B Warrants, stock options, restricted stock awards, and restricted stock units are considered to be potentially dilutive securities. Basic and diluted earnings (loss) attributable to common stockholders per share is presented in conformity with the two-class method required for participating securities. The Company considers Series A Redeemable Convertible Preferred Stock, Series A Warrants, and Series B Warrants to be participating securities, because holders of such instruments participate in the event a dividend is paid on common stock. The holder of the Series A Redeemable Convertible Preferred Stock, Series A Warrants and Series B Warrants does not have a contractual obligation to share in the Company’s losses. As such,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losses are attributed entirely to common stockholders and for periods in which the Company has reported a net loss, diluted loss per common share is the same as basic loss per common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 to Income Tax Disclosures</w:t>
      </w:r>
      <w:r>
        <w:rPr>
          <w:rFonts w:ascii="Times New Roman" w:cs="Times New Roman" w:eastAsia="Times New Roman" w:hAnsi="Times New Roman"/>
          <w:sz w:val="18"/>
          <w:szCs w:val="18"/>
          <w:color w:val="auto"/>
        </w:rPr>
        <w:t>, which requires (1) disclosure of specific categories in the rate reconciliation and (2) additional information for reconciling items that meet a quantitative threshold. Additionally, the amendment requires disclosure of certain disaggregated information about income taxes paid, income from continuing operations before income tax expense (benefit) and income tax expense (benefit). The standard is effective for the Company’s annual financial statements for the year ending December 31, 2025. The Company does not believe that adoption of the standard will result in material changes to the financial statement disclosures.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ASU 2024-03 requires disclosure in the notes to the financial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information about certain costs and expenses. ASU 2024-03 is effective for fiscal years beginning after December 15, 2026 and for interim periods within fiscal years beginning after December 15, 2027. ASU 2024-03 should be applied either prospectively to financial statements issued for reporting periods after the effective date of this ASU or retrospectively to any or all prior periods presented in the financial statements. The Company is currently evaluating the impact of ASU 2024-03 to the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product and service revenue disaggregated by geographic region, which is determined based on customer location, for the years ended December 31, 2024 and 2023:</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09"/>
        </w:trPr>
        <w:tc>
          <w:tcPr>
            <w:tcW w:w="1700" w:type="dxa"/>
            <w:vAlign w:val="bottom"/>
          </w:tcPr>
          <w:p>
            <w:pPr>
              <w:spacing w:after="0"/>
              <w:rPr>
                <w:sz w:val="18"/>
                <w:szCs w:val="18"/>
                <w:color w:val="auto"/>
              </w:rPr>
            </w:pPr>
          </w:p>
        </w:tc>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28,907</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25,262</w:t>
            </w:r>
          </w:p>
        </w:tc>
        <w:tc>
          <w:tcPr>
            <w:tcW w:w="80" w:type="dxa"/>
            <w:vAlign w:val="bottom"/>
            <w:shd w:val="clear" w:color="auto" w:fill="CFF0FC"/>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(excluding South Korea)</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80" w:type="dxa"/>
            <w:vAlign w:val="bottom"/>
            <w:shd w:val="clear" w:color="auto" w:fill="CFF0FC"/>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5340" w:type="dxa"/>
            <w:vAlign w:val="bottom"/>
            <w:gridSpan w:val="2"/>
          </w:tcPr>
          <w:p>
            <w:pPr>
              <w:spacing w:after="0" w:line="210"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4"/>
                <w:szCs w:val="24"/>
                <w:color w:val="auto"/>
                <w:vertAlign w:val="superscript"/>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45,962</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35,716</w:t>
            </w:r>
          </w:p>
        </w:tc>
        <w:tc>
          <w:tcPr>
            <w:tcW w:w="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5"/>
        </w:trPr>
        <w:tc>
          <w:tcPr>
            <w:tcW w:w="17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4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-264795</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-264795</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 w:lineRule="exact"/>
        <w:rPr>
          <w:sz w:val="20"/>
          <w:szCs w:val="20"/>
          <w:color w:val="auto"/>
        </w:rPr>
      </w:pPr>
    </w:p>
    <w:p>
      <w:pPr>
        <w:ind w:firstLine="8"/>
        <w:spacing w:after="0" w:line="223" w:lineRule="auto"/>
        <w:tabs>
          <w:tab w:leader="none" w:pos="119" w:val="left"/>
        </w:tabs>
        <w:numPr>
          <w:ilvl w:val="0"/>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The table above does not include lease revenue of $7,532 and $6,448 for the years ended December 31, 2024 and 2023, respectively. Substantially all lease revenue originates from the United States. Refer to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and contract liabilities from contracts with customers:</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300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20" w:type="dxa"/>
            <w:vAlign w:val="bottom"/>
            <w:vMerge w:val="restart"/>
          </w:tcPr>
          <w:p>
            <w:pPr>
              <w:spacing w:after="0"/>
              <w:rPr>
                <w:sz w:val="15"/>
                <w:szCs w:val="15"/>
                <w:color w:val="auto"/>
              </w:rPr>
            </w:pPr>
          </w:p>
        </w:tc>
        <w:tc>
          <w:tcPr>
            <w:tcW w:w="2220" w:type="dxa"/>
            <w:vAlign w:val="bottom"/>
            <w:tcBorders>
              <w:bottom w:val="single" w:sz="8" w:color="auto"/>
            </w:tcBorders>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30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current</w:t>
            </w:r>
          </w:p>
        </w:tc>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780" w:type="dxa"/>
            <w:vAlign w:val="bottom"/>
            <w:shd w:val="clear" w:color="auto" w:fill="CFF0FC"/>
          </w:tcPr>
          <w:p>
            <w:pPr>
              <w:jc w:val="right"/>
              <w:ind w:right="61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98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long-term</w:t>
            </w:r>
          </w:p>
        </w:tc>
        <w:tc>
          <w:tcPr>
            <w:tcW w:w="31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Notes and other receivables, long-term,</w:t>
            </w: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780" w:type="dxa"/>
            <w:vAlign w:val="bottom"/>
          </w:tcPr>
          <w:p>
            <w:pPr>
              <w:jc w:val="right"/>
              <w:ind w:right="61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8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receivable, current</w:t>
            </w:r>
          </w:p>
        </w:tc>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receivable, net</w:t>
            </w:r>
          </w:p>
        </w:tc>
        <w:tc>
          <w:tcPr>
            <w:tcW w:w="780" w:type="dxa"/>
            <w:vAlign w:val="bottom"/>
            <w:shd w:val="clear" w:color="auto" w:fill="CFF0FC"/>
          </w:tcPr>
          <w:p>
            <w:pPr>
              <w:jc w:val="right"/>
              <w:ind w:right="61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98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Notes receivable, long-term</w:t>
            </w:r>
          </w:p>
        </w:tc>
        <w:tc>
          <w:tcPr>
            <w:tcW w:w="31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Notes and other receivables, long-term,</w:t>
            </w: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780" w:type="dxa"/>
            <w:vAlign w:val="bottom"/>
          </w:tcPr>
          <w:p>
            <w:pPr>
              <w:jc w:val="right"/>
              <w:ind w:right="61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98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 current</w:t>
            </w:r>
          </w:p>
        </w:tc>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780" w:type="dxa"/>
            <w:vAlign w:val="bottom"/>
            <w:shd w:val="clear" w:color="auto" w:fill="CFF0FC"/>
          </w:tcPr>
          <w:p>
            <w:pPr>
              <w:jc w:val="right"/>
              <w:ind w:right="61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98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780" w:type="dxa"/>
            <w:vAlign w:val="bottom"/>
          </w:tcPr>
          <w:p>
            <w:pPr>
              <w:jc w:val="right"/>
              <w:ind w:right="61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98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780" w:type="dxa"/>
            <w:vAlign w:val="bottom"/>
            <w:shd w:val="clear" w:color="auto" w:fill="CFF0FC"/>
          </w:tcPr>
          <w:p>
            <w:pPr>
              <w:jc w:val="right"/>
              <w:ind w:right="61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98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liability, long-term</w:t>
            </w: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780" w:type="dxa"/>
            <w:vAlign w:val="bottom"/>
          </w:tcPr>
          <w:p>
            <w:pPr>
              <w:jc w:val="right"/>
              <w:ind w:right="61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Accounts Receivables, Net</w:t>
      </w:r>
      <w:r>
        <w:rPr>
          <w:rFonts w:ascii="Times New Roman" w:cs="Times New Roman" w:eastAsia="Times New Roman" w:hAnsi="Times New Roman"/>
          <w:sz w:val="18"/>
          <w:szCs w:val="18"/>
          <w:color w:val="auto"/>
        </w:rPr>
        <w:t>—Accounts receivables, net, include amounts billed and due from customers. The amounts due are stated at their net estimated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realizable value and are classified as current or noncurrent based on the timing of when the Company expects to receive payment. Most customers are on pre-paid or 30-day payment terms, depending on the product purchased. The Company maintains an allowance for expected credit losses to provide for the estimated amount of receivables that will not be collected. The allowance is based upon an assessment of customer credit worthiness, historical payment experience, the age of outstanding receivables, collateral to the extent applicable and reflects the possible impact of current conditions and reasonable forecasts not already reflected in historical loss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accounts receivable:</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1"/>
        </w:trPr>
        <w:tc>
          <w:tcPr>
            <w:tcW w:w="64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Accounts receivable, allowance for credit losses as of</w:t>
            </w:r>
          </w:p>
        </w:tc>
        <w:tc>
          <w:tcPr>
            <w:tcW w:w="28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2022</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Write-offs</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640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Accounts receivable, allowance for credit losses as of</w:t>
            </w: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2023</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64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Accounts receivable, allowance for credit losses as of</w:t>
            </w:r>
          </w:p>
        </w:tc>
        <w:tc>
          <w:tcPr>
            <w:tcW w:w="280" w:type="dxa"/>
            <w:vAlign w:val="bottom"/>
            <w:tcBorders>
              <w:top w:val="single" w:sz="8" w:color="auto"/>
            </w:tcBorders>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December 31, 2024</w:t>
            </w:r>
          </w:p>
        </w:tc>
        <w:tc>
          <w:tcPr>
            <w:tcW w:w="280" w:type="dxa"/>
            <w:vAlign w:val="bottom"/>
            <w:tcBorders>
              <w:bottom w:val="single" w:sz="8" w:color="auto"/>
            </w:tcBorders>
            <w:vMerge w:val="continue"/>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-839470</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Notes Receivables, Net</w:t>
      </w:r>
      <w:r>
        <w:rPr>
          <w:rFonts w:ascii="Times New Roman" w:cs="Times New Roman" w:eastAsia="Times New Roman" w:hAnsi="Times New Roman"/>
          <w:sz w:val="18"/>
          <w:szCs w:val="18"/>
          <w:color w:val="auto"/>
        </w:rPr>
        <w:t>—Notes receivable, net includes amounts billed and due from customers under extended payment terms with a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component. Interest rates on notes receivable range from 5.8% to 8.0%. The Company recorded interest income on notes receivable during the years ended December 31, 2024 and 2023 of $103 and $85 in other income, net in the statements of operations.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notes receivable:</w:t>
      </w:r>
    </w:p>
    <w:p>
      <w:pPr>
        <w:spacing w:after="0" w:line="111"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1"/>
        </w:trPr>
        <w:tc>
          <w:tcPr>
            <w:tcW w:w="64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Notes receivable, allowance for credit losses as of</w:t>
            </w:r>
          </w:p>
        </w:tc>
        <w:tc>
          <w:tcPr>
            <w:tcW w:w="26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2022</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Write-offs</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640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Notes receivable, allowance for credit losses as of</w:t>
            </w: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2023</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64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Notes receivable, allowance for credit losses as of</w:t>
            </w:r>
          </w:p>
        </w:tc>
        <w:tc>
          <w:tcPr>
            <w:tcW w:w="260" w:type="dxa"/>
            <w:vAlign w:val="bottom"/>
            <w:tcBorders>
              <w:top w:val="single" w:sz="8" w:color="auto"/>
            </w:tcBorders>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December 31, 2024</w:t>
            </w:r>
          </w:p>
        </w:tc>
        <w:tc>
          <w:tcPr>
            <w:tcW w:w="260" w:type="dxa"/>
            <w:vAlign w:val="bottom"/>
            <w:tcBorders>
              <w:bottom w:val="single" w:sz="8" w:color="auto"/>
            </w:tcBorders>
            <w:vMerge w:val="continue"/>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-839470</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notes receivables, net under extended payment terms with a significant financing component as of December 31, 2024 are as follows:</w:t>
      </w:r>
    </w:p>
    <w:p>
      <w:pPr>
        <w:spacing w:after="0" w:line="124"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5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notes receivable</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3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Difference between undiscounted and discounted</w:t>
            </w:r>
          </w:p>
        </w:tc>
        <w:tc>
          <w:tcPr>
            <w:tcW w:w="100" w:type="dxa"/>
            <w:vAlign w:val="bottom"/>
            <w:vMerge w:val="restart"/>
            <w:shd w:val="clear" w:color="auto" w:fill="CFF0FC"/>
          </w:tcPr>
          <w:p>
            <w:pPr>
              <w:spacing w:after="0"/>
              <w:rPr>
                <w:sz w:val="16"/>
                <w:szCs w:val="16"/>
                <w:color w:val="auto"/>
              </w:rPr>
            </w:pPr>
          </w:p>
        </w:tc>
        <w:tc>
          <w:tcPr>
            <w:tcW w:w="2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8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cash flows</w:t>
            </w: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220" w:type="dxa"/>
            <w:vAlign w:val="bottom"/>
            <w:tcBorders>
              <w:bottom w:val="single" w:sz="8" w:color="auto"/>
            </w:tcBorders>
            <w:vMerge w:val="continue"/>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 Assets – </w:t>
      </w:r>
      <w:r>
        <w:rPr>
          <w:rFonts w:ascii="Times New Roman" w:cs="Times New Roman" w:eastAsia="Times New Roman" w:hAnsi="Times New Roman"/>
          <w:sz w:val="18"/>
          <w:szCs w:val="18"/>
          <w:color w:val="auto"/>
        </w:rPr>
        <w:t>The Company's contract assets represent revenue recognized for performance obligations completed before an unconditional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exists, and therefore invoicing has not yet occurred. The Company classifies contract assets in prepaid and other current assets in the Company's balance sheets.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from contracts with customers:</w:t>
      </w:r>
    </w:p>
    <w:p>
      <w:pPr>
        <w:spacing w:after="0" w:line="327"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7620</wp:posOffset>
            </wp:positionV>
            <wp:extent cx="4989195" cy="146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2">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Contract assets at December 31, 2022</w:t>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Contract assets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89195"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3">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Payments received</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Write-offs due to contract modifications</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Contract assets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4">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Contract assets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5715</wp:posOffset>
            </wp:positionV>
            <wp:extent cx="4989195"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5">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Payments received</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Write-offs due to contract modifications</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Contract assets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631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6">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060" w:hanging="1059"/>
        <w:spacing w:after="0"/>
        <w:tabs>
          <w:tab w:leader="none" w:pos="10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332</w:t>
      </w:r>
    </w:p>
    <w:p>
      <w:pPr>
        <w:spacing w:after="0" w:line="7"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1,630</w:t>
      </w:r>
    </w:p>
    <w:p>
      <w:pPr>
        <w:spacing w:after="0" w:line="9"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(806 )</w:t>
      </w:r>
    </w:p>
    <w:p>
      <w:pPr>
        <w:spacing w:after="0" w:line="20"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(174 )</w:t>
      </w:r>
    </w:p>
    <w:p>
      <w:pPr>
        <w:spacing w:after="0" w:line="20"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w:t>
      </w:r>
    </w:p>
    <w:p>
      <w:pPr>
        <w:spacing w:after="0" w:line="22"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-276225</wp:posOffset>
            </wp:positionV>
            <wp:extent cx="85725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7">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jc w:val="right"/>
        <w:ind w:right="1700"/>
        <w:spacing w:after="0"/>
        <w:rPr>
          <w:sz w:val="20"/>
          <w:szCs w:val="20"/>
          <w:color w:val="auto"/>
        </w:rPr>
      </w:pPr>
      <w:r>
        <w:rPr>
          <w:rFonts w:ascii="Times New Roman" w:cs="Times New Roman" w:eastAsia="Times New Roman" w:hAnsi="Times New Roman"/>
          <w:sz w:val="18"/>
          <w:szCs w:val="18"/>
          <w:color w:val="auto"/>
        </w:rPr>
        <w:t>(1,595 )</w:t>
      </w:r>
    </w:p>
    <w:p>
      <w:pPr>
        <w:spacing w:after="0" w:line="9"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(188 )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85725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8">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ind w:left="1060" w:hanging="1059"/>
        <w:spacing w:after="0"/>
        <w:tabs>
          <w:tab w:leader="none" w:pos="10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236</w:t>
      </w:r>
    </w:p>
    <w:p>
      <w:pPr>
        <w:spacing w:after="0" w:line="200" w:lineRule="exact"/>
        <w:rPr>
          <w:sz w:val="20"/>
          <w:szCs w:val="20"/>
          <w:color w:val="auto"/>
        </w:rPr>
      </w:pPr>
    </w:p>
    <w:p>
      <w:pPr>
        <w:sectPr>
          <w:pgSz w:w="11900" w:h="16838" w:orient="portrait"/>
          <w:cols w:equalWidth="0" w:num="2">
            <w:col w:w="7400" w:space="720"/>
            <w:col w:w="3120"/>
          </w:cols>
          <w:pgMar w:left="320" w:top="1440" w:right="339" w:bottom="1440" w:gutter="0" w:footer="0" w:header="0"/>
          <w:type w:val="continuous"/>
        </w:sectPr>
      </w:pPr>
    </w:p>
    <w:p>
      <w:pPr>
        <w:spacing w:after="0" w:line="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Deferred Revenue and Contract Liabilities—</w:t>
      </w:r>
      <w:r>
        <w:rPr>
          <w:rFonts w:ascii="Times New Roman" w:cs="Times New Roman" w:eastAsia="Times New Roman" w:hAnsi="Times New Roman"/>
          <w:sz w:val="18"/>
          <w:szCs w:val="18"/>
          <w:color w:val="auto"/>
        </w:rPr>
        <w:t>The Company’s deferred revenue and contract liabilities represent services and products sold to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which the performance obligation has not been completed by the Company. The Company classifies deferred revenue and contract liabilities as current or noncurrent based on the timing of when it expects to recognize revenue. The noncurrent portion of deferred revenue and contract liabilities is included in other long-term liabilities in the Company’s balance sheets.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6" w:name="page117"/>
    <w:bookmarkEnd w:id="11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deferred revenue and contract liabilities from contracts with customers:</w:t>
      </w:r>
    </w:p>
    <w:p>
      <w:pPr>
        <w:spacing w:after="0" w:line="124"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 as of December 31, 2022</w:t>
            </w: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Billings not yet recognized as revenue</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contract liabilities recognized as revenue</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(863 )</w:t>
            </w:r>
          </w:p>
        </w:tc>
      </w:tr>
      <w:tr>
        <w:trPr>
          <w:trHeight w:val="209"/>
        </w:trPr>
        <w:tc>
          <w:tcPr>
            <w:tcW w:w="6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Contract liabilities at December 31, 2023</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Borders>
              <w:top w:val="single" w:sz="8" w:color="CFF0FC"/>
            </w:tcBorders>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Billings not yet recognized as revenue</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Beginning contract liabilities recognized as revenue</w:t>
            </w: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(1,387 )</w:t>
            </w:r>
          </w:p>
        </w:tc>
      </w:tr>
      <w:tr>
        <w:trPr>
          <w:trHeight w:val="216"/>
        </w:trPr>
        <w:tc>
          <w:tcPr>
            <w:tcW w:w="64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Impairment</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(214 )</w:t>
            </w:r>
          </w:p>
        </w:tc>
      </w:tr>
      <w:tr>
        <w:trPr>
          <w:trHeight w:val="209"/>
        </w:trPr>
        <w:tc>
          <w:tcPr>
            <w:tcW w:w="6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Contract liabilities at December 31, 2024</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tcBorders>
              <w:top w:val="single" w:sz="8" w:color="CFF0FC"/>
            </w:tcBorders>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-728345</wp:posOffset>
            </wp:positionV>
            <wp:extent cx="60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03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83" w:lineRule="exact"/>
        <w:rPr>
          <w:sz w:val="20"/>
          <w:szCs w:val="20"/>
          <w:color w:val="auto"/>
        </w:rPr>
      </w:pPr>
    </w:p>
    <w:p>
      <w:pPr>
        <w:ind w:firstLine="8"/>
        <w:spacing w:after="0" w:line="223" w:lineRule="auto"/>
        <w:tabs>
          <w:tab w:leader="none" w:pos="109" w:val="left"/>
        </w:tabs>
        <w:numPr>
          <w:ilvl w:val="0"/>
          <w:numId w:val="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The Company wrote off certain contract liabilities associated with intangible assets that were determined to be impaired during the year ended December 31, 2024. Refer to Note 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2024, the revenue expected to be recognized in future periods related to performance obligations that are unsatisfied for executed contracts with an original duration of one year or more was approximately $39,213. The Company expects to satisfy its remaining performance obligations over the next five years, with $12,659 to be satisfied in the next twelve months, $9,599 to be satisfied in the next two years, $8,497 to be satisfied in the next three years, $5,670 to be satisfied in the next four years, and $2,788 to be satisfied thereafter. The Company does not disclose the value of unsatisfied performance obligations for (i) contracts with original expected lengths of one year or less or (ii) contracts for which the Company recognizes revenue at the amount to which it has the right to invoice for the products delivered or services performed.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Contracts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costs to obtain contracts associated with contracts with customers for the years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w:t>
      </w:r>
    </w:p>
    <w:p>
      <w:pPr>
        <w:spacing w:after="0" w:line="10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2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w:t>
            </w:r>
          </w:p>
        </w:tc>
        <w:tc>
          <w:tcPr>
            <w:tcW w:w="7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6"/>
              </w:rPr>
              <w:t>(571 )</w:t>
            </w:r>
          </w:p>
        </w:tc>
        <w:tc>
          <w:tcPr>
            <w:tcW w:w="7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(580 )</w:t>
            </w:r>
          </w:p>
        </w:tc>
      </w:tr>
      <w:tr>
        <w:trPr>
          <w:trHeight w:val="210"/>
        </w:trPr>
        <w:tc>
          <w:tcPr>
            <w:tcW w:w="5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Borders>
              <w:top w:val="single" w:sz="8" w:color="CFF0FC"/>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FF0FC"/>
            </w:tcBorders>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-170815</wp:posOffset>
            </wp:positionV>
            <wp:extent cx="603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03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the Company’s cash, cash equivalents, accounts receivable, accounts payable, accrued liabilities, and other current liabilities approximate fair value based on the short-term maturities of these instruments. The carrying value of the Company’s notes receivable also approximates fair value based on the associated credit risk.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classifies money market funds, U.S. treasury bills and government securities, and certificates of deposit as Level 1 within the fair value hierarchy as the fair value is based on quoted prices. The Company classifies its warrant derivative liabilities as Level 3 within the fair value hierarchy as the Company estimates the fair value of the warrant liabilities using recently quoted market prices of the Company's common stock and the Black-Scholes option pricing model, refer to Note 10,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Company's assets and liabilities at fair value as of December 31, 2024 and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derivative liabilities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29,856</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29,856</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18,096</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derivative liabilities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4432935</wp:posOffset>
            </wp:positionH>
            <wp:positionV relativeFrom="paragraph">
              <wp:posOffset>-3209290</wp:posOffset>
            </wp:positionV>
            <wp:extent cx="9398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5">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-3209290</wp:posOffset>
            </wp:positionV>
            <wp:extent cx="9398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6">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-3209290</wp:posOffset>
            </wp:positionV>
            <wp:extent cx="9398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7">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-3209290</wp:posOffset>
            </wp:positionV>
            <wp:extent cx="9398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8">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-2399665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-2399665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-2399665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-1816735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-1816735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-1816735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4432935</wp:posOffset>
            </wp:positionH>
            <wp:positionV relativeFrom="paragraph">
              <wp:posOffset>-1426845</wp:posOffset>
            </wp:positionV>
            <wp:extent cx="9398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7">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-1426845</wp:posOffset>
            </wp:positionV>
            <wp:extent cx="9398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8">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-1426845</wp:posOffset>
            </wp:positionV>
            <wp:extent cx="9398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9">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-1426845</wp:posOffset>
            </wp:positionV>
            <wp:extent cx="9398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0">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-753745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-753745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-753745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-170815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fair value hierarchy levels during the years ended December 31, 2024 and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Company's financial assets that are measured at fair value on a recurring basis as of December 31, 2024 and 2023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60" w:type="dxa"/>
            <w:vAlign w:val="bottom"/>
          </w:tcPr>
          <w:p>
            <w:pPr>
              <w:spacing w:after="0"/>
              <w:rPr>
                <w:sz w:val="12"/>
                <w:szCs w:val="12"/>
                <w:color w:val="auto"/>
              </w:rPr>
            </w:pPr>
          </w:p>
        </w:tc>
        <w:tc>
          <w:tcPr>
            <w:tcW w:w="11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2"/>
                <w:szCs w:val="12"/>
                <w:color w:val="auto"/>
              </w:rPr>
            </w:pPr>
          </w:p>
        </w:tc>
        <w:tc>
          <w:tcPr>
            <w:tcW w:w="11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20" w:type="dxa"/>
            <w:vAlign w:val="bottom"/>
          </w:tcPr>
          <w:p>
            <w:pPr>
              <w:spacing w:after="0"/>
              <w:rPr>
                <w:sz w:val="12"/>
                <w:szCs w:val="12"/>
                <w:color w:val="auto"/>
              </w:rPr>
            </w:pPr>
          </w:p>
        </w:tc>
        <w:tc>
          <w:tcPr>
            <w:tcW w:w="11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r>
      <w:tr>
        <w:trPr>
          <w:trHeight w:val="210"/>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62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Pr>
          <w:p>
            <w:pPr>
              <w:spacing w:after="0"/>
              <w:rPr>
                <w:sz w:val="18"/>
                <w:szCs w:val="18"/>
                <w:color w:val="auto"/>
              </w:rPr>
            </w:pPr>
          </w:p>
        </w:tc>
      </w:tr>
      <w:tr>
        <w:trPr>
          <w:trHeight w:val="249"/>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12,817</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45"/>
        </w:trPr>
        <w:tc>
          <w:tcPr>
            <w:tcW w:w="5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860" w:type="dxa"/>
            <w:vAlign w:val="bottom"/>
          </w:tcPr>
          <w:p>
            <w:pPr>
              <w:spacing w:after="0"/>
              <w:rPr>
                <w:sz w:val="12"/>
                <w:szCs w:val="12"/>
                <w:color w:val="auto"/>
              </w:rPr>
            </w:pPr>
          </w:p>
        </w:tc>
        <w:tc>
          <w:tcPr>
            <w:tcW w:w="11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2"/>
                <w:szCs w:val="12"/>
                <w:color w:val="auto"/>
              </w:rPr>
            </w:pPr>
          </w:p>
        </w:tc>
        <w:tc>
          <w:tcPr>
            <w:tcW w:w="11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20" w:type="dxa"/>
            <w:vAlign w:val="bottom"/>
          </w:tcPr>
          <w:p>
            <w:pPr>
              <w:spacing w:after="0"/>
              <w:rPr>
                <w:sz w:val="12"/>
                <w:szCs w:val="12"/>
                <w:color w:val="auto"/>
              </w:rPr>
            </w:pPr>
          </w:p>
        </w:tc>
        <w:tc>
          <w:tcPr>
            <w:tcW w:w="11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r>
      <w:tr>
        <w:trPr>
          <w:trHeight w:val="210"/>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62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8"/>
                <w:szCs w:val="18"/>
                <w:color w:val="auto"/>
              </w:rPr>
            </w:pPr>
          </w:p>
        </w:tc>
      </w:tr>
      <w:tr>
        <w:trPr>
          <w:trHeight w:val="249"/>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18,092</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4432935</wp:posOffset>
            </wp:positionH>
            <wp:positionV relativeFrom="paragraph">
              <wp:posOffset>-2729230</wp:posOffset>
            </wp:positionV>
            <wp:extent cx="9398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0">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-2729230</wp:posOffset>
            </wp:positionV>
            <wp:extent cx="9398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1">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-2729230</wp:posOffset>
            </wp:positionV>
            <wp:extent cx="9398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2">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-2729230</wp:posOffset>
            </wp:positionV>
            <wp:extent cx="9398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3">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-1636395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-1619885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-1636395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-1619885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-1636395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-1619885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-1619885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4432935</wp:posOffset>
            </wp:positionH>
            <wp:positionV relativeFrom="paragraph">
              <wp:posOffset>-1391920</wp:posOffset>
            </wp:positionV>
            <wp:extent cx="93980" cy="137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2">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-1391920</wp:posOffset>
            </wp:positionV>
            <wp:extent cx="93980" cy="1371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3">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-1391920</wp:posOffset>
            </wp:positionV>
            <wp:extent cx="9398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4">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-1391920</wp:posOffset>
            </wp:positionV>
            <wp:extent cx="9398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5">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-25400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measured on a recurring basis using unobservable Level 3 inputs for the year ended December 31, 2024 is set forth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Fair Value at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Fair Value at</w:t>
            </w:r>
          </w:p>
        </w:tc>
      </w:tr>
      <w:tr>
        <w:trPr>
          <w:trHeight w:val="216"/>
        </w:trPr>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r>
      <w:tr>
        <w:trPr>
          <w:trHeight w:val="210"/>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 Warrant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15,351</w:t>
            </w:r>
          </w:p>
        </w:tc>
        <w:tc>
          <w:tcPr>
            <w:tcW w:w="120" w:type="dxa"/>
            <w:vAlign w:val="bottom"/>
            <w:shd w:val="clear" w:color="auto" w:fill="CFF0FC"/>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Warrant</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14,505</w:t>
            </w:r>
          </w:p>
        </w:tc>
        <w:tc>
          <w:tcPr>
            <w:tcW w:w="120" w:type="dxa"/>
            <w:vAlign w:val="bottom"/>
          </w:tcPr>
          <w:p>
            <w:pPr>
              <w:spacing w:after="0"/>
              <w:rPr>
                <w:sz w:val="18"/>
                <w:szCs w:val="18"/>
                <w:color w:val="auto"/>
              </w:rPr>
            </w:pPr>
          </w:p>
        </w:tc>
      </w:tr>
      <w:tr>
        <w:trPr>
          <w:trHeight w:val="249"/>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warrant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21,399</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29,856</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-25400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balances were as follows:</w:t>
      </w:r>
    </w:p>
    <w:p>
      <w:pPr>
        <w:spacing w:after="0" w:line="124"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3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80" w:type="dxa"/>
            <w:vAlign w:val="bottom"/>
          </w:tcPr>
          <w:p>
            <w:pPr>
              <w:spacing w:after="0"/>
              <w:rPr>
                <w:sz w:val="18"/>
                <w:szCs w:val="18"/>
                <w:color w:val="auto"/>
              </w:rPr>
            </w:pPr>
          </w:p>
        </w:tc>
      </w:tr>
      <w:tr>
        <w:trPr>
          <w:trHeight w:val="216"/>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8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-170815</wp:posOffset>
            </wp:positionV>
            <wp:extent cx="514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Write downs of inventories to net realizable value amounted to $94 and $66 for the years ended December 31, 2024 and 2023,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an operating lease for a corporate office. </w:t>
      </w:r>
      <w:r>
        <w:rPr>
          <w:rFonts w:ascii="Times New Roman" w:cs="Times New Roman" w:eastAsia="Times New Roman" w:hAnsi="Times New Roman"/>
          <w:sz w:val="18"/>
          <w:szCs w:val="18"/>
          <w:color w:val="231F20"/>
        </w:rPr>
        <w:t>In December 2024, the Company amended the lease to extend through May 2029 commencing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in December 2024. The lease amendment constitutes a modification as it extends the original lease term, which requires evaluation of the remeasurement of the lease liability and corresponding right-of-use-asset. The reassessment resulted in continuing to classify the lease as an operating lease and remeasurement of the lease liability on the basis of the extended lease term and the incremental borrowing rate at the effective date of modification of 10%. The amendment also increases the amount of space leased starting in September 2025. As per ASC 842, the lease for additional space is treated as a separate lease and recorded when access to the new space is granted. </w:t>
      </w:r>
      <w:r>
        <w:rPr>
          <w:rFonts w:ascii="Times New Roman" w:cs="Times New Roman" w:eastAsia="Times New Roman" w:hAnsi="Times New Roman"/>
          <w:sz w:val="18"/>
          <w:szCs w:val="18"/>
          <w:color w:val="000000"/>
        </w:rPr>
        <w:t>The additional leased space commits the Company to a rent obligation of $717, which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is not recorded on the Company’s balance sheet. The Company’s operating lease has a remaining lease term of 4.4 years as of December 31, 2024. The Company also has an operating lease for office equipment.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20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4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78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960" w:type="dxa"/>
            <w:vAlign w:val="bottom"/>
            <w:gridSpan w:val="2"/>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r>
      <w:tr>
        <w:trPr>
          <w:trHeight w:val="250"/>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-24765</wp:posOffset>
            </wp:positionV>
            <wp:extent cx="514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including the lease modification, is as follows:</w:t>
      </w:r>
    </w:p>
    <w:p>
      <w:pPr>
        <w:spacing w:after="0" w:line="20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3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191"/>
        </w:trPr>
        <w:tc>
          <w:tcPr>
            <w:tcW w:w="53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Cash paid for amounts included in the measurement</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4"/>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lease liabilities:</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tcPr>
          <w:p>
            <w:pPr>
              <w:spacing w:after="0"/>
              <w:rPr>
                <w:sz w:val="18"/>
                <w:szCs w:val="18"/>
                <w:color w:val="auto"/>
              </w:rPr>
            </w:pPr>
          </w:p>
        </w:tc>
      </w:tr>
      <w:tr>
        <w:trPr>
          <w:trHeight w:val="198"/>
        </w:trPr>
        <w:tc>
          <w:tcPr>
            <w:tcW w:w="53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Right-of-use-assets obtained in exchange for lease</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obligations:</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0"/>
                <w:szCs w:val="20"/>
                <w:color w:val="auto"/>
              </w:rPr>
            </w:pPr>
          </w:p>
        </w:tc>
      </w:tr>
    </w:tbl>
    <w:p>
      <w:pPr>
        <w:spacing w:after="0" w:line="2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lease balances within the balance sheet, weighted-average remaining lease term, and weighted-average discount rates related to the Company’s operating leases: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15"/>
                <w:szCs w:val="15"/>
                <w:color w:val="auto"/>
              </w:rPr>
            </w:pPr>
          </w:p>
        </w:tc>
        <w:tc>
          <w:tcPr>
            <w:tcW w:w="198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2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9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120" w:type="dxa"/>
            <w:vAlign w:val="bottom"/>
            <w:tcBorders>
              <w:bottom w:val="single" w:sz="8" w:color="CFF0FC"/>
            </w:tcBorders>
            <w:shd w:val="clear" w:color="auto" w:fill="CFF0FC"/>
          </w:tcPr>
          <w:p>
            <w:pPr>
              <w:spacing w:after="0"/>
              <w:rPr>
                <w:sz w:val="21"/>
                <w:szCs w:val="21"/>
                <w:color w:val="auto"/>
              </w:rPr>
            </w:pPr>
          </w:p>
        </w:tc>
        <w:tc>
          <w:tcPr>
            <w:tcW w:w="21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Operating lease liabilities, long-term</w:t>
            </w:r>
          </w:p>
        </w:tc>
        <w:tc>
          <w:tcPr>
            <w:tcW w:w="120" w:type="dxa"/>
            <w:vAlign w:val="bottom"/>
          </w:tcPr>
          <w:p>
            <w:pPr>
              <w:spacing w:after="0"/>
              <w:rPr>
                <w:sz w:val="17"/>
                <w:szCs w:val="17"/>
                <w:color w:val="auto"/>
              </w:rPr>
            </w:pPr>
          </w:p>
        </w:tc>
        <w:tc>
          <w:tcPr>
            <w:tcW w:w="2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Long-term operating lease</w:t>
            </w: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0" w:type="dxa"/>
            <w:vAlign w:val="bottom"/>
            <w:tcBorders>
              <w:bottom w:val="single" w:sz="8" w:color="CFF0FC"/>
            </w:tcBorders>
            <w:shd w:val="clear" w:color="auto" w:fill="CFF0FC"/>
          </w:tcPr>
          <w:p>
            <w:pPr>
              <w:spacing w:after="0"/>
              <w:rPr>
                <w:sz w:val="21"/>
                <w:szCs w:val="21"/>
                <w:color w:val="auto"/>
              </w:rPr>
            </w:pPr>
          </w:p>
        </w:tc>
        <w:tc>
          <w:tcPr>
            <w:tcW w:w="19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2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4.4 years</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 years</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2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11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F-22</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-2193925</wp:posOffset>
            </wp:positionV>
            <wp:extent cx="12001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-2176780</wp:posOffset>
            </wp:positionV>
            <wp:extent cx="12001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-2193925</wp:posOffset>
            </wp:positionV>
            <wp:extent cx="12001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-2176780</wp:posOffset>
            </wp:positionV>
            <wp:extent cx="12001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-1482090</wp:posOffset>
            </wp:positionV>
            <wp:extent cx="12001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-1464945</wp:posOffset>
            </wp:positionV>
            <wp:extent cx="12001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-1482090</wp:posOffset>
            </wp:positionV>
            <wp:extent cx="12001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-1464945</wp:posOffset>
            </wp:positionV>
            <wp:extent cx="12001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2024 are as follows:</w:t>
      </w:r>
    </w:p>
    <w:p>
      <w:pPr>
        <w:spacing w:after="0" w:line="124"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5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8"/>
                <w:szCs w:val="18"/>
                <w:color w:val="auto"/>
              </w:rPr>
            </w:pP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(49 )</w:t>
            </w:r>
          </w:p>
        </w:tc>
      </w:tr>
      <w:tr>
        <w:trPr>
          <w:trHeight w:val="209"/>
        </w:trPr>
        <w:tc>
          <w:tcPr>
            <w:tcW w:w="5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Borders>
              <w:top w:val="single" w:sz="8" w:color="CFF0FC"/>
            </w:tcBorders>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-454025</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LLS and ALLY Systems, which occur primarily in the United States. The Company’s leases have remaining lease terms of less than one year to five years. Lease revenue for the years ended December 31, 2024 and 2023 was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7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09"/>
        </w:trPr>
        <w:tc>
          <w:tcPr>
            <w:tcW w:w="170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revenue</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7,532</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6,448</w:t>
            </w:r>
          </w:p>
        </w:tc>
        <w:tc>
          <w:tcPr>
            <w:tcW w:w="80" w:type="dxa"/>
            <w:vAlign w:val="bottom"/>
            <w:shd w:val="clear" w:color="auto" w:fill="CFF0FC"/>
          </w:tcPr>
          <w:p>
            <w:pPr>
              <w:spacing w:after="0"/>
              <w:rPr>
                <w:sz w:val="18"/>
                <w:szCs w:val="18"/>
                <w:color w:val="auto"/>
              </w:rPr>
            </w:pPr>
          </w:p>
        </w:tc>
      </w:tr>
      <w:tr>
        <w:trPr>
          <w:trHeight w:val="459"/>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under lease is as follows: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0"/>
        </w:trPr>
        <w:tc>
          <w:tcPr>
            <w:tcW w:w="170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40" w:type="dxa"/>
            <w:vAlign w:val="bottom"/>
            <w:gridSpan w:val="8"/>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17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9"/>
        </w:trPr>
        <w:tc>
          <w:tcPr>
            <w:tcW w:w="170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under lease</w:t>
            </w:r>
          </w:p>
        </w:tc>
        <w:tc>
          <w:tcPr>
            <w:tcW w:w="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25,410</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16,969</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(11,643 )</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(9,510 )</w:t>
            </w:r>
          </w:p>
        </w:tc>
      </w:tr>
      <w:tr>
        <w:trPr>
          <w:trHeight w:val="250"/>
        </w:trPr>
        <w:tc>
          <w:tcPr>
            <w:tcW w:w="1700" w:type="dxa"/>
            <w:vAlign w:val="bottom"/>
          </w:tcPr>
          <w:p>
            <w:pPr>
              <w:spacing w:after="0"/>
              <w:rPr>
                <w:sz w:val="21"/>
                <w:szCs w:val="21"/>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under lease, net</w:t>
            </w:r>
          </w:p>
        </w:tc>
        <w:tc>
          <w:tcPr>
            <w:tcW w:w="300" w:type="dxa"/>
            <w:vAlign w:val="bottom"/>
            <w:tcBorders>
              <w:top w:val="single" w:sz="8" w:color="auto"/>
              <w:bottom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0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on equipment under lease amounted to $2,776 and $2,052 for the years ended December 31, 2024 and 2023,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operating lease payments as of December 31, 2024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6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40" w:type="dxa"/>
            <w:vAlign w:val="bottom"/>
          </w:tcPr>
          <w:p>
            <w:pPr>
              <w:spacing w:after="0"/>
              <w:rPr>
                <w:sz w:val="15"/>
                <w:szCs w:val="15"/>
                <w:color w:val="auto"/>
              </w:rPr>
            </w:pPr>
          </w:p>
        </w:tc>
      </w:tr>
      <w:tr>
        <w:trPr>
          <w:trHeight w:val="210"/>
        </w:trPr>
        <w:tc>
          <w:tcPr>
            <w:tcW w:w="2260" w:type="dxa"/>
            <w:vAlign w:val="bottom"/>
          </w:tcPr>
          <w:p>
            <w:pPr>
              <w:spacing w:after="0"/>
              <w:rPr>
                <w:sz w:val="18"/>
                <w:szCs w:val="18"/>
                <w:color w:val="auto"/>
              </w:rPr>
            </w:pPr>
          </w:p>
        </w:tc>
        <w:tc>
          <w:tcPr>
            <w:tcW w:w="2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6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80" w:type="dxa"/>
            <w:vAlign w:val="bottom"/>
            <w:shd w:val="clear" w:color="auto" w:fill="CFF0FC"/>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80" w:type="dxa"/>
            <w:vAlign w:val="bottom"/>
            <w:shd w:val="clear" w:color="auto" w:fill="CFF0FC"/>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6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Borders>
              <w:bottom w:val="single" w:sz="8" w:color="CFF0FC"/>
            </w:tcBorders>
            <w:shd w:val="clear" w:color="auto" w:fill="CFF0FC"/>
          </w:tcPr>
          <w:p>
            <w:pPr>
              <w:spacing w:after="0"/>
              <w:rPr>
                <w:sz w:val="18"/>
                <w:szCs w:val="18"/>
                <w:color w:val="auto"/>
              </w:rPr>
            </w:pPr>
          </w:p>
        </w:tc>
        <w:tc>
          <w:tcPr>
            <w:tcW w:w="2240" w:type="dxa"/>
            <w:vAlign w:val="bottom"/>
          </w:tcPr>
          <w:p>
            <w:pPr>
              <w:spacing w:after="0"/>
              <w:rPr>
                <w:sz w:val="18"/>
                <w:szCs w:val="18"/>
                <w:color w:val="auto"/>
              </w:rPr>
            </w:pPr>
          </w:p>
        </w:tc>
      </w:tr>
      <w:tr>
        <w:trPr>
          <w:trHeight w:val="209"/>
        </w:trPr>
        <w:tc>
          <w:tcPr>
            <w:tcW w:w="22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2780" w:type="dxa"/>
            <w:vAlign w:val="bottom"/>
            <w:gridSpan w:val="2"/>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0"/>
        </w:trPr>
        <w:tc>
          <w:tcPr>
            <w:tcW w:w="2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845"/>
        </w:trPr>
        <w:tc>
          <w:tcPr>
            <w:tcW w:w="22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000" w:type="dxa"/>
            <w:vAlign w:val="bottom"/>
            <w:gridSpan w:val="3"/>
          </w:tcPr>
          <w:p>
            <w:pPr>
              <w:jc w:val="right"/>
              <w:ind w:right="2070"/>
              <w:spacing w:after="0"/>
              <w:rPr>
                <w:sz w:val="20"/>
                <w:szCs w:val="20"/>
                <w:color w:val="auto"/>
              </w:rPr>
            </w:pPr>
            <w:r>
              <w:rPr>
                <w:rFonts w:ascii="Times New Roman" w:cs="Times New Roman" w:eastAsia="Times New Roman" w:hAnsi="Times New Roman"/>
                <w:sz w:val="18"/>
                <w:szCs w:val="18"/>
                <w:color w:val="auto"/>
              </w:rPr>
              <w:t>F-23</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763"/>
        </w:trPr>
        <w:tc>
          <w:tcPr>
            <w:tcW w:w="22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-1216660</wp:posOffset>
            </wp:positionV>
            <wp:extent cx="514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1" w:name="page122"/>
    <w:bookmarkEnd w:id="12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property and equipment, net:</w:t>
      </w:r>
    </w:p>
    <w:p>
      <w:pPr>
        <w:spacing w:after="0" w:line="124"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53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System and laser</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8"/>
                <w:szCs w:val="18"/>
                <w:color w:val="auto"/>
              </w:rPr>
            </w:pPr>
          </w:p>
        </w:tc>
      </w:tr>
      <w:tr>
        <w:trPr>
          <w:trHeight w:val="216"/>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(2,385 )</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(2,381 )</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8"/>
                <w:szCs w:val="18"/>
                <w:color w:val="auto"/>
              </w:rPr>
            </w:pPr>
          </w:p>
        </w:tc>
      </w:tr>
      <w:tr>
        <w:trPr>
          <w:trHeight w:val="249"/>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-591185</wp:posOffset>
            </wp:positionV>
            <wp:extent cx="603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-591185</wp:posOffset>
            </wp:positionV>
            <wp:extent cx="603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-25400</wp:posOffset>
            </wp:positionV>
            <wp:extent cx="60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03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on property and equipment amounted to $185 and $366 for the years ended December 31, 2024 and 2023, respectively.</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intangible assets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0"/>
                <w:szCs w:val="10"/>
                <w:color w:val="auto"/>
              </w:rPr>
            </w:pPr>
          </w:p>
        </w:tc>
        <w:tc>
          <w:tcPr>
            <w:tcW w:w="100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0"/>
                <w:szCs w:val="10"/>
                <w:color w:val="auto"/>
              </w:rPr>
            </w:pPr>
          </w:p>
        </w:tc>
        <w:tc>
          <w:tcPr>
            <w:tcW w:w="100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120" w:type="dxa"/>
            <w:vAlign w:val="bottom"/>
          </w:tcPr>
          <w:p>
            <w:pPr>
              <w:spacing w:after="0"/>
              <w:rPr>
                <w:sz w:val="10"/>
                <w:szCs w:val="10"/>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20" w:type="dxa"/>
            <w:vAlign w:val="bottom"/>
          </w:tcPr>
          <w:p>
            <w:pPr>
              <w:spacing w:after="0"/>
              <w:rPr>
                <w:sz w:val="12"/>
                <w:szCs w:val="12"/>
                <w:color w:val="auto"/>
              </w:rPr>
            </w:pPr>
          </w:p>
        </w:tc>
        <w:tc>
          <w:tcPr>
            <w:tcW w:w="66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w:t>
            </w:r>
          </w:p>
        </w:tc>
        <w:tc>
          <w:tcPr>
            <w:tcW w:w="10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w:t>
            </w:r>
          </w:p>
        </w:tc>
        <w:tc>
          <w:tcPr>
            <w:tcW w:w="1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4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Customer relationships </w:t>
            </w:r>
            <w:r>
              <w:rPr>
                <w:rFonts w:ascii="Times New Roman" w:cs="Times New Roman" w:eastAsia="Times New Roman" w:hAnsi="Times New Roman"/>
                <w:sz w:val="24"/>
                <w:szCs w:val="24"/>
                <w:color w:val="auto"/>
                <w:vertAlign w:val="superscript"/>
              </w:rPr>
              <w:t>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(2,678 )</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42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Acquired technology </w:t>
            </w:r>
            <w:r>
              <w:rPr>
                <w:rFonts w:ascii="Times New Roman" w:cs="Times New Roman" w:eastAsia="Times New Roman" w:hAnsi="Times New Roman"/>
                <w:sz w:val="24"/>
                <w:szCs w:val="24"/>
                <w:color w:val="auto"/>
                <w:vertAlign w:val="superscript"/>
              </w:rPr>
              <w:t>1,3,4,5</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(5,459 )</w:t>
            </w:r>
          </w:p>
        </w:tc>
        <w:tc>
          <w:tcPr>
            <w:tcW w:w="2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(3,943 )</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(4,807 )</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Acquired trademarks </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(570 )</w:t>
            </w:r>
          </w:p>
        </w:tc>
        <w:tc>
          <w:tcPr>
            <w:tcW w:w="2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(570 )</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(8,707 )</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(3,943 )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42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(7,737 )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3000" w:type="dxa"/>
            <w:vAlign w:val="bottom"/>
            <w:tcBorders>
              <w:top w:val="single" w:sz="8" w:color="CFF0FC"/>
              <w:bottom w:val="single" w:sz="8" w:color="auto"/>
            </w:tcBorders>
          </w:tcPr>
          <w:p>
            <w:pPr>
              <w:spacing w:after="0"/>
              <w:rPr>
                <w:sz w:val="8"/>
                <w:szCs w:val="8"/>
                <w:color w:val="auto"/>
              </w:rPr>
            </w:pPr>
          </w:p>
        </w:tc>
        <w:tc>
          <w:tcPr>
            <w:tcW w:w="128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-110490</wp:posOffset>
            </wp:positionV>
            <wp:extent cx="7683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-93345</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-110490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-93345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-110490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-93345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-110490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-93345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-110490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-93345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-110490</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-93345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 w:lineRule="exact"/>
        <w:rPr>
          <w:sz w:val="20"/>
          <w:szCs w:val="20"/>
          <w:color w:val="auto"/>
        </w:rPr>
      </w:pPr>
    </w:p>
    <w:p>
      <w:pPr>
        <w:jc w:val="both"/>
        <w:ind w:firstLine="8"/>
        <w:spacing w:after="0" w:line="231" w:lineRule="auto"/>
        <w:tabs>
          <w:tab w:leader="none" w:pos="104"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Certain intangible assets were established upon PDL BioPharma, Inc.’s (“PDL”) acquisition of LENSAR in May 2017. They are being amortized on a straight-line basis over a period of 15 years. The intangible assets for customer relationships are amortized on a straight-line basis or a double declining basis over their estimated useful lives up to 20 years based on the method that better represents the economic benefits to be obtained.</w:t>
      </w:r>
    </w:p>
    <w:p>
      <w:pPr>
        <w:spacing w:after="0" w:line="173" w:lineRule="exact"/>
        <w:rPr>
          <w:sz w:val="20"/>
          <w:szCs w:val="20"/>
          <w:color w:val="auto"/>
        </w:rPr>
      </w:pPr>
    </w:p>
    <w:p>
      <w:pPr>
        <w:ind w:firstLine="8"/>
        <w:spacing w:after="0" w:line="223" w:lineRule="auto"/>
        <w:tabs>
          <w:tab w:leader="none" w:pos="90" w:val="left"/>
        </w:tabs>
        <w:numPr>
          <w:ilvl w:val="0"/>
          <w:numId w:val="6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Company acquired certain intangible assets for customer relationships from a domestic distributor in an asset acquisition, which are being amortized on a straight-line basis over a period of 10 years.</w:t>
      </w:r>
    </w:p>
    <w:p>
      <w:pPr>
        <w:spacing w:after="0" w:line="172" w:lineRule="exact"/>
        <w:rPr>
          <w:sz w:val="20"/>
          <w:szCs w:val="20"/>
          <w:color w:val="auto"/>
        </w:rPr>
      </w:pPr>
    </w:p>
    <w:p>
      <w:pPr>
        <w:ind w:firstLine="8"/>
        <w:spacing w:after="0" w:line="223" w:lineRule="auto"/>
        <w:tabs>
          <w:tab w:leader="none" w:pos="90" w:val="left"/>
        </w:tabs>
        <w:numPr>
          <w:ilvl w:val="0"/>
          <w:numId w:val="6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Company acquired certain intangible assets from a medical technology company in an asset acquisition, which were being amortized on a straight-line basis over a period of 15 years.</w:t>
      </w:r>
    </w:p>
    <w:p>
      <w:pPr>
        <w:spacing w:after="0" w:line="186" w:lineRule="exact"/>
        <w:rPr>
          <w:sz w:val="20"/>
          <w:szCs w:val="20"/>
          <w:color w:val="auto"/>
        </w:rPr>
      </w:pPr>
    </w:p>
    <w:p>
      <w:pPr>
        <w:ind w:firstLine="8"/>
        <w:spacing w:after="0" w:line="223" w:lineRule="auto"/>
        <w:tabs>
          <w:tab w:leader="none" w:pos="90" w:val="left"/>
        </w:tabs>
        <w:numPr>
          <w:ilvl w:val="0"/>
          <w:numId w:val="6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 2019, the Company acquired certain intellectual property from a third party. Pursuant to the Company’s agreement with the third party, the Company made milestone payments of $2,400 during the year ended December 31, 2022.</w:t>
      </w:r>
    </w:p>
    <w:p>
      <w:pPr>
        <w:spacing w:after="0" w:line="172" w:lineRule="exact"/>
        <w:rPr>
          <w:sz w:val="20"/>
          <w:szCs w:val="20"/>
          <w:color w:val="auto"/>
        </w:rPr>
      </w:pPr>
    </w:p>
    <w:p>
      <w:pPr>
        <w:jc w:val="both"/>
        <w:ind w:firstLine="8"/>
        <w:spacing w:after="0" w:line="238" w:lineRule="auto"/>
        <w:tabs>
          <w:tab w:leader="none" w:pos="116" w:val="left"/>
        </w:tabs>
        <w:numPr>
          <w:ilvl w:val="0"/>
          <w:numId w:val="6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 April 2024, the Company notified its third-party supplier of the phacoemulsification component in the ALLY System the Company would no longer pursue integration with the supplier’s phacoemulsification unit. This resulted in a triggering event impacting certain acquired technology intangible assets and contract liabilities associated with the phacoemulsification component. The Company determined that the carrying value of the intangible assets in items 3 and 4 above exceeded the estimated recoverable amount of $0 and recorded an impairment of intangible assets of $3,943. The impairment charge was offset with the write-off of contract liabilities associated with the intangible assets of $214.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years ended December 31, 2024 and 2023 was $970 and $1,097,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intangible assets recorded at December 31, 2024, and assuming no subsequent additions to or impairment of the underlying assets, the remaining amortization expense is expected to be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9"/>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remaining estimated amortization expense</w:t>
            </w:r>
          </w:p>
        </w:tc>
        <w:tc>
          <w:tcPr>
            <w:tcW w:w="6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8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548"/>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9. Accrued Liabilities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0"/>
        </w:trPr>
        <w:tc>
          <w:tcPr>
            <w:tcW w:w="1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142"/>
        </w:trPr>
        <w:tc>
          <w:tcPr>
            <w:tcW w:w="1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1700" w:type="dxa"/>
            <w:vAlign w:val="bottom"/>
          </w:tcPr>
          <w:p>
            <w:pPr>
              <w:spacing w:after="0"/>
              <w:rPr>
                <w:sz w:val="18"/>
                <w:szCs w:val="18"/>
                <w:color w:val="auto"/>
              </w:rPr>
            </w:pPr>
          </w:p>
        </w:tc>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0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5,002</w:t>
            </w:r>
          </w:p>
        </w:tc>
        <w:tc>
          <w:tcPr>
            <w:tcW w:w="760" w:type="dxa"/>
            <w:vAlign w:val="bottom"/>
            <w:gridSpan w:val="2"/>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3,974</w:t>
            </w:r>
          </w:p>
        </w:tc>
        <w:tc>
          <w:tcPr>
            <w:tcW w:w="80" w:type="dxa"/>
            <w:vAlign w:val="bottom"/>
            <w:shd w:val="clear" w:color="auto" w:fill="CFF0FC"/>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w:t>
            </w: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shd w:val="clear" w:color="auto" w:fill="CFF0FC"/>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1,000</w:t>
            </w:r>
          </w:p>
        </w:tc>
        <w:tc>
          <w:tcPr>
            <w:tcW w:w="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53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6,807</w:t>
            </w:r>
          </w:p>
        </w:tc>
        <w:tc>
          <w:tcPr>
            <w:tcW w:w="2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5,717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-1593850</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-1576705</wp:posOffset>
            </wp:positionV>
            <wp:extent cx="514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Warrant Liabilities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May 2023, the Company completed the Private Placement (as defined below), which included the issuance of warrants (the “Warrants”) to purchase an aggregate of 4,367 shares of common stock (the “Warrant Shares”). Fifty percent of the Warrants have an exercise price equal to $2.45 per share (the “Series A Warrant”), and 50% of the Warrants have an exercise price equal to $3.0625 per share (the “Series B Warrant”), subject in each instance to adjustments as provided under the terms of the Warrants. Refer to Note 12, </w:t>
      </w:r>
      <w:r>
        <w:rPr>
          <w:rFonts w:ascii="Times New Roman" w:cs="Times New Roman" w:eastAsia="Times New Roman" w:hAnsi="Times New Roman"/>
          <w:sz w:val="18"/>
          <w:szCs w:val="18"/>
          <w:i w:val="1"/>
          <w:iCs w:val="1"/>
          <w:color w:val="auto"/>
        </w:rPr>
        <w:t>Redeemable Convertible Preferred Stock</w:t>
      </w:r>
      <w:r>
        <w:rPr>
          <w:rFonts w:ascii="Times New Roman" w:cs="Times New Roman" w:eastAsia="Times New Roman" w:hAnsi="Times New Roman"/>
          <w:sz w:val="18"/>
          <w:szCs w:val="18"/>
          <w:color w:val="auto"/>
        </w:rPr>
        <w:t>, for more details related to the Private Placement.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the occurrence of certain transactions (“Fundamental Transactions,” as defined below), the Warrants provide that they are redeemable by the holder thereof for a value determined using a Black Scholes option pricing model with inputs calculated as described in the applicable Warrant, which includes a 100% floor on the volatility input to be utilized. The Company has determined that this provision introduces leverage to the holders of the Warrants that could result in a value that would be greater than the settlement amount of a fixed-for-fixed option on the Company’s own equity shares. Accordingly, pursuant to ASC 815, the Company classified the fair value of the Warrants as a liability to be re-measured at the end of every reporting period with the change in value reported in the statements of operations. Of the $20,000 gross proceeds for the Private Placement, $5,605 was allocated to the Warrants and the remaining $14,395 was allocated to the Series A Redeemable Convertible Preferred Stock.</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warrant liabilities using recently quoted market prices of the Company's common stock and the Black-Scholes option pricing model. The fair value of the warrant liabilities was estimated using the following assumptions as of December 31, 2024 and 2023: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5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5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846"/>
        </w:trPr>
        <w:tc>
          <w:tcPr>
            <w:tcW w:w="17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440" w:type="dxa"/>
            <w:vAlign w:val="bottom"/>
            <w:gridSpan w:val="2"/>
          </w:tcPr>
          <w:p>
            <w:pPr>
              <w:jc w:val="right"/>
              <w:ind w:right="1948"/>
              <w:spacing w:after="0"/>
              <w:rPr>
                <w:sz w:val="20"/>
                <w:szCs w:val="20"/>
                <w:color w:val="auto"/>
              </w:rPr>
            </w:pPr>
            <w:r>
              <w:rPr>
                <w:rFonts w:ascii="Times New Roman" w:cs="Times New Roman" w:eastAsia="Times New Roman" w:hAnsi="Times New Roman"/>
                <w:sz w:val="18"/>
                <w:szCs w:val="18"/>
                <w:color w:val="auto"/>
              </w:rPr>
              <w:t>F-25</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for the warrant liabilities was based on the remaining contractual term of the Warrants.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was based on the rates paid on securities issued by the U.S. Treasury with a term approximating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expected volatility for the warrant liabilities was based on an index of the historical volatilities of a group of comparable publicly-traded medical device and other peer companies, which the Company believed was representative of the volatility of its common stock.</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Company does not intend to pay dividends for the foreseeable future. Accordingly, the Company used a dividend yield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zero in the assumptions.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Obligation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 party to various supply agreements for the manufacture and supply of certain components. The supply agreements commit the Company to a minimum purchase obligation of approximately $12,157 over the next 15 months. The Company expects to meet these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Retention Credit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the United States enacted the Coronavirus Aid, Relief, and Economic Security Act (“CARES Act”). The CARES Act provides for an Employee Retention Credit (“ERC”), which is a refundable tax credit against certain employment taxes paid in 2020 and 2021. During the year ended December 31, 2023, the Company received a majority of the ERC. As such, the Company recorded $1,368 as a reduction of selling, general and administrative expenses, which represents the ERC net of professional fees during the year ended December 31, 2023. During the year ended December 31, 2024, no amounts were recorded related to the ERC. The ERC receivable of $431 is included in other current assets in the Company’s balance sheet at December 31,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medical device market in which LENSAR participates is largely technology driven. As a result, intellectual property rights, particularly patents and trade secrets, play a significant role in product development and differentiation. The Company makes provisions for liabilities when it is both probable that a liability has been incurred and the amount of the loss can be reasonably estimated.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on August 14, 2023, stockholders Ryan Schaper and Christopher P. Bolster filed a Verified Amended Class Action Complaint against the Company and certain of its officers and members of the board of directors (“Defendants”) in the matter captioned Schaper v. LENSAR, Inc., et al., Case No. 1:23-cv-00692-JLH (D. Del.). On December 12, 2023, the Court appointed Ryan Schaper and Christopher P. Bolster as Lead Plaintiffs. On January 12, 2024, Lead Plaintiffs filed a Verified Second Amended Class Action Complaint. Defendants filed a motion to dismiss on February 26, 2024. On November 18, 2024, the court granted the Company’s motion to dismiss; the complaint was dismissed, and the case was closed.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Redeemable Convertible Preferred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Redeemable Convertible Preferred Stock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2023, the Company entered into the SPA with NR-GRI, whereby it sold to NR-GRI, for an aggregate purchase price of $20,000, 20 shares of Series A Redeemable Convertible Preferred Stock and the Warrants (the “Private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8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Placement”). Refer to Note 10,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for more details related to the Warrants. The Series A Redeemable Convertible Preferred Stock is convertible into 7,940 shares of common stock at the election of NR-GRI.</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 2023, the Company’s stockholders voted to approve the issuance of shares of the Company’s common stock issuable upon conversion of the shares of Series A Redeemable Convertible Preferred Stock and exercise of the Warrants. As a result of the stockholders’ approval of the Private Placement, applicable ownership limitations under Nasdaq rules were lifted, and NR-GRI became entitled to convert shares of Series A Redeemable Convertible Preferred Stock or exercise Warrants up to the full amount purchased in the Private Placement.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Series A Redeemable Convertible Preferred Stock are entitled to vote on an as-converted basis with holders of common stock. The Series A Redeemable Convertible Preferred Stock ranks senior to the common stock as to distributions and payments upon the liquidation, dissolution and winding up of the Company, and holders of Series A Redeemable Convertible Preferred Stock participate with the holders of the common stock on an as-converted basis to the extent any dividends are declared on common stock. The shares of Series A Redeemable Convertible Preferred Stock will automatically be redeemed in connection with certain transactions (“Fundamental Transactions”), including a merger, sale of all or substantially all the assets of the Company, recapitalization, or the sale by the Company of shares resulting in more than 50% ownership by a person or group. In such event, the redemption price would be equal to the greater of the stated value of the shares of Series A Redeemable Convertible Preferred Stock or the consideration per share of common stock in the Fundamental Transaction (or in the absence of such consideration, the volume-weighted average price of the Company’s common stock immediately preceding the closing of the Fundamental Transaction).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Series A Redeemable Convertible Preferred Stock is classified as temporary equity in the balance sheet because redemption automatically occurs upon a Fundamental Transaction. However, redemption is not considered probable; therefore, the Series A Redeemable Convertible Preferred Stock is not accreted to face value. The proceeds of the transaction were allocated first to the fair value of warrants due to the classification of the warrants as a liability on the balance sheet and the remainder of the proceeds were allocated to the Series A Redeemable Convertible Preferred Stock. Offering costs of $901 were allocated ratably based on the allocation of proceeds; $253 was allocated to the general and administrative expenses and $648 was allocated to Series A Redeemable Convertible Preferred Stock. Series A Redeemable Convertible Preferred Stock is presented net of offering costs on the balance sheet.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parties’ entry into the SPA, the Company and NR-GRI entered into a Registration Rights Agreement, pursuant to which the Company filed a resale registration statement on Form S-3 (No. 333-272930) with respect to the resale of the shares of the Company’s common stock issuable upon conversion of the shares of Series A Redeemable Convertible Preferred Stock and exercise of the Warrants.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a single class of common stock in which stockholders are entitled to one vote for each share of common stock. No cash dividend was declared on common stock during the years ended December 31, 2024 and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Incentive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The 2020 Plan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In July 2020, the Board of Directors approved the LENSAR Inc. 2020 Incentive Award Plan (the “2020 Plan”). The 2020 Plan provides for the grant of stock options, restricted stock, restricted stock unit awards and other stock-based awards to recipients. The amount and terms of grants are determined by the Company’s Board of Directors or a duly authorized committee thereof. Participants must pay the Company, or make provisions to pay, any required withholding taxes by the date of the event creating the tax liability. Participants may satisfy the tax liability in cash or in stock. A total of 3,333 shares of common stock were initially reserved for issuance pursuant to the 2020 Plan. The number of shares available for issuance under the 2020 Plan includes an annual increase on the first day of each fiscal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year beginning fiscal 2021, equal to the lesser of (i) 5% of the aggregate number of shares outstanding on the final day of the immediately preceding calendar year and (ii) such smaller number of shares as determined by the Board of Directors. As of December 31, 2024 the Company has reserved 5,550 shares of common stock for issuance under the 2020 Plan.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The Inducement Plan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February 2024, the Board adopted the 2024 Employment Inducement Incentive Award Plan (the “Inducement Plan”). The Inducement Plan provides for the grant of non-qualified stock options, stock appreciation rights, restricted stock awards, restricted stock units, and other stock or cash based awards (collectively, the “Inducement Awards”). The Inducement Plan was recommended for approval by the Compensation Committee of the Board and subsequently approved and adopted by the Board without stockholder approval pursuant to Rule 5635(c)(4) of the Nasdaq Listing Rules. A maximum of 100 shares of common stock were reserved for issuance pursuant to the Inducement Plan. In accordance with Rule 5635(c)(4) of the Nasdaq Listing Rules, Inducement Awards under the 2024 Plan may only be made to an employee who has not previously been an employee or member of the Board, or following a bona fide period of non-employment by the Company, if he or she is granted such Inducement Awards in connection with his or her commencement of employment with the Company and such grant is an inducement material to his or her entering into employment with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summary of the shares available for issuance under the 2020 Plan and Inducement Plan (collectively, the “Incentive Plans”) is as follows:</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2020 Plan</w:t>
            </w:r>
          </w:p>
        </w:tc>
        <w:tc>
          <w:tcPr>
            <w:tcW w:w="16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Inducement Plan</w:t>
            </w:r>
          </w:p>
        </w:tc>
        <w:tc>
          <w:tcPr>
            <w:tcW w:w="80" w:type="dxa"/>
            <w:vAlign w:val="bottom"/>
          </w:tcPr>
          <w:p>
            <w:pPr>
              <w:spacing w:after="0"/>
              <w:rPr>
                <w:sz w:val="15"/>
                <w:szCs w:val="15"/>
                <w:color w:val="auto"/>
              </w:rPr>
            </w:pPr>
          </w:p>
        </w:tc>
      </w:tr>
      <w:tr>
        <w:trPr>
          <w:trHeight w:val="210"/>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Granted/Awarded</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(1,380 )</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0"/>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r>
      <w:tr>
        <w:trPr>
          <w:trHeight w:val="216"/>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Granted/Awarded</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(631 )</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r>
      <w:tr>
        <w:trPr>
          <w:trHeight w:val="250"/>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-24765</wp:posOffset>
            </wp:positionV>
            <wp:extent cx="603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03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032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03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exercise price of incentive stock options (“ISOs”) and nonqualified stock options (“NSOs”) shall not be less than 100% of the fair market value on the grant date of the option and the term may not exceed 10 years. The exercise price of ISOs granted to a 10% stockholder shall not be less than 110% of the estimated fair market value on the grant date of the option and the term may not exceed five years. To date, options have a term of 10 years and generally vest over one to four years from the grant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award activity under the Incentive Plans is set forth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3"/>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32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40" w:type="dxa"/>
            <w:vAlign w:val="bottom"/>
            <w:vMerge w:val="restart"/>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5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cancelled</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5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cancelled</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(162 )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5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20" w:type="dxa"/>
            <w:vAlign w:val="bottom"/>
            <w:tcBorders>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2024</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at December 31,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-448310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-431165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years ended December 31, 2024 and 2023 was $2.56 and $1.94, respectively. The total fair value of options vested during the years ended December 31, 2024 and 2023 was approximately $1,531 and $2,264, respectively. Total unrecognized compensation expense of $1,071 related to stock options will be recognized over a weighted average period of 1.6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vested as of December 31,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Options Vested</w:t>
            </w:r>
          </w:p>
        </w:tc>
        <w:tc>
          <w:tcPr>
            <w:tcW w:w="0" w:type="dxa"/>
            <w:vAlign w:val="bottom"/>
          </w:tcPr>
          <w:p>
            <w:pPr>
              <w:spacing w:after="0"/>
              <w:rPr>
                <w:sz w:val="1"/>
                <w:szCs w:val="1"/>
                <w:color w:val="auto"/>
              </w:rPr>
            </w:pPr>
          </w:p>
        </w:tc>
      </w:tr>
      <w:tr>
        <w:trPr>
          <w:trHeight w:val="117"/>
        </w:trPr>
        <w:tc>
          <w:tcPr>
            <w:tcW w:w="4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88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restart"/>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vMerge w:val="restart"/>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88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46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2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$2.15 - $3.10</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$3.27 - $5.95</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$6.07 - $8.62</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-170815</wp:posOffset>
            </wp:positionV>
            <wp:extent cx="774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stock-options using the Black-Scholes option pricing model. The fair value of employee and non-employee stock options is being amortized on a straight-line basis over the requisite service period of the awards. The fair value of employee and non-employee stock options was estimated using the following assumptions for the years ended December 31, 2024 and 2023: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980" w:type="dxa"/>
            <w:vAlign w:val="bottom"/>
          </w:tcPr>
          <w:p>
            <w:pPr>
              <w:spacing w:after="0"/>
              <w:rPr>
                <w:sz w:val="13"/>
                <w:szCs w:val="13"/>
                <w:color w:val="auto"/>
              </w:rPr>
            </w:pPr>
          </w:p>
        </w:tc>
      </w:tr>
      <w:tr>
        <w:trPr>
          <w:trHeight w:val="149"/>
        </w:trPr>
        <w:tc>
          <w:tcPr>
            <w:tcW w:w="19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180" w:type="dxa"/>
            <w:vAlign w:val="bottom"/>
            <w:gridSpan w:val="2"/>
          </w:tcPr>
          <w:p>
            <w:pPr>
              <w:jc w:val="right"/>
              <w:ind w:right="568"/>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560" w:type="dxa"/>
            <w:vAlign w:val="bottom"/>
            <w:gridSpan w:val="2"/>
          </w:tcPr>
          <w:p>
            <w:pPr>
              <w:jc w:val="right"/>
              <w:ind w:right="548"/>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980" w:type="dxa"/>
            <w:vAlign w:val="bottom"/>
          </w:tcPr>
          <w:p>
            <w:pPr>
              <w:spacing w:after="0"/>
              <w:rPr>
                <w:sz w:val="12"/>
                <w:szCs w:val="12"/>
                <w:color w:val="auto"/>
              </w:rPr>
            </w:pPr>
          </w:p>
        </w:tc>
      </w:tr>
      <w:tr>
        <w:trPr>
          <w:trHeight w:val="173"/>
        </w:trPr>
        <w:tc>
          <w:tcPr>
            <w:tcW w:w="19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4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980" w:type="dxa"/>
            <w:vAlign w:val="bottom"/>
          </w:tcPr>
          <w:p>
            <w:pPr>
              <w:spacing w:after="0"/>
              <w:rPr>
                <w:sz w:val="15"/>
                <w:szCs w:val="15"/>
                <w:color w:val="auto"/>
              </w:rPr>
            </w:pPr>
          </w:p>
        </w:tc>
      </w:tr>
      <w:tr>
        <w:trPr>
          <w:trHeight w:val="210"/>
        </w:trPr>
        <w:tc>
          <w:tcPr>
            <w:tcW w:w="1980" w:type="dxa"/>
            <w:vAlign w:val="bottom"/>
          </w:tcPr>
          <w:p>
            <w:pPr>
              <w:spacing w:after="0"/>
              <w:rPr>
                <w:sz w:val="18"/>
                <w:szCs w:val="18"/>
                <w:color w:val="auto"/>
              </w:rPr>
            </w:pPr>
          </w:p>
        </w:tc>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3.6 - 4.6%</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3.5 - 4.7%</w:t>
            </w:r>
          </w:p>
        </w:tc>
        <w:tc>
          <w:tcPr>
            <w:tcW w:w="1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58 - 61%</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57 - 70%</w:t>
            </w:r>
          </w:p>
        </w:tc>
        <w:tc>
          <w:tcPr>
            <w:tcW w:w="1980" w:type="dxa"/>
            <w:vAlign w:val="bottom"/>
          </w:tcPr>
          <w:p>
            <w:pPr>
              <w:spacing w:after="0"/>
              <w:rPr>
                <w:sz w:val="18"/>
                <w:szCs w:val="18"/>
                <w:color w:val="auto"/>
              </w:rPr>
            </w:pPr>
          </w:p>
        </w:tc>
      </w:tr>
      <w:tr>
        <w:trPr>
          <w:trHeight w:val="234"/>
        </w:trPr>
        <w:tc>
          <w:tcPr>
            <w:tcW w:w="1980" w:type="dxa"/>
            <w:vAlign w:val="bottom"/>
          </w:tcPr>
          <w:p>
            <w:pPr>
              <w:spacing w:after="0"/>
              <w:rPr>
                <w:sz w:val="20"/>
                <w:szCs w:val="20"/>
                <w:color w:val="auto"/>
              </w:rPr>
            </w:pPr>
          </w:p>
        </w:tc>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980" w:type="dxa"/>
            <w:vAlign w:val="bottom"/>
          </w:tcPr>
          <w:p>
            <w:pPr>
              <w:spacing w:after="0"/>
              <w:rPr>
                <w:sz w:val="20"/>
                <w:szCs w:val="20"/>
                <w:color w:val="auto"/>
              </w:rPr>
            </w:pPr>
          </w:p>
        </w:tc>
      </w:tr>
      <w:tr>
        <w:trPr>
          <w:trHeight w:val="846"/>
        </w:trPr>
        <w:tc>
          <w:tcPr>
            <w:tcW w:w="19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180" w:type="dxa"/>
            <w:vAlign w:val="bottom"/>
            <w:gridSpan w:val="2"/>
          </w:tcPr>
          <w:p>
            <w:pPr>
              <w:jc w:val="right"/>
              <w:ind w:right="1828"/>
              <w:spacing w:after="0"/>
              <w:rPr>
                <w:sz w:val="20"/>
                <w:szCs w:val="20"/>
                <w:color w:val="auto"/>
              </w:rPr>
            </w:pPr>
            <w:r>
              <w:rPr>
                <w:rFonts w:ascii="Times New Roman" w:cs="Times New Roman" w:eastAsia="Times New Roman" w:hAnsi="Times New Roman"/>
                <w:sz w:val="18"/>
                <w:szCs w:val="18"/>
                <w:color w:val="auto"/>
              </w:rPr>
              <w:t>F-29</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763"/>
        </w:trPr>
        <w:tc>
          <w:tcPr>
            <w:tcW w:w="198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8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for the Company’s stock-based compensation awards was based on an index of the expected terms of a group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publicly-traded medical device and other peer companies, which the Company believed was representative of the expected term of its awards.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was based on the rates paid on securities issued by the U.S. Treasury with a term approximating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expected volatility for the Company’s stock-based compensation awards was based on an index of the historical volatilities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of comparable publicly-traded medical device and other peer companies, which the Company believed was representative of the volatility of its common stock.</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Company does not intend to pay dividends for the foreseeable future. Accordingly, the Company used a dividend yield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zero in the assumptions.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has the same rights as other issued and outstanding shares of the Company’s common stock. The compensation expense related to these awards is determined using the fair market value of the Company’s common stock on the date of the grant. Under the Company’s restricted stock plans, restricted stock awards typically vest over three years and compensation expense associated with these awards is recognized on a straight-line basis over the vesting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award activity under the 2020 Plan is set forth below:</w:t>
      </w:r>
    </w:p>
    <w:p>
      <w:pPr>
        <w:spacing w:after="0" w:line="98"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3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23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-25400</wp:posOffset>
            </wp:positionV>
            <wp:extent cx="603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03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5143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514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awards vested during the year ended December 31, 2023 was $6,342. There was no activity related to restricted stock awards during the year ended December 31,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stock units granted to employees and non-employees generally vest over one to four years in regular increments. The fair value of restricted stock units is based on the Company’s closing stock price on the date of grant.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Performance stock units granted to certain executive officers are subject to service and performance conditions. The shares subject to the performance stock units vest over a four-year performance period. The actual number of performance stock units that will vest in each measurement period will be determined by the Compensation Committee based on the Company’s one-year trailing revenues and achievement of certain revenue thresholds. The fair value of performance stock units is based on the Company’s closing stock price on the date of grant.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and performance stock unit activity under the Incentive Plans is set forth below:</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3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Restricted Stock Units Outstanding</w:t>
            </w: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2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(113 )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-25400</wp:posOffset>
            </wp:positionV>
            <wp:extent cx="603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03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total fair value of restricted stock units vested during the year ended December 31, 2024 and 2023 was $723 and $466, respectively. </w:t>
      </w:r>
      <w:r>
        <w:rPr>
          <w:rFonts w:ascii="Times New Roman" w:cs="Times New Roman" w:eastAsia="Times New Roman" w:hAnsi="Times New Roman"/>
          <w:sz w:val="18"/>
          <w:szCs w:val="18"/>
          <w:color w:val="231F20"/>
        </w:rPr>
        <w:t>At December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2024 there was approximately $1,486 of total unrecognized compensation expense related to restricted stock units, which is expected to be recognized over a weighted-average period of 1.9 years.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Employee Stock Purchase Plan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2020, the Board of Directors approved the LENSAR Inc. 2020 Employee Stock Purchase Plan (the “2020 ESPP”), under which eligible employees are permitted to purchase common stock at a discount through payroll deductions. A total of 340 shares of common stock were initially reserved for issuance and will be increased on the first day of each fiscal year, beginning in 2022, by an amount equal to the lesser of (i) 1.0% of the outstanding shares of common stock as of the last day of the immediately preceding fiscal year; or (ii) a lesser amount as determined by the Board of Directors. As of December 31, 2024, the Company has reserved 564 shares of common stock for issuance under the 2020 ESPP. The price of the common stock purchased will be the lower of 85% of the fair market value of the common stock at the beginning of an offering period or at the end of a purchase period. The 2020 ESPP is intended to qualify as an “employee stock purchase plan” within the meaning of Section 423 of the Code.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418 shares of common stock have been issued to employees participating in the 2020 ESPP and 146 shares were available for future issuance under the 2020 ESPP. The grant date fair value of the shares to be issued under the Company’s 2020 ESPP was estimated using the Black-Scholes valuation model.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following table sets forth the total stock-based compensation expense recognized under the Incentive Plans and the 2020 ESPP in the Company’s statements of operations: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80" w:type="dxa"/>
            <w:vAlign w:val="bottom"/>
          </w:tcPr>
          <w:p>
            <w:pPr>
              <w:spacing w:after="0"/>
              <w:rPr>
                <w:sz w:val="12"/>
                <w:szCs w:val="12"/>
                <w:color w:val="auto"/>
              </w:rPr>
            </w:pPr>
          </w:p>
        </w:tc>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Revenue—product</w:t>
            </w:r>
          </w:p>
        </w:tc>
        <w:tc>
          <w:tcPr>
            <w:tcW w:w="15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334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revenue—product</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FF0FC"/>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revenue—service</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80" w:type="dxa"/>
            <w:vAlign w:val="bottom"/>
            <w:shd w:val="clear" w:color="auto" w:fill="CFF0FC"/>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980" w:type="dxa"/>
            <w:vAlign w:val="bottom"/>
          </w:tcPr>
          <w:p>
            <w:pPr>
              <w:spacing w:after="0"/>
              <w:rPr>
                <w:sz w:val="21"/>
                <w:szCs w:val="21"/>
                <w:color w:val="auto"/>
              </w:rPr>
            </w:pPr>
          </w:p>
        </w:tc>
        <w:tc>
          <w:tcPr>
            <w:tcW w:w="3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80" w:type="dxa"/>
            <w:vAlign w:val="bottom"/>
            <w:tcBorders>
              <w:bottom w:val="single" w:sz="8" w:color="CFF0FC"/>
            </w:tcBorders>
            <w:shd w:val="clear" w:color="auto" w:fill="CFF0FC"/>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19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0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F-31</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98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-1071245</wp:posOffset>
            </wp:positionV>
            <wp:extent cx="5143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-1053465</wp:posOffset>
            </wp:positionV>
            <wp:extent cx="514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-1071245</wp:posOffset>
            </wp:positionV>
            <wp:extent cx="5143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-1053465</wp:posOffset>
            </wp:positionV>
            <wp:extent cx="514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unrecognized stock-based compensation expense is expected to be amortized as follows:</w:t>
      </w:r>
    </w:p>
    <w:p>
      <w:pPr>
        <w:spacing w:after="0" w:line="124" w:lineRule="exact"/>
        <w:rPr>
          <w:sz w:val="20"/>
          <w:szCs w:val="20"/>
          <w:color w:val="auto"/>
        </w:rPr>
      </w:pPr>
    </w:p>
    <w:tbl>
      <w:tblPr>
        <w:tblLayout w:type="fixed"/>
        <w:tblInd w:w="1980" w:type="dxa"/>
        <w:tblCellMar>
          <w:top w:w="0" w:type="dxa"/>
          <w:left w:w="0" w:type="dxa"/>
          <w:bottom w:w="0" w:type="dxa"/>
          <w:right w:w="0" w:type="dxa"/>
        </w:tblCellMar>
      </w:tblPr>
      <w:tr>
        <w:trPr>
          <w:trHeight w:val="173"/>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5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8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8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-170815</wp:posOffset>
            </wp:positionV>
            <wp:extent cx="514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amounts included in this table are based on restricted stock units, performance stock units, and stock options outstanding at December 31, 2024 and assumes the requisite service period is fulfilled for all awards outstanding. Actual stock-based compensation expense in future periods may vary from those reflected in the table.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financial reporting purposes, loss before income taxes includes the following components:</w:t>
      </w:r>
    </w:p>
    <w:p>
      <w:pPr>
        <w:spacing w:after="0" w:line="124"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52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(31,404 )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(14,383 )</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(31,404 )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(14,383 )</w:t>
            </w: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603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03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for the years ended December 31, 2024 and 2023 consisted of the following:</w:t>
      </w:r>
    </w:p>
    <w:p>
      <w:pPr>
        <w:spacing w:after="0" w:line="124"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21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20" w:type="dxa"/>
            <w:vAlign w:val="bottom"/>
          </w:tcPr>
          <w:p>
            <w:pPr>
              <w:spacing w:after="0"/>
              <w:rPr>
                <w:sz w:val="12"/>
                <w:szCs w:val="12"/>
                <w:color w:val="auto"/>
              </w:rPr>
            </w:pPr>
          </w:p>
        </w:tc>
        <w:tc>
          <w:tcPr>
            <w:tcW w:w="820" w:type="dxa"/>
            <w:vAlign w:val="bottom"/>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102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expense (benefit)</w:t>
            </w:r>
          </w:p>
        </w:tc>
        <w:tc>
          <w:tcPr>
            <w:tcW w:w="8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820" w:type="dxa"/>
            <w:vAlign w:val="bottom"/>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r>
      <w:tr>
        <w:trPr>
          <w:trHeight w:val="209"/>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current</w:t>
            </w: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8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r>
      <w:tr>
        <w:trPr>
          <w:trHeight w:val="216"/>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82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8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w:t>
            </w: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r>
      <w:tr>
        <w:trPr>
          <w:trHeight w:val="250"/>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provision</w:t>
            </w:r>
          </w:p>
        </w:tc>
        <w:tc>
          <w:tcPr>
            <w:tcW w:w="82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-873760</wp:posOffset>
            </wp:positionV>
            <wp:extent cx="5143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-873760</wp:posOffset>
            </wp:positionV>
            <wp:extent cx="5143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-316865</wp:posOffset>
            </wp:positionV>
            <wp:extent cx="5143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-316865</wp:posOffset>
            </wp:positionV>
            <wp:extent cx="5143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514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5143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reconciliation of the income tax provision computed using the U.S. statutory federal income tax rate compared to the income tax provision included in the statements of operations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80" w:type="dxa"/>
            <w:vAlign w:val="bottom"/>
          </w:tcPr>
          <w:p>
            <w:pPr>
              <w:spacing w:after="0"/>
              <w:rPr>
                <w:sz w:val="15"/>
                <w:szCs w:val="15"/>
                <w:color w:val="auto"/>
              </w:rPr>
            </w:pPr>
          </w:p>
        </w:tc>
      </w:tr>
      <w:tr>
        <w:trPr>
          <w:trHeight w:val="142"/>
        </w:trPr>
        <w:tc>
          <w:tcPr>
            <w:tcW w:w="17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91"/>
        </w:trPr>
        <w:tc>
          <w:tcPr>
            <w:tcW w:w="1700" w:type="dxa"/>
            <w:vAlign w:val="bottom"/>
          </w:tcPr>
          <w:p>
            <w:pPr>
              <w:spacing w:after="0"/>
              <w:rPr>
                <w:sz w:val="16"/>
                <w:szCs w:val="16"/>
                <w:color w:val="auto"/>
              </w:rPr>
            </w:pPr>
          </w:p>
        </w:tc>
        <w:tc>
          <w:tcPr>
            <w:tcW w:w="37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Tax at U.S. statutory rate on income before income</w:t>
            </w:r>
          </w:p>
        </w:tc>
        <w:tc>
          <w:tcPr>
            <w:tcW w:w="1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1700" w:type="dxa"/>
            <w:vAlign w:val="bottom"/>
          </w:tcPr>
          <w:p>
            <w:pPr>
              <w:spacing w:after="0"/>
              <w:rPr>
                <w:sz w:val="20"/>
                <w:szCs w:val="20"/>
                <w:color w:val="auto"/>
              </w:rPr>
            </w:pPr>
          </w:p>
        </w:tc>
        <w:tc>
          <w:tcPr>
            <w:tcW w:w="3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18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(6,595 )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(3,020 )</w:t>
            </w: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taxes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(503 )</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(376 )</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Section 162(m)</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Deferred adjustment</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expense</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3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844"/>
        </w:trPr>
        <w:tc>
          <w:tcPr>
            <w:tcW w:w="17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60" w:type="dxa"/>
            <w:vAlign w:val="bottom"/>
            <w:gridSpan w:val="2"/>
          </w:tcPr>
          <w:p>
            <w:pPr>
              <w:jc w:val="right"/>
              <w:ind w:right="1390"/>
              <w:spacing w:after="0"/>
              <w:rPr>
                <w:sz w:val="20"/>
                <w:szCs w:val="20"/>
                <w:color w:val="auto"/>
              </w:rPr>
            </w:pPr>
            <w:r>
              <w:rPr>
                <w:rFonts w:ascii="Times New Roman" w:cs="Times New Roman" w:eastAsia="Times New Roman" w:hAnsi="Times New Roman"/>
                <w:sz w:val="18"/>
                <w:szCs w:val="18"/>
                <w:color w:val="auto"/>
              </w:rPr>
              <w:t>F-32</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-1070610</wp:posOffset>
            </wp:positionV>
            <wp:extent cx="6032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-1053465</wp:posOffset>
            </wp:positionV>
            <wp:extent cx="603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-1070610</wp:posOffset>
            </wp:positionV>
            <wp:extent cx="6032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-1053465</wp:posOffset>
            </wp:positionV>
            <wp:extent cx="6032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the differences between financial reporting and income tax bases of assets and liabilities, as well as net operating loss carryforwards, and are measured using the enacted tax rates and laws in effect when the differences are expected to reverse. The significant components of the Company’s net deferred tax assets and liabilities are as follows:</w:t>
      </w:r>
    </w:p>
    <w:p>
      <w:pPr>
        <w:spacing w:after="0" w:line="7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3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 - Section 382 limited</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Capitalization of research and experimentation expenses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Fixed assets</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18"/>
                <w:szCs w:val="18"/>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21,637</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18,921</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(20,275 )</w:t>
            </w: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(17,871 )</w:t>
            </w:r>
          </w:p>
        </w:tc>
      </w:tr>
      <w:tr>
        <w:trPr>
          <w:trHeight w:val="210"/>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Section 481(a) adjustment</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(678 )</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(670 )</w:t>
            </w: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(684 )</w:t>
            </w: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(380 )</w:t>
            </w:r>
          </w:p>
        </w:tc>
      </w:tr>
      <w:tr>
        <w:trPr>
          <w:trHeight w:val="20"/>
        </w:trPr>
        <w:tc>
          <w:tcPr>
            <w:tcW w:w="5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(1,362 )</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(1,050 )</w:t>
            </w:r>
          </w:p>
        </w:tc>
      </w:tr>
      <w:tr>
        <w:trPr>
          <w:trHeight w:val="209"/>
        </w:trPr>
        <w:tc>
          <w:tcPr>
            <w:tcW w:w="5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-736600</wp:posOffset>
            </wp:positionV>
            <wp:extent cx="603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-736600</wp:posOffset>
            </wp:positionV>
            <wp:extent cx="603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603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03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deferred tax assets associated with net operating losses included in the table above for the years ended December 31, 2024 and 2023 reflect the net operating losses the Company expects to generate on its federal and state income tax returns.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and 2023, the Company maintained U.S. federal net operating loss carryforwards of $37,673 and $32,452, respectively. As of December 31, 2024 and 2023, the Company also maintained state net operating loss carryforwards of $25,914 and $23,317, respectively. The U.S. federal net operating losses generated during years ended December 31, 2024 and 2023 (and not Code Section 382 limited; see below) may only be utilized to offset 80% of taxable income annually and may be carried forward indefinitely. The state net operating loss carryforwards generated will begin expiring in the year 2028, if not utilized.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U.S. federal and state tax attributes are subject to change of ownership limitations provided by the Code and similar state provisions. In general, if the aggregate change in stock ownership of one or more stockholders or groups of stockholders owning at least 5% of a corporation’s stock exceeds 50 percentage points (by value) over a rolling three-year period (a “Section 382 ownership change”), utilization of such corporation’s pre-change NOL and credit carryforwards are subject to an annual limitation. The Company completed a Code Section 382 study through December 31, 2023 and determined that a Section 382 ownership change occurred on May 18, 2023 in connection with the Private Placement. At the time, the Company was in a net unrealized built-in loss position (“NUBIL”). The amount of pre-change NOL carryforwards which are subject to this limitation are $25,741.</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determined that it continued to be more likely than not that certain deferred tax assets would not be realized in the near future and maintained a $20,275 valuation allowance against deferred tax assets. The net change in total valuation allowance between the years ended December 31, 2024 and 2023 was an increase of $2,404 and the net change between the years ended December 31, 2023 and 2022 was an increase of $1,540. The Company’s determination was based on its review and analysis of all the available evidence as of the balance sheet date, both positive and negative.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uncertainty provisions of ASC 740 also require the Company to recognize the impact of a tax position in its financial statements only if the technical merits of that position indicate that the position is more likely than not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1" w:name="page132"/>
    <w:bookmarkEnd w:id="13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sustained upon audit. During the years ended December 31, 2024 and 2023, the Company did not record a reserve for uncertain tax positions.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income tax returns for periods separate from the consolidation with PDL are subject to examination by U.S. federal, state and local tax authorities for tax years 2021 forward. The Company's separate state and local tax returns are generally not subject to examination by authorities for tax years prior to 2017; however, as we utilize our net operating loss carryforwards, prior years can be subject to examination from 2012 forward. The Company is not currently under examination in any significant tax jurisdictions. Interest and penalties associated with unrecognized tax benefits accrued on the balance sheet were $0 as of December 31, 2024 and 2023.</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2017 Tax Cuts and Jobs Act requires taxpayers to capitalize research and experimental (“R&amp;E”) expenditures effective for taxable years beginning after December 31, 2021. R&amp;E expenditures attributable to U.S.-based research must be amortized over a period of 5 years and R&amp;E expenditures attributable to research conducted outside of the U.S. must be amortized over a period of 15 years. The Company does not believe that this requirement has had a material impact on its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Net Loss per Share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numerator (net loss) and the denominator (number of shares) used in the basic and diluted net loss per share calculations:</w:t>
      </w:r>
    </w:p>
    <w:p>
      <w:pPr>
        <w:spacing w:after="0" w:line="61"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3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(31,404 )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(14,383 )</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10,971</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(1.31 )</w:t>
            </w:r>
          </w:p>
        </w:tc>
      </w:tr>
    </w:tbl>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basic net loss per share attributable to common stockholders is computed by dividing the net loss attributable to common stockholders by the weighted-average number of shares of common stock outstanding during the period.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Company has reported a net loss for all periods presented, basic and diluted net loss per share attributable to common stockholders are the same for those periods. The Company excluded the following amounts of equity securities from its net loss per diluted share calculations for the periods presented because their effect was anti-dilutive:</w:t>
      </w:r>
    </w:p>
    <w:p>
      <w:pPr>
        <w:spacing w:after="0" w:line="6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1700" w:type="dxa"/>
        <w:tblCellMar>
          <w:top w:w="0" w:type="dxa"/>
          <w:left w:w="0" w:type="dxa"/>
          <w:bottom w:w="0" w:type="dxa"/>
          <w:right w:w="0" w:type="dxa"/>
        </w:tblCellMar>
      </w:tblPr>
      <w:tr>
        <w:trPr>
          <w:trHeight w:val="142"/>
        </w:trPr>
        <w:tc>
          <w:tcPr>
            <w:tcW w:w="5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6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7,940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80" w:type="dxa"/>
            <w:vAlign w:val="bottom"/>
            <w:shd w:val="clear" w:color="auto" w:fill="CFF0FC"/>
          </w:tcPr>
          <w:p>
            <w:pPr>
              <w:spacing w:after="0"/>
              <w:rPr>
                <w:sz w:val="18"/>
                <w:szCs w:val="18"/>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Warrants and Series B Warrants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4,367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80" w:type="dxa"/>
            <w:vAlign w:val="bottom"/>
          </w:tcPr>
          <w:p>
            <w:pPr>
              <w:spacing w:after="0"/>
              <w:rPr>
                <w:sz w:val="18"/>
                <w:szCs w:val="18"/>
                <w:color w:val="auto"/>
              </w:rPr>
            </w:pPr>
          </w:p>
        </w:tc>
      </w:tr>
      <w:tr>
        <w:trPr>
          <w:trHeight w:val="216"/>
        </w:trPr>
        <w:tc>
          <w:tcPr>
            <w:tcW w:w="6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shd w:val="clear" w:color="auto" w:fill="CFF0FC"/>
          </w:tcPr>
          <w:p>
            <w:pPr>
              <w:spacing w:after="0"/>
              <w:rPr>
                <w:sz w:val="18"/>
                <w:szCs w:val="18"/>
                <w:color w:val="auto"/>
              </w:rPr>
            </w:pP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1,845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80" w:type="dxa"/>
            <w:vAlign w:val="bottom"/>
          </w:tcPr>
          <w:p>
            <w:pPr>
              <w:spacing w:after="0"/>
              <w:rPr>
                <w:sz w:val="20"/>
                <w:szCs w:val="20"/>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anti-dilutive weighted-average shares excluded from the net loss per share diluted shares calculations were: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5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80" w:type="dxa"/>
            <w:vAlign w:val="bottom"/>
          </w:tcPr>
          <w:p>
            <w:pPr>
              <w:spacing w:after="0"/>
              <w:rPr>
                <w:sz w:val="15"/>
                <w:szCs w:val="15"/>
                <w:color w:val="auto"/>
              </w:rPr>
            </w:pPr>
          </w:p>
        </w:tc>
      </w:tr>
      <w:tr>
        <w:trPr>
          <w:trHeight w:val="142"/>
        </w:trPr>
        <w:tc>
          <w:tcPr>
            <w:tcW w:w="17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0"/>
        </w:trPr>
        <w:tc>
          <w:tcPr>
            <w:tcW w:w="170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2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Series A Warrants</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B Warrants</w:t>
            </w:r>
          </w:p>
        </w:tc>
        <w:tc>
          <w:tcPr>
            <w:tcW w:w="2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6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11,462</w:t>
            </w:r>
          </w:p>
        </w:tc>
        <w:tc>
          <w:tcPr>
            <w:tcW w:w="1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844"/>
        </w:trPr>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800" w:type="dxa"/>
            <w:vAlign w:val="bottom"/>
            <w:gridSpan w:val="2"/>
          </w:tcPr>
          <w:p>
            <w:pPr>
              <w:jc w:val="right"/>
              <w:ind w:right="2299"/>
              <w:spacing w:after="0"/>
              <w:rPr>
                <w:sz w:val="20"/>
                <w:szCs w:val="20"/>
                <w:color w:val="auto"/>
              </w:rPr>
            </w:pPr>
            <w:r>
              <w:rPr>
                <w:rFonts w:ascii="Times New Roman" w:cs="Times New Roman" w:eastAsia="Times New Roman" w:hAnsi="Times New Roman"/>
                <w:sz w:val="18"/>
                <w:szCs w:val="18"/>
                <w:color w:val="auto"/>
              </w:rPr>
              <w:t>F-34</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-1216660</wp:posOffset>
            </wp:positionV>
            <wp:extent cx="5143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-1216660</wp:posOffset>
            </wp:positionV>
            <wp:extent cx="6032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CODM is its Chief Executive Officer. The Company has determined that it operates in one operating segment and one reportable segment as the CODM reviews financial information presented on an entity-wide basis for purposes of making operating decisions, allocating resources, and evaluating financial performance. The CODM uses revenue and net loss to assess segment performance and allocate resources by comparing actual results to budget. The measure of segment assets is reported on the balance sheet as total consolidated assets. As of December 31, 2024 and 2023, 98% and 95% of long-lived assets were in the United States, respectively. Revenue is attributed to a geographic region based on the location of the customer, refer to Note 3,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significant segment expenses to net loss is below:</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53,494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42,164</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Personnel expense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20,015</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Other cost of revenue</w:t>
            </w:r>
            <w:r>
              <w:rPr>
                <w:rFonts w:ascii="Times New Roman" w:cs="Times New Roman" w:eastAsia="Times New Roman" w:hAnsi="Times New Roman"/>
                <w:sz w:val="24"/>
                <w:szCs w:val="24"/>
                <w:color w:val="auto"/>
                <w:vertAlign w:val="superscript"/>
              </w:rPr>
              <w:t>1</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Other research and development expense</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Other sales and marketing expense</w:t>
            </w:r>
            <w:r>
              <w:rPr>
                <w:rFonts w:ascii="Times New Roman" w:cs="Times New Roman" w:eastAsia="Times New Roman" w:hAnsi="Times New Roman"/>
                <w:sz w:val="24"/>
                <w:szCs w:val="24"/>
                <w:color w:val="auto"/>
                <w:vertAlign w:val="superscript"/>
              </w:rPr>
              <w:t>1</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Other general and administrative expense</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8,083</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(660 )</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(698 )</w:t>
            </w:r>
          </w:p>
        </w:tc>
      </w:tr>
      <w:tr>
        <w:trPr>
          <w:trHeight w:val="20"/>
        </w:trPr>
        <w:tc>
          <w:tcPr>
            <w:tcW w:w="6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(31,404 )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(14,383 )</w:t>
            </w:r>
          </w:p>
        </w:tc>
      </w:tr>
      <w:tr>
        <w:trPr>
          <w:trHeight w:val="20"/>
        </w:trPr>
        <w:tc>
          <w:tcPr>
            <w:tcW w:w="6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-170815</wp:posOffset>
            </wp:positionV>
            <wp:extent cx="603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97" w:lineRule="exact"/>
        <w:rPr>
          <w:sz w:val="20"/>
          <w:szCs w:val="20"/>
          <w:color w:val="auto"/>
        </w:rPr>
      </w:pPr>
    </w:p>
    <w:p>
      <w:pPr>
        <w:ind w:right="140" w:firstLine="8"/>
        <w:spacing w:after="0" w:line="223" w:lineRule="auto"/>
        <w:tabs>
          <w:tab w:leader="none" w:pos="150" w:val="left"/>
        </w:tabs>
        <w:numPr>
          <w:ilvl w:val="0"/>
          <w:numId w:val="6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Company deducts personnel expense, stock-based compensation expense, depreciation expense, and amortization expense from GAAP expenses to arrive at other costs and expenses.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b w:val="1"/>
          <w:bCs w:val="1"/>
          <w:color w:val="auto"/>
        </w:rPr>
        <w:t>INDUSTRIAL REAL ESTATE LEASE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DISCOVERY TECH CENTER</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ORLANDO, FLORIDA</w:t>
      </w:r>
    </w:p>
    <w:p>
      <w:pPr>
        <w:spacing w:after="0" w:line="200" w:lineRule="exact"/>
        <w:rPr>
          <w:sz w:val="20"/>
          <w:szCs w:val="20"/>
          <w:color w:val="auto"/>
        </w:rPr>
      </w:pPr>
    </w:p>
    <w:p>
      <w:pPr>
        <w:spacing w:after="0" w:line="30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CHALLENGER-DISCOVERY, LLC, Landlord</w:t>
      </w: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LENSAR, INC., Tenant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July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1166495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2"/>
                <w:szCs w:val="22"/>
                <w:color w:val="auto"/>
              </w:rPr>
            </w:pPr>
          </w:p>
        </w:tc>
        <w:tc>
          <w:tcPr>
            <w:tcW w:w="6460" w:type="dxa"/>
            <w:vAlign w:val="bottom"/>
            <w:gridSpan w:val="3"/>
          </w:tcPr>
          <w:p>
            <w:pPr>
              <w:ind w:left="346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600" w:type="dxa"/>
            <w:vAlign w:val="bottom"/>
          </w:tcPr>
          <w:p>
            <w:pPr>
              <w:spacing w:after="0"/>
              <w:rPr>
                <w:sz w:val="22"/>
                <w:szCs w:val="22"/>
                <w:color w:val="auto"/>
              </w:rPr>
            </w:pPr>
          </w:p>
        </w:tc>
        <w:tc>
          <w:tcPr>
            <w:tcW w:w="3160" w:type="dxa"/>
            <w:vAlign w:val="bottom"/>
          </w:tcPr>
          <w:p>
            <w:pPr>
              <w:spacing w:after="0"/>
              <w:rPr>
                <w:sz w:val="22"/>
                <w:szCs w:val="22"/>
                <w:color w:val="auto"/>
              </w:rPr>
            </w:pPr>
          </w:p>
        </w:tc>
      </w:tr>
      <w:tr>
        <w:trPr>
          <w:trHeight w:val="439"/>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ARTICLE</w:t>
            </w:r>
          </w:p>
        </w:tc>
        <w:tc>
          <w:tcPr>
            <w:tcW w:w="346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4"/>
              </w:rPr>
              <w:t>PAGE</w:t>
            </w:r>
          </w:p>
        </w:tc>
        <w:tc>
          <w:tcPr>
            <w:tcW w:w="3160" w:type="dxa"/>
            <w:vAlign w:val="bottom"/>
          </w:tcPr>
          <w:p>
            <w:pPr>
              <w:spacing w:after="0"/>
              <w:rPr>
                <w:sz w:val="24"/>
                <w:szCs w:val="24"/>
                <w:color w:val="auto"/>
              </w:rPr>
            </w:pPr>
          </w:p>
        </w:tc>
      </w:tr>
      <w:tr>
        <w:trPr>
          <w:trHeight w:val="708"/>
        </w:trPr>
        <w:tc>
          <w:tcPr>
            <w:tcW w:w="74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ARTICLE 1 BASIC TERMS</w:t>
            </w:r>
          </w:p>
        </w:tc>
        <w:tc>
          <w:tcPr>
            <w:tcW w:w="3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675"/>
        </w:trPr>
        <w:tc>
          <w:tcPr>
            <w:tcW w:w="74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ARTICLE 2 PREMISES</w:t>
            </w:r>
          </w:p>
        </w:tc>
        <w:tc>
          <w:tcPr>
            <w:tcW w:w="3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675"/>
        </w:trPr>
        <w:tc>
          <w:tcPr>
            <w:tcW w:w="74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ARTICLE 3 LEASE TERM</w:t>
            </w:r>
          </w:p>
        </w:tc>
        <w:tc>
          <w:tcPr>
            <w:tcW w:w="376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3</w:t>
            </w:r>
          </w:p>
        </w:tc>
      </w:tr>
      <w:tr>
        <w:trPr>
          <w:trHeight w:val="675"/>
        </w:trPr>
        <w:tc>
          <w:tcPr>
            <w:tcW w:w="74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ARTICLE 4 RENT</w:t>
            </w:r>
          </w:p>
        </w:tc>
        <w:tc>
          <w:tcPr>
            <w:tcW w:w="3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675"/>
        </w:trPr>
        <w:tc>
          <w:tcPr>
            <w:tcW w:w="74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ARTICLE 5 PROPERTY TAXES</w:t>
            </w:r>
          </w:p>
        </w:tc>
        <w:tc>
          <w:tcPr>
            <w:tcW w:w="3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675"/>
        </w:trPr>
        <w:tc>
          <w:tcPr>
            <w:tcW w:w="74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ARTICLE 6 UTILITIES</w:t>
            </w:r>
          </w:p>
        </w:tc>
        <w:tc>
          <w:tcPr>
            <w:tcW w:w="3760" w:type="dxa"/>
            <w:vAlign w:val="bottom"/>
            <w:gridSpan w:val="2"/>
          </w:tcPr>
          <w:p>
            <w:pPr>
              <w:ind w:left="3420"/>
              <w:spacing w:after="0"/>
              <w:rPr>
                <w:sz w:val="20"/>
                <w:szCs w:val="20"/>
                <w:color w:val="auto"/>
              </w:rPr>
            </w:pPr>
            <w:r>
              <w:rPr>
                <w:rFonts w:ascii="Times New Roman" w:cs="Times New Roman" w:eastAsia="Times New Roman" w:hAnsi="Times New Roman"/>
                <w:sz w:val="22"/>
                <w:szCs w:val="22"/>
                <w:color w:val="auto"/>
              </w:rPr>
              <w:t>6</w:t>
            </w:r>
          </w:p>
        </w:tc>
      </w:tr>
      <w:tr>
        <w:trPr>
          <w:trHeight w:val="675"/>
        </w:trPr>
        <w:tc>
          <w:tcPr>
            <w:tcW w:w="74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ARTICLE 7 INSURANCE</w:t>
            </w:r>
          </w:p>
        </w:tc>
        <w:tc>
          <w:tcPr>
            <w:tcW w:w="3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675"/>
        </w:trPr>
        <w:tc>
          <w:tcPr>
            <w:tcW w:w="74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ARTICLE 8 COMMON AREAS</w:t>
            </w:r>
          </w:p>
        </w:tc>
        <w:tc>
          <w:tcPr>
            <w:tcW w:w="3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675"/>
        </w:trPr>
        <w:tc>
          <w:tcPr>
            <w:tcW w:w="74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ARTICLE 9 USE OF PREMISES</w:t>
            </w:r>
          </w:p>
        </w:tc>
        <w:tc>
          <w:tcPr>
            <w:tcW w:w="3760" w:type="dxa"/>
            <w:vAlign w:val="bottom"/>
            <w:gridSpan w:val="2"/>
          </w:tcPr>
          <w:p>
            <w:pPr>
              <w:ind w:left="3420"/>
              <w:spacing w:after="0"/>
              <w:rPr>
                <w:sz w:val="20"/>
                <w:szCs w:val="20"/>
                <w:color w:val="auto"/>
              </w:rPr>
            </w:pPr>
            <w:r>
              <w:rPr>
                <w:rFonts w:ascii="Times New Roman" w:cs="Times New Roman" w:eastAsia="Times New Roman" w:hAnsi="Times New Roman"/>
                <w:sz w:val="22"/>
                <w:szCs w:val="22"/>
                <w:color w:val="auto"/>
              </w:rPr>
              <w:t>11</w:t>
            </w:r>
          </w:p>
        </w:tc>
      </w:tr>
      <w:tr>
        <w:trPr>
          <w:trHeight w:val="675"/>
        </w:trPr>
        <w:tc>
          <w:tcPr>
            <w:tcW w:w="74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ARTICLE 10 CONDITION AND MAINTENANCE OF PREMISES</w:t>
            </w:r>
          </w:p>
        </w:tc>
        <w:tc>
          <w:tcPr>
            <w:tcW w:w="3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675"/>
        </w:trPr>
        <w:tc>
          <w:tcPr>
            <w:tcW w:w="74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ARTICLE 11 DAMAGE OR DESTRUCTION</w:t>
            </w:r>
          </w:p>
        </w:tc>
        <w:tc>
          <w:tcPr>
            <w:tcW w:w="3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675"/>
        </w:trPr>
        <w:tc>
          <w:tcPr>
            <w:tcW w:w="74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ARTICLE 12 CONDEMNATION</w:t>
            </w:r>
          </w:p>
        </w:tc>
        <w:tc>
          <w:tcPr>
            <w:tcW w:w="3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675"/>
        </w:trPr>
        <w:tc>
          <w:tcPr>
            <w:tcW w:w="74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ARTICLE 13 ASSIGNMENT AND SUBLETTING</w:t>
            </w:r>
          </w:p>
        </w:tc>
        <w:tc>
          <w:tcPr>
            <w:tcW w:w="3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675"/>
        </w:trPr>
        <w:tc>
          <w:tcPr>
            <w:tcW w:w="74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ARTICLE 14 DEFAULTS AND REMEDIES</w:t>
            </w:r>
          </w:p>
        </w:tc>
        <w:tc>
          <w:tcPr>
            <w:tcW w:w="3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675"/>
        </w:trPr>
        <w:tc>
          <w:tcPr>
            <w:tcW w:w="74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ARTICLE 15 PROTECTION OF LENDERS</w:t>
            </w:r>
          </w:p>
        </w:tc>
        <w:tc>
          <w:tcPr>
            <w:tcW w:w="3760" w:type="dxa"/>
            <w:vAlign w:val="bottom"/>
            <w:gridSpan w:val="2"/>
          </w:tcPr>
          <w:p>
            <w:pPr>
              <w:ind w:left="3420"/>
              <w:spacing w:after="0"/>
              <w:rPr>
                <w:sz w:val="20"/>
                <w:szCs w:val="20"/>
                <w:color w:val="auto"/>
              </w:rPr>
            </w:pPr>
            <w:r>
              <w:rPr>
                <w:rFonts w:ascii="Times New Roman" w:cs="Times New Roman" w:eastAsia="Times New Roman" w:hAnsi="Times New Roman"/>
                <w:sz w:val="22"/>
                <w:szCs w:val="22"/>
                <w:color w:val="auto"/>
              </w:rPr>
              <w:t>23</w:t>
            </w:r>
          </w:p>
        </w:tc>
      </w:tr>
      <w:tr>
        <w:trPr>
          <w:trHeight w:val="675"/>
        </w:trPr>
        <w:tc>
          <w:tcPr>
            <w:tcW w:w="74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ARTICLE 16 LEGAL COSTS</w:t>
            </w:r>
          </w:p>
        </w:tc>
        <w:tc>
          <w:tcPr>
            <w:tcW w:w="3760" w:type="dxa"/>
            <w:vAlign w:val="bottom"/>
            <w:gridSpan w:val="2"/>
          </w:tcPr>
          <w:p>
            <w:pPr>
              <w:ind w:left="3420"/>
              <w:spacing w:after="0"/>
              <w:rPr>
                <w:sz w:val="20"/>
                <w:szCs w:val="20"/>
                <w:color w:val="auto"/>
              </w:rPr>
            </w:pPr>
            <w:r>
              <w:rPr>
                <w:rFonts w:ascii="Times New Roman" w:cs="Times New Roman" w:eastAsia="Times New Roman" w:hAnsi="Times New Roman"/>
                <w:sz w:val="22"/>
                <w:szCs w:val="22"/>
                <w:color w:val="auto"/>
              </w:rPr>
              <w:t>25</w:t>
            </w:r>
          </w:p>
        </w:tc>
      </w:tr>
      <w:tr>
        <w:trPr>
          <w:trHeight w:val="675"/>
        </w:trPr>
        <w:tc>
          <w:tcPr>
            <w:tcW w:w="74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ARTICLE 17 MISCELLANEOUS PROVISIONS</w:t>
            </w:r>
          </w:p>
        </w:tc>
        <w:tc>
          <w:tcPr>
            <w:tcW w:w="3760" w:type="dxa"/>
            <w:vAlign w:val="bottom"/>
            <w:gridSpan w:val="2"/>
          </w:tcPr>
          <w:p>
            <w:pPr>
              <w:ind w:left="3420"/>
              <w:spacing w:after="0"/>
              <w:rPr>
                <w:sz w:val="20"/>
                <w:szCs w:val="20"/>
                <w:color w:val="auto"/>
              </w:rPr>
            </w:pPr>
            <w:r>
              <w:rPr>
                <w:rFonts w:ascii="Times New Roman" w:cs="Times New Roman" w:eastAsia="Times New Roman" w:hAnsi="Times New Roman"/>
                <w:sz w:val="22"/>
                <w:szCs w:val="22"/>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5" w:right="359" w:bottom="1440" w:gutter="0" w:footer="0" w:header="0"/>
        </w:sectPr>
      </w:pPr>
    </w:p>
    <w:bookmarkStart w:id="135" w:name="page136"/>
    <w:bookmarkEnd w:id="135"/>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7360" w:type="dxa"/>
            <w:vAlign w:val="bottom"/>
          </w:tcPr>
          <w:p>
            <w:pPr>
              <w:spacing w:after="0"/>
              <w:rPr>
                <w:sz w:val="20"/>
                <w:szCs w:val="20"/>
                <w:color w:val="auto"/>
              </w:rPr>
            </w:pPr>
            <w:r>
              <w:rPr>
                <w:rFonts w:ascii="Times New Roman" w:cs="Times New Roman" w:eastAsia="Times New Roman" w:hAnsi="Times New Roman"/>
                <w:sz w:val="22"/>
                <w:szCs w:val="22"/>
                <w:color w:val="auto"/>
              </w:rPr>
              <w:t>ARTICLE 18 RENEWAL OPTION</w:t>
            </w:r>
          </w:p>
        </w:tc>
        <w:tc>
          <w:tcPr>
            <w:tcW w:w="38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29</w:t>
            </w:r>
          </w:p>
        </w:tc>
      </w:tr>
      <w:tr>
        <w:trPr>
          <w:trHeight w:val="675"/>
        </w:trPr>
        <w:tc>
          <w:tcPr>
            <w:tcW w:w="7360" w:type="dxa"/>
            <w:vAlign w:val="bottom"/>
          </w:tcPr>
          <w:p>
            <w:pPr>
              <w:spacing w:after="0"/>
              <w:rPr>
                <w:sz w:val="20"/>
                <w:szCs w:val="20"/>
                <w:color w:val="auto"/>
              </w:rPr>
            </w:pPr>
            <w:r>
              <w:rPr>
                <w:rFonts w:ascii="Times New Roman" w:cs="Times New Roman" w:eastAsia="Times New Roman" w:hAnsi="Times New Roman"/>
                <w:sz w:val="22"/>
                <w:szCs w:val="22"/>
                <w:color w:val="auto"/>
              </w:rPr>
              <w:t>ARTICLE 19 RIGHT OF FIRST REFUSAL</w:t>
            </w:r>
          </w:p>
        </w:tc>
        <w:tc>
          <w:tcPr>
            <w:tcW w:w="38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30</w:t>
            </w:r>
          </w:p>
        </w:tc>
      </w:tr>
      <w:tr>
        <w:trPr>
          <w:trHeight w:val="675"/>
        </w:trPr>
        <w:tc>
          <w:tcPr>
            <w:tcW w:w="7360" w:type="dxa"/>
            <w:vAlign w:val="bottom"/>
          </w:tcPr>
          <w:p>
            <w:pPr>
              <w:spacing w:after="0"/>
              <w:rPr>
                <w:sz w:val="20"/>
                <w:szCs w:val="20"/>
                <w:color w:val="auto"/>
              </w:rPr>
            </w:pPr>
            <w:r>
              <w:rPr>
                <w:rFonts w:ascii="Times New Roman" w:cs="Times New Roman" w:eastAsia="Times New Roman" w:hAnsi="Times New Roman"/>
                <w:sz w:val="22"/>
                <w:szCs w:val="22"/>
                <w:color w:val="auto"/>
              </w:rPr>
              <w:t>ARTICLE 20 OPTION TO TERMINATE</w:t>
            </w:r>
          </w:p>
        </w:tc>
        <w:tc>
          <w:tcPr>
            <w:tcW w:w="3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 THE LAND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 – THE PREMISES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 – RULES AND REGULATIONS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D – WORK LETTER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E – COMMENCEMENT LETTER AND ACCEPTANCE OF PREMISES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F – HAZARDOUS MATERIALS DISCLOSURE CERTIFICATE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G – INITIAL DISCLOSURE CERTIFICATE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H – 2010 BUDGET OF TOTAL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1249680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color w:val="auto"/>
        </w:rPr>
        <w:t>Exhibit 10.18</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1</w:t>
      </w:r>
    </w:p>
    <w:p>
      <w:pPr>
        <w:spacing w:after="0" w:line="23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u w:val="single" w:color="auto"/>
          <w:color w:val="auto"/>
        </w:rPr>
        <w:t>BASIC TERMS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following terms used in this Lease shall have the meanings set forth below.</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b w:val="1"/>
          <w:bCs w:val="1"/>
          <w:color w:val="auto"/>
        </w:rPr>
        <w:t>Date of Lease</w:t>
      </w:r>
      <w:r>
        <w:rPr>
          <w:rFonts w:ascii="Times New Roman" w:cs="Times New Roman" w:eastAsia="Times New Roman" w:hAnsi="Times New Roman"/>
          <w:sz w:val="22"/>
          <w:szCs w:val="22"/>
          <w:color w:val="auto"/>
        </w:rPr>
        <w:t>: July 30, 2010</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b w:val="1"/>
          <w:bCs w:val="1"/>
          <w:color w:val="auto"/>
        </w:rPr>
        <w:t>Landlord (legal entity)</w:t>
      </w:r>
      <w:r>
        <w:rPr>
          <w:rFonts w:ascii="Times New Roman" w:cs="Times New Roman" w:eastAsia="Times New Roman" w:hAnsi="Times New Roman"/>
          <w:sz w:val="22"/>
          <w:szCs w:val="22"/>
          <w:color w:val="auto"/>
        </w:rPr>
        <w:t>: Challenger-Discovery, LLC, a Delaware limited liability company</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1.03 Tenant (legal entity): LensAR, Inc., a Delaware corporation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1.04 Tenant’s Guarantor: None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1.05 Address of Property: 2800 Discovery Drive, Orlando, Florida 32826</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1.06 Property Rentable Area: 44,765 (subject to Section 2.02 below)</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1.07 Premises Rentable Area: 34,758 (subject to Section 2.02 below)</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1.08 Tenant’s Initial Pro Rata Share: 77.65% (subject to adjustment based on Section 2.02 below)</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1.09 Lease Term: Sixty-six (66) months, commencing on the Lease Commencement Date.</w:t>
      </w:r>
    </w:p>
    <w:p>
      <w:pPr>
        <w:spacing w:after="0" w:line="206"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1.10 Lease Commencement Date: The date Landlord delivers possession of the Premises with Landlord’s Work (as defined in Paragraph 1 of the Work Letter) substantially complete (as defined in Paragraph 7 of the Work Letter) and with a Certificate of Occupancy (subject to a Delay as defined in Paragraph 8 of the Work Letter).</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Target Lease Commencement Date</w:t>
      </w:r>
      <w:r>
        <w:rPr>
          <w:rFonts w:ascii="Times New Roman" w:cs="Times New Roman" w:eastAsia="Times New Roman" w:hAnsi="Times New Roman"/>
          <w:sz w:val="22"/>
          <w:szCs w:val="22"/>
          <w:color w:val="auto"/>
        </w:rPr>
        <w:t>: September 1, 2010</w:t>
      </w:r>
    </w:p>
    <w:p>
      <w:pPr>
        <w:spacing w:after="0" w:line="21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1.12 Permitted Uses: General office use and research and development in optics and visual science and marketing of ophthalmic therapeutic medical devices including the assembly of finished products from components.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1.13 Broker: Lincoln Property Company of Florida, Inc. and Dunhill Properties, Inc.</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1.14 Security Deposit Requirement: $112,963.50</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1.15 Parking Spaces Allocated to Tenant: 145</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1.16 Base Rent (subject to adjustment based on Section 2.02 below):</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920" w:type="dxa"/>
            <w:vAlign w:val="bottom"/>
            <w:tcBorders>
              <w:top w:val="single" w:sz="8" w:color="auto"/>
              <w:left w:val="single" w:sz="8" w:color="auto"/>
              <w:right w:val="single" w:sz="8" w:color="auto"/>
            </w:tcBorders>
          </w:tcPr>
          <w:p>
            <w:pPr>
              <w:ind w:left="1100"/>
              <w:spacing w:after="0" w:line="228" w:lineRule="exact"/>
              <w:rPr>
                <w:sz w:val="20"/>
                <w:szCs w:val="20"/>
                <w:color w:val="auto"/>
              </w:rPr>
            </w:pPr>
            <w:r>
              <w:rPr>
                <w:rFonts w:ascii="Times New Roman" w:cs="Times New Roman" w:eastAsia="Times New Roman" w:hAnsi="Times New Roman"/>
                <w:sz w:val="22"/>
                <w:szCs w:val="22"/>
                <w:b w:val="1"/>
                <w:bCs w:val="1"/>
                <w:color w:val="auto"/>
              </w:rPr>
              <w:t>Months</w:t>
            </w:r>
          </w:p>
        </w:tc>
        <w:tc>
          <w:tcPr>
            <w:tcW w:w="2580" w:type="dxa"/>
            <w:vAlign w:val="bottom"/>
            <w:tcBorders>
              <w:top w:val="single" w:sz="8" w:color="auto"/>
              <w:right w:val="single" w:sz="8" w:color="auto"/>
            </w:tcBorders>
          </w:tcPr>
          <w:p>
            <w:pPr>
              <w:ind w:left="540"/>
              <w:spacing w:after="0" w:line="228" w:lineRule="exact"/>
              <w:rPr>
                <w:sz w:val="20"/>
                <w:szCs w:val="20"/>
                <w:color w:val="auto"/>
              </w:rPr>
            </w:pPr>
            <w:r>
              <w:rPr>
                <w:rFonts w:ascii="Times New Roman" w:cs="Times New Roman" w:eastAsia="Times New Roman" w:hAnsi="Times New Roman"/>
                <w:sz w:val="22"/>
                <w:szCs w:val="22"/>
                <w:b w:val="1"/>
                <w:bCs w:val="1"/>
                <w:color w:val="auto"/>
              </w:rPr>
              <w:t>Rate Per Sq. Ft.</w:t>
            </w:r>
          </w:p>
        </w:tc>
        <w:tc>
          <w:tcPr>
            <w:tcW w:w="2600" w:type="dxa"/>
            <w:vAlign w:val="bottom"/>
            <w:tcBorders>
              <w:top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2"/>
                <w:szCs w:val="22"/>
                <w:b w:val="1"/>
                <w:bCs w:val="1"/>
                <w:color w:val="auto"/>
                <w:w w:val="98"/>
              </w:rPr>
              <w:t>Annual Base Rent (or a</w:t>
            </w:r>
          </w:p>
        </w:tc>
        <w:tc>
          <w:tcPr>
            <w:tcW w:w="3140" w:type="dxa"/>
            <w:vAlign w:val="bottom"/>
            <w:tcBorders>
              <w:top w:val="single" w:sz="8" w:color="auto"/>
              <w:right w:val="single" w:sz="8" w:color="auto"/>
            </w:tcBorders>
          </w:tcPr>
          <w:p>
            <w:pPr>
              <w:ind w:left="600"/>
              <w:spacing w:after="0" w:line="228" w:lineRule="exact"/>
              <w:rPr>
                <w:sz w:val="20"/>
                <w:szCs w:val="20"/>
                <w:color w:val="auto"/>
              </w:rPr>
            </w:pPr>
            <w:r>
              <w:rPr>
                <w:rFonts w:ascii="Times New Roman" w:cs="Times New Roman" w:eastAsia="Times New Roman" w:hAnsi="Times New Roman"/>
                <w:sz w:val="22"/>
                <w:szCs w:val="22"/>
                <w:b w:val="1"/>
                <w:bCs w:val="1"/>
                <w:color w:val="auto"/>
              </w:rPr>
              <w:t>Monthly Installment</w:t>
            </w:r>
          </w:p>
        </w:tc>
      </w:tr>
      <w:tr>
        <w:trPr>
          <w:trHeight w:val="291"/>
        </w:trPr>
        <w:tc>
          <w:tcPr>
            <w:tcW w:w="2920" w:type="dxa"/>
            <w:vAlign w:val="bottom"/>
            <w:tcBorders>
              <w:left w:val="single" w:sz="8" w:color="auto"/>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portion thereof)</w:t>
            </w:r>
          </w:p>
        </w:tc>
        <w:tc>
          <w:tcPr>
            <w:tcW w:w="3140" w:type="dxa"/>
            <w:vAlign w:val="bottom"/>
            <w:tcBorders>
              <w:bottom w:val="single" w:sz="8" w:color="auto"/>
              <w:right w:val="single" w:sz="8" w:color="auto"/>
            </w:tcBorders>
          </w:tcPr>
          <w:p>
            <w:pPr>
              <w:spacing w:after="0"/>
              <w:rPr>
                <w:sz w:val="24"/>
                <w:szCs w:val="24"/>
                <w:color w:val="auto"/>
              </w:rPr>
            </w:pPr>
          </w:p>
        </w:tc>
      </w:tr>
      <w:tr>
        <w:trPr>
          <w:trHeight w:val="220"/>
        </w:trPr>
        <w:tc>
          <w:tcPr>
            <w:tcW w:w="292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rPr>
              <w:t>1</w:t>
            </w:r>
          </w:p>
        </w:tc>
        <w:tc>
          <w:tcPr>
            <w:tcW w:w="258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6"/>
              </w:rPr>
              <w:t>$0.00</w:t>
            </w:r>
          </w:p>
        </w:tc>
        <w:tc>
          <w:tcPr>
            <w:tcW w:w="26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rPr>
              <w:t>$0.00</w:t>
            </w:r>
          </w:p>
        </w:tc>
        <w:tc>
          <w:tcPr>
            <w:tcW w:w="314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6"/>
              </w:rPr>
              <w:t>$0.00</w:t>
            </w:r>
          </w:p>
        </w:tc>
      </w:tr>
      <w:tr>
        <w:trPr>
          <w:trHeight w:val="237"/>
        </w:trPr>
        <w:tc>
          <w:tcPr>
            <w:tcW w:w="29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2-11</w:t>
            </w:r>
          </w:p>
        </w:tc>
        <w:tc>
          <w:tcPr>
            <w:tcW w:w="25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$6.50</w:t>
            </w:r>
          </w:p>
        </w:tc>
        <w:tc>
          <w:tcPr>
            <w:tcW w:w="26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$188,272.50</w:t>
            </w:r>
          </w:p>
        </w:tc>
        <w:tc>
          <w:tcPr>
            <w:tcW w:w="31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$18,827.25</w:t>
            </w:r>
          </w:p>
        </w:tc>
      </w:tr>
      <w:tr>
        <w:trPr>
          <w:trHeight w:val="236"/>
        </w:trPr>
        <w:tc>
          <w:tcPr>
            <w:tcW w:w="29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0"/>
              </w:rPr>
              <w:t>12</w:t>
            </w:r>
          </w:p>
        </w:tc>
        <w:tc>
          <w:tcPr>
            <w:tcW w:w="25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$13.00</w:t>
            </w:r>
          </w:p>
        </w:tc>
        <w:tc>
          <w:tcPr>
            <w:tcW w:w="26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$37,654.50</w:t>
            </w:r>
          </w:p>
        </w:tc>
        <w:tc>
          <w:tcPr>
            <w:tcW w:w="31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$37,654.50</w:t>
            </w:r>
          </w:p>
        </w:tc>
      </w:tr>
      <w:tr>
        <w:trPr>
          <w:trHeight w:val="1404"/>
        </w:trPr>
        <w:tc>
          <w:tcPr>
            <w:tcW w:w="29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7" w:name="page138"/>
    <w:bookmarkEnd w:id="137"/>
    <w:tbl>
      <w:tblPr>
        <w:tblLayout w:type="fixed"/>
        <w:tblInd w:w="10" w:type="dxa"/>
        <w:tblCellMar>
          <w:top w:w="0" w:type="dxa"/>
          <w:left w:w="0" w:type="dxa"/>
          <w:bottom w:w="0" w:type="dxa"/>
          <w:right w:w="0" w:type="dxa"/>
        </w:tblCellMar>
      </w:tblPr>
      <w:tr>
        <w:trPr>
          <w:trHeight w:val="228"/>
        </w:trPr>
        <w:tc>
          <w:tcPr>
            <w:tcW w:w="2920" w:type="dxa"/>
            <w:vAlign w:val="bottom"/>
            <w:tcBorders>
              <w:top w:val="single" w:sz="8" w:color="auto"/>
              <w:left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2"/>
                <w:szCs w:val="22"/>
                <w:b w:val="1"/>
                <w:bCs w:val="1"/>
                <w:color w:val="auto"/>
                <w:w w:val="99"/>
              </w:rPr>
              <w:t>Months</w:t>
            </w:r>
          </w:p>
        </w:tc>
        <w:tc>
          <w:tcPr>
            <w:tcW w:w="2580" w:type="dxa"/>
            <w:vAlign w:val="bottom"/>
            <w:tcBorders>
              <w:top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2"/>
                <w:szCs w:val="22"/>
                <w:b w:val="1"/>
                <w:bCs w:val="1"/>
                <w:color w:val="auto"/>
                <w:w w:val="98"/>
              </w:rPr>
              <w:t>Rate Per Sq. Ft.</w:t>
            </w:r>
          </w:p>
        </w:tc>
        <w:tc>
          <w:tcPr>
            <w:tcW w:w="2600" w:type="dxa"/>
            <w:vAlign w:val="bottom"/>
            <w:tcBorders>
              <w:top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2"/>
                <w:szCs w:val="22"/>
                <w:b w:val="1"/>
                <w:bCs w:val="1"/>
                <w:color w:val="auto"/>
                <w:w w:val="98"/>
              </w:rPr>
              <w:t>Annual Base Rent (or a</w:t>
            </w:r>
          </w:p>
        </w:tc>
        <w:tc>
          <w:tcPr>
            <w:tcW w:w="3140" w:type="dxa"/>
            <w:vAlign w:val="bottom"/>
            <w:tcBorders>
              <w:top w:val="single" w:sz="8" w:color="auto"/>
              <w:right w:val="single" w:sz="8" w:color="auto"/>
            </w:tcBorders>
          </w:tcPr>
          <w:p>
            <w:pPr>
              <w:jc w:val="center"/>
              <w:spacing w:after="0" w:line="228" w:lineRule="exact"/>
              <w:rPr>
                <w:sz w:val="20"/>
                <w:szCs w:val="20"/>
                <w:color w:val="auto"/>
              </w:rPr>
            </w:pPr>
            <w:r>
              <w:rPr>
                <w:rFonts w:ascii="Times New Roman" w:cs="Times New Roman" w:eastAsia="Times New Roman" w:hAnsi="Times New Roman"/>
                <w:sz w:val="22"/>
                <w:szCs w:val="22"/>
                <w:b w:val="1"/>
                <w:bCs w:val="1"/>
                <w:color w:val="auto"/>
                <w:w w:val="99"/>
              </w:rPr>
              <w:t>Monthly Installment</w:t>
            </w:r>
          </w:p>
        </w:tc>
      </w:tr>
      <w:tr>
        <w:trPr>
          <w:trHeight w:val="291"/>
        </w:trPr>
        <w:tc>
          <w:tcPr>
            <w:tcW w:w="2920" w:type="dxa"/>
            <w:vAlign w:val="bottom"/>
            <w:tcBorders>
              <w:left w:val="single" w:sz="8" w:color="auto"/>
              <w:bottom w:val="single" w:sz="8" w:color="auto"/>
              <w:right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portion thereof)</w:t>
            </w:r>
          </w:p>
        </w:tc>
        <w:tc>
          <w:tcPr>
            <w:tcW w:w="3140" w:type="dxa"/>
            <w:vAlign w:val="bottom"/>
            <w:tcBorders>
              <w:bottom w:val="single" w:sz="8" w:color="auto"/>
              <w:right w:val="single" w:sz="8" w:color="auto"/>
            </w:tcBorders>
          </w:tcPr>
          <w:p>
            <w:pPr>
              <w:spacing w:after="0"/>
              <w:rPr>
                <w:sz w:val="24"/>
                <w:szCs w:val="24"/>
                <w:color w:val="auto"/>
              </w:rPr>
            </w:pPr>
          </w:p>
        </w:tc>
      </w:tr>
      <w:tr>
        <w:trPr>
          <w:trHeight w:val="220"/>
        </w:trPr>
        <w:tc>
          <w:tcPr>
            <w:tcW w:w="292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rPr>
              <w:t>13-24</w:t>
            </w:r>
          </w:p>
        </w:tc>
        <w:tc>
          <w:tcPr>
            <w:tcW w:w="258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9"/>
              </w:rPr>
              <w:t>$13.39</w:t>
            </w:r>
          </w:p>
        </w:tc>
        <w:tc>
          <w:tcPr>
            <w:tcW w:w="260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8"/>
              </w:rPr>
              <w:t>$465,409.62</w:t>
            </w:r>
          </w:p>
        </w:tc>
        <w:tc>
          <w:tcPr>
            <w:tcW w:w="3140" w:type="dxa"/>
            <w:vAlign w:val="bottom"/>
            <w:tcBorders>
              <w:bottom w:val="single" w:sz="8" w:color="auto"/>
              <w:right w:val="single" w:sz="8" w:color="auto"/>
            </w:tcBorders>
          </w:tcPr>
          <w:p>
            <w:pPr>
              <w:jc w:val="center"/>
              <w:spacing w:after="0" w:line="220" w:lineRule="exact"/>
              <w:rPr>
                <w:sz w:val="20"/>
                <w:szCs w:val="20"/>
                <w:color w:val="auto"/>
              </w:rPr>
            </w:pPr>
            <w:r>
              <w:rPr>
                <w:rFonts w:ascii="Times New Roman" w:cs="Times New Roman" w:eastAsia="Times New Roman" w:hAnsi="Times New Roman"/>
                <w:sz w:val="22"/>
                <w:szCs w:val="22"/>
                <w:color w:val="auto"/>
                <w:w w:val="96"/>
              </w:rPr>
              <w:t>$38,784.14</w:t>
            </w:r>
          </w:p>
        </w:tc>
      </w:tr>
      <w:tr>
        <w:trPr>
          <w:trHeight w:val="236"/>
        </w:trPr>
        <w:tc>
          <w:tcPr>
            <w:tcW w:w="29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25-36</w:t>
            </w:r>
          </w:p>
        </w:tc>
        <w:tc>
          <w:tcPr>
            <w:tcW w:w="25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$13.79</w:t>
            </w:r>
          </w:p>
        </w:tc>
        <w:tc>
          <w:tcPr>
            <w:tcW w:w="26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$479,312.82</w:t>
            </w:r>
          </w:p>
        </w:tc>
        <w:tc>
          <w:tcPr>
            <w:tcW w:w="31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$39,942.74</w:t>
            </w:r>
          </w:p>
        </w:tc>
      </w:tr>
      <w:tr>
        <w:trPr>
          <w:trHeight w:val="237"/>
        </w:trPr>
        <w:tc>
          <w:tcPr>
            <w:tcW w:w="29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37-48</w:t>
            </w:r>
          </w:p>
        </w:tc>
        <w:tc>
          <w:tcPr>
            <w:tcW w:w="25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$14.20</w:t>
            </w:r>
          </w:p>
        </w:tc>
        <w:tc>
          <w:tcPr>
            <w:tcW w:w="26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$493,563.60</w:t>
            </w:r>
          </w:p>
        </w:tc>
        <w:tc>
          <w:tcPr>
            <w:tcW w:w="31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$41,130.30</w:t>
            </w:r>
          </w:p>
        </w:tc>
      </w:tr>
      <w:tr>
        <w:trPr>
          <w:trHeight w:val="237"/>
        </w:trPr>
        <w:tc>
          <w:tcPr>
            <w:tcW w:w="29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49-60</w:t>
            </w:r>
          </w:p>
        </w:tc>
        <w:tc>
          <w:tcPr>
            <w:tcW w:w="25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$14.63</w:t>
            </w:r>
          </w:p>
        </w:tc>
        <w:tc>
          <w:tcPr>
            <w:tcW w:w="26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$508,509.54</w:t>
            </w:r>
          </w:p>
        </w:tc>
        <w:tc>
          <w:tcPr>
            <w:tcW w:w="31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$42,375.80</w:t>
            </w:r>
          </w:p>
        </w:tc>
      </w:tr>
      <w:tr>
        <w:trPr>
          <w:trHeight w:val="237"/>
        </w:trPr>
        <w:tc>
          <w:tcPr>
            <w:tcW w:w="29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rPr>
              <w:t>61-66</w:t>
            </w:r>
          </w:p>
        </w:tc>
        <w:tc>
          <w:tcPr>
            <w:tcW w:w="258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$15.07</w:t>
            </w:r>
          </w:p>
        </w:tc>
        <w:tc>
          <w:tcPr>
            <w:tcW w:w="26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$261,901.56</w:t>
            </w:r>
          </w:p>
        </w:tc>
        <w:tc>
          <w:tcPr>
            <w:tcW w:w="31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$43,650.26</w:t>
            </w:r>
          </w:p>
        </w:tc>
      </w:tr>
    </w:tbl>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Notwithstanding anything to the contrary contained herein, so long as Tenant is not in default hereunder, Tenant’s obligation to pay the Base Rent otherwise due for the first (1st) calendar month of the Lease Term (the “</w:t>
      </w:r>
      <w:r>
        <w:rPr>
          <w:rFonts w:ascii="Times New Roman" w:cs="Times New Roman" w:eastAsia="Times New Roman" w:hAnsi="Times New Roman"/>
          <w:sz w:val="21"/>
          <w:szCs w:val="21"/>
          <w:b w:val="1"/>
          <w:bCs w:val="1"/>
          <w:color w:val="auto"/>
        </w:rPr>
        <w:t>Base Rent Abatement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Period</w:t>
      </w:r>
      <w:r>
        <w:rPr>
          <w:rFonts w:ascii="Times New Roman" w:cs="Times New Roman" w:eastAsia="Times New Roman" w:hAnsi="Times New Roman"/>
          <w:sz w:val="21"/>
          <w:szCs w:val="21"/>
          <w:color w:val="auto"/>
        </w:rPr>
        <w:t>”) shall be abated; provided, however, that if the Lease Commencement Date occurs on a date other than the first day of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calendar month, then the Base Rent Abatement Period shall consist of the first thirty (30) consecutive days of the Lease Term. Subject to the provisions of this paragraph, the total amount of Base Rent abated during the Base Rent Abatement Period shall equal $37,654.50 (the “</w:t>
      </w:r>
      <w:r>
        <w:rPr>
          <w:rFonts w:ascii="Times New Roman" w:cs="Times New Roman" w:eastAsia="Times New Roman" w:hAnsi="Times New Roman"/>
          <w:sz w:val="21"/>
          <w:szCs w:val="21"/>
          <w:b w:val="1"/>
          <w:bCs w:val="1"/>
          <w:color w:val="auto"/>
        </w:rPr>
        <w:t>Abated Base Rent</w:t>
      </w:r>
      <w:r>
        <w:rPr>
          <w:rFonts w:ascii="Times New Roman" w:cs="Times New Roman" w:eastAsia="Times New Roman" w:hAnsi="Times New Roman"/>
          <w:sz w:val="21"/>
          <w:szCs w:val="21"/>
          <w:color w:val="auto"/>
        </w:rPr>
        <w:t>”). If Landlord elects to terminate this Lease or Tenant’s right to possession of the Premises due to a default by Tenant not cured during any applicable grace or curative period, then (i) the portion of the Abated Base Rent unamortized as of the date of such default (with the Abated Base Rent being deemed to have been amortized in equal monthly installments together with interest thereon at the rate of five percent (5%) per annum over the Lease Term) shall immediately become due and payable; and (ii) Tenant shall not be entitled to any further abatement of the Abated Base Rent pursuant to this paragraph. The payment by Tenant of the Abated Base Rent in the event of a default shall not limit or affect any of Landlord’s other rights or remedies, in the event of a default by Tenant, pursuant to this Lease or at law or in equity.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Tenant shall also pay all applicable Florida State Sales Taxes.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b w:val="1"/>
          <w:bCs w:val="1"/>
          <w:color w:val="auto"/>
        </w:rPr>
        <w:t>Other Charges Payable by Tenant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940" w:hanging="435"/>
        <w:spacing w:after="0"/>
        <w:tabs>
          <w:tab w:leader="none" w:pos="19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Real Property Taxes (Article Five);</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Utilities (Article Six);</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Insurance Premiums (Article Seven);</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CAM Expenses (Article Eight);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b w:val="1"/>
          <w:bCs w:val="1"/>
          <w:color w:val="auto"/>
        </w:rPr>
        <w:t>Address of Landlord for Notices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c/o Marcent Development Company. Inc.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5401 South Kirkman Road, Suite 650</w:t>
      </w:r>
    </w:p>
    <w:p>
      <w:pPr>
        <w:ind w:left="1500"/>
        <w:spacing w:after="0"/>
        <w:rPr>
          <w:sz w:val="20"/>
          <w:szCs w:val="20"/>
          <w:color w:val="auto"/>
        </w:rPr>
      </w:pPr>
      <w:r>
        <w:rPr>
          <w:rFonts w:ascii="Times New Roman" w:cs="Times New Roman" w:eastAsia="Times New Roman" w:hAnsi="Times New Roman"/>
          <w:sz w:val="22"/>
          <w:szCs w:val="22"/>
          <w:color w:val="auto"/>
        </w:rPr>
        <w:t>Orlando, Florida 32819</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38" w:name="page139"/>
    <w:bookmarkEnd w:id="138"/>
    <w:p>
      <w:pPr>
        <w:ind w:left="760"/>
        <w:spacing w:after="0"/>
        <w:rPr>
          <w:sz w:val="20"/>
          <w:szCs w:val="20"/>
          <w:color w:val="auto"/>
        </w:rPr>
      </w:pPr>
      <w:r>
        <w:rPr>
          <w:rFonts w:ascii="Times New Roman" w:cs="Times New Roman" w:eastAsia="Times New Roman" w:hAnsi="Times New Roman"/>
          <w:sz w:val="22"/>
          <w:szCs w:val="22"/>
          <w:color w:val="auto"/>
        </w:rPr>
        <w:t xml:space="preserve">1.19 </w:t>
      </w:r>
      <w:r>
        <w:rPr>
          <w:rFonts w:ascii="Times New Roman" w:cs="Times New Roman" w:eastAsia="Times New Roman" w:hAnsi="Times New Roman"/>
          <w:sz w:val="22"/>
          <w:szCs w:val="22"/>
          <w:b w:val="1"/>
          <w:bCs w:val="1"/>
          <w:color w:val="auto"/>
        </w:rPr>
        <w:t>Address of Tenant for Notices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LensAR, Inc.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Attn: Corporate Secretary</w:t>
      </w:r>
    </w:p>
    <w:p>
      <w:pPr>
        <w:ind w:left="1500"/>
        <w:spacing w:after="0" w:line="230" w:lineRule="auto"/>
        <w:rPr>
          <w:sz w:val="20"/>
          <w:szCs w:val="20"/>
          <w:color w:val="auto"/>
        </w:rPr>
      </w:pPr>
      <w:r>
        <w:rPr>
          <w:rFonts w:ascii="Times New Roman" w:cs="Times New Roman" w:eastAsia="Times New Roman" w:hAnsi="Times New Roman"/>
          <w:sz w:val="22"/>
          <w:szCs w:val="22"/>
          <w:color w:val="auto"/>
        </w:rPr>
        <w:t>2800 Discovery Drive, Suite 100</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Orlando, FL 32826</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(prior to Lease Commencement Date, as defined herein:)</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250 S. Park Avenue, Suite 310</w:t>
      </w:r>
    </w:p>
    <w:p>
      <w:pPr>
        <w:ind w:left="1500"/>
        <w:spacing w:after="0"/>
        <w:rPr>
          <w:sz w:val="20"/>
          <w:szCs w:val="20"/>
          <w:color w:val="auto"/>
        </w:rPr>
      </w:pPr>
      <w:r>
        <w:rPr>
          <w:rFonts w:ascii="Times New Roman" w:cs="Times New Roman" w:eastAsia="Times New Roman" w:hAnsi="Times New Roman"/>
          <w:sz w:val="22"/>
          <w:szCs w:val="22"/>
          <w:color w:val="auto"/>
        </w:rPr>
        <w:t>Winter Park, FL 32789</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1.20 </w:t>
      </w:r>
      <w:r>
        <w:rPr>
          <w:rFonts w:ascii="Times New Roman" w:cs="Times New Roman" w:eastAsia="Times New Roman" w:hAnsi="Times New Roman"/>
          <w:sz w:val="22"/>
          <w:szCs w:val="22"/>
          <w:b w:val="1"/>
          <w:bCs w:val="1"/>
          <w:color w:val="auto"/>
        </w:rPr>
        <w:t>Landlord’s Management Agent and Address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Elite Management of Orlando, Inc.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5401 South Kirkman Road</w:t>
      </w:r>
    </w:p>
    <w:p>
      <w:pPr>
        <w:ind w:left="1500"/>
        <w:spacing w:after="0" w:line="230" w:lineRule="auto"/>
        <w:rPr>
          <w:sz w:val="20"/>
          <w:szCs w:val="20"/>
          <w:color w:val="auto"/>
        </w:rPr>
      </w:pPr>
      <w:r>
        <w:rPr>
          <w:rFonts w:ascii="Times New Roman" w:cs="Times New Roman" w:eastAsia="Times New Roman" w:hAnsi="Times New Roman"/>
          <w:sz w:val="22"/>
          <w:szCs w:val="22"/>
          <w:color w:val="auto"/>
        </w:rPr>
        <w:t>Suite 650</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Orlando, Florida 32819</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or such other Management Agent as Landlord may designate from time to time.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b w:val="1"/>
          <w:bCs w:val="1"/>
          <w:color w:val="auto"/>
        </w:rPr>
        <w:t>Fiscal Year</w:t>
      </w:r>
      <w:r>
        <w:rPr>
          <w:rFonts w:ascii="Times New Roman" w:cs="Times New Roman" w:eastAsia="Times New Roman" w:hAnsi="Times New Roman"/>
          <w:sz w:val="22"/>
          <w:szCs w:val="22"/>
          <w:color w:val="auto"/>
        </w:rPr>
        <w:t>: Calendar year ending April 30</w:t>
      </w:r>
      <w:r>
        <w:rPr>
          <w:rFonts w:ascii="Times New Roman" w:cs="Times New Roman" w:eastAsia="Times New Roman" w:hAnsi="Times New Roman"/>
          <w:sz w:val="28"/>
          <w:szCs w:val="28"/>
          <w:color w:val="auto"/>
          <w:vertAlign w:val="superscript"/>
        </w:rPr>
        <w:t>th</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b w:val="1"/>
          <w:bCs w:val="1"/>
          <w:color w:val="auto"/>
        </w:rPr>
        <w:t>Exhibits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Exhibit A – The Land</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Exhibit B – The Premises</w:t>
      </w:r>
    </w:p>
    <w:p>
      <w:pPr>
        <w:ind w:left="1500"/>
        <w:spacing w:after="0" w:line="230" w:lineRule="auto"/>
        <w:rPr>
          <w:sz w:val="20"/>
          <w:szCs w:val="20"/>
          <w:color w:val="auto"/>
        </w:rPr>
      </w:pPr>
      <w:r>
        <w:rPr>
          <w:rFonts w:ascii="Times New Roman" w:cs="Times New Roman" w:eastAsia="Times New Roman" w:hAnsi="Times New Roman"/>
          <w:sz w:val="22"/>
          <w:szCs w:val="22"/>
          <w:color w:val="auto"/>
        </w:rPr>
        <w:t>Exhibit C – Rules and Regulations</w:t>
      </w:r>
    </w:p>
    <w:p>
      <w:pPr>
        <w:ind w:left="1500"/>
        <w:spacing w:after="0" w:line="231" w:lineRule="auto"/>
        <w:rPr>
          <w:sz w:val="20"/>
          <w:szCs w:val="20"/>
          <w:color w:val="auto"/>
        </w:rPr>
      </w:pPr>
      <w:r>
        <w:rPr>
          <w:rFonts w:ascii="Times New Roman" w:cs="Times New Roman" w:eastAsia="Times New Roman" w:hAnsi="Times New Roman"/>
          <w:sz w:val="22"/>
          <w:szCs w:val="22"/>
          <w:color w:val="auto"/>
        </w:rPr>
        <w:t>Exhibit D – Work Letter</w:t>
      </w:r>
    </w:p>
    <w:p>
      <w:pPr>
        <w:ind w:left="1500"/>
        <w:spacing w:after="0" w:line="230" w:lineRule="auto"/>
        <w:rPr>
          <w:sz w:val="20"/>
          <w:szCs w:val="20"/>
          <w:color w:val="auto"/>
        </w:rPr>
      </w:pPr>
      <w:r>
        <w:rPr>
          <w:rFonts w:ascii="Times New Roman" w:cs="Times New Roman" w:eastAsia="Times New Roman" w:hAnsi="Times New Roman"/>
          <w:sz w:val="22"/>
          <w:szCs w:val="22"/>
          <w:color w:val="auto"/>
        </w:rPr>
        <w:t>Exhibit E – Commencement Letter and Acceptance of the Premises</w:t>
      </w:r>
    </w:p>
    <w:p>
      <w:pPr>
        <w:ind w:left="1500"/>
        <w:spacing w:after="0" w:line="231" w:lineRule="auto"/>
        <w:rPr>
          <w:sz w:val="20"/>
          <w:szCs w:val="20"/>
          <w:color w:val="auto"/>
        </w:rPr>
      </w:pPr>
      <w:r>
        <w:rPr>
          <w:rFonts w:ascii="Times New Roman" w:cs="Times New Roman" w:eastAsia="Times New Roman" w:hAnsi="Times New Roman"/>
          <w:sz w:val="22"/>
          <w:szCs w:val="22"/>
          <w:color w:val="auto"/>
        </w:rPr>
        <w:t>Exhibit F – Hazardous Materials Disclosure Certificate</w:t>
      </w:r>
    </w:p>
    <w:p>
      <w:pPr>
        <w:ind w:left="1500"/>
        <w:spacing w:after="0"/>
        <w:rPr>
          <w:sz w:val="20"/>
          <w:szCs w:val="20"/>
          <w:color w:val="auto"/>
        </w:rPr>
      </w:pPr>
      <w:r>
        <w:rPr>
          <w:rFonts w:ascii="Times New Roman" w:cs="Times New Roman" w:eastAsia="Times New Roman" w:hAnsi="Times New Roman"/>
          <w:sz w:val="22"/>
          <w:szCs w:val="22"/>
          <w:color w:val="auto"/>
        </w:rPr>
        <w:t>Exhibit G – Initial Disclosure Certificate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PREMISES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2.01 </w:t>
      </w:r>
      <w:r>
        <w:rPr>
          <w:rFonts w:ascii="Times New Roman" w:cs="Times New Roman" w:eastAsia="Times New Roman" w:hAnsi="Times New Roman"/>
          <w:sz w:val="22"/>
          <w:szCs w:val="22"/>
          <w:b w:val="1"/>
          <w:bCs w:val="1"/>
          <w:color w:val="auto"/>
        </w:rPr>
        <w:t>Premises</w:t>
      </w:r>
      <w:r>
        <w:rPr>
          <w:rFonts w:ascii="Times New Roman" w:cs="Times New Roman" w:eastAsia="Times New Roman" w:hAnsi="Times New Roman"/>
          <w:sz w:val="22"/>
          <w:szCs w:val="22"/>
          <w:color w:val="auto"/>
        </w:rPr>
        <w:t xml:space="preserve">. The Premises are depicted on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and are situated on the land which is legally described in </w:t>
      </w:r>
      <w:r>
        <w:rPr>
          <w:rFonts w:ascii="Times New Roman" w:cs="Times New Roman" w:eastAsia="Times New Roman" w:hAnsi="Times New Roman"/>
          <w:sz w:val="22"/>
          <w:szCs w:val="22"/>
          <w:b w:val="1"/>
          <w:bCs w:val="1"/>
          <w:color w:val="auto"/>
        </w:rPr>
        <w:t xml:space="preserve">Exhibit A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Land</w:t>
      </w:r>
      <w:r>
        <w:rPr>
          <w:rFonts w:ascii="Times New Roman" w:cs="Times New Roman" w:eastAsia="Times New Roman" w:hAnsi="Times New Roman"/>
          <w:sz w:val="22"/>
          <w:szCs w:val="22"/>
          <w:color w:val="auto"/>
        </w:rPr>
        <w:t>”). The Property includes the Land, the building constructed on the Land (the “</w:t>
      </w:r>
      <w:r>
        <w:rPr>
          <w:rFonts w:ascii="Times New Roman" w:cs="Times New Roman" w:eastAsia="Times New Roman" w:hAnsi="Times New Roman"/>
          <w:sz w:val="22"/>
          <w:szCs w:val="22"/>
          <w:b w:val="1"/>
          <w:bCs w:val="1"/>
          <w:color w:val="auto"/>
        </w:rPr>
        <w:t>Building</w:t>
      </w:r>
      <w:r>
        <w:rPr>
          <w:rFonts w:ascii="Times New Roman" w:cs="Times New Roman" w:eastAsia="Times New Roman" w:hAnsi="Times New Roman"/>
          <w:sz w:val="22"/>
          <w:szCs w:val="22"/>
          <w:color w:val="auto"/>
        </w:rPr>
        <w:t>”), and all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improvements located on the Land including the common areas described in Article Eight.</w:t>
      </w:r>
    </w:p>
    <w:p>
      <w:pPr>
        <w:spacing w:after="0" w:line="167" w:lineRule="exact"/>
        <w:rPr>
          <w:sz w:val="20"/>
          <w:szCs w:val="20"/>
          <w:color w:val="auto"/>
        </w:rPr>
      </w:pPr>
    </w:p>
    <w:p>
      <w:pPr>
        <w:jc w:val="both"/>
        <w:ind w:firstLine="749"/>
        <w:spacing w:after="0" w:line="258" w:lineRule="exact"/>
        <w:rPr>
          <w:sz w:val="20"/>
          <w:szCs w:val="20"/>
          <w:color w:val="auto"/>
        </w:rPr>
      </w:pPr>
      <w:r>
        <w:rPr>
          <w:rFonts w:ascii="Times New Roman" w:cs="Times New Roman" w:eastAsia="Times New Roman" w:hAnsi="Times New Roman"/>
          <w:sz w:val="22"/>
          <w:szCs w:val="22"/>
          <w:color w:val="auto"/>
        </w:rPr>
        <w:t xml:space="preserve">2.02 </w:t>
      </w:r>
      <w:r>
        <w:rPr>
          <w:rFonts w:ascii="Times New Roman" w:cs="Times New Roman" w:eastAsia="Times New Roman" w:hAnsi="Times New Roman"/>
          <w:sz w:val="22"/>
          <w:szCs w:val="22"/>
          <w:b w:val="1"/>
          <w:bCs w:val="1"/>
          <w:color w:val="auto"/>
        </w:rPr>
        <w:t>BOMA Standards Calculation</w:t>
      </w:r>
      <w:r>
        <w:rPr>
          <w:rFonts w:ascii="Times New Roman" w:cs="Times New Roman" w:eastAsia="Times New Roman" w:hAnsi="Times New Roman"/>
          <w:sz w:val="22"/>
          <w:szCs w:val="22"/>
          <w:color w:val="auto"/>
        </w:rPr>
        <w:t>. The Property Rentable Area and Premises Rentable Area shall mean the rentable area of the Property and the Premises, respectively, measured and calculated in accordance with BOMA standards (BOMA 265.1</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1996). Accordingly, the Property Rentable Area, Premises Rentable Area, Tenant’s Initial Pro Rata Share and Base Rent are subject to adjustment before the Lease Commencement Date by mutual written agreement of the parties.</w:t>
      </w:r>
    </w:p>
    <w:p>
      <w:pPr>
        <w:spacing w:after="0" w:line="17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2.03 </w:t>
      </w:r>
      <w:r>
        <w:rPr>
          <w:rFonts w:ascii="Times New Roman" w:cs="Times New Roman" w:eastAsia="Times New Roman" w:hAnsi="Times New Roman"/>
          <w:sz w:val="22"/>
          <w:szCs w:val="22"/>
          <w:b w:val="1"/>
          <w:bCs w:val="1"/>
          <w:color w:val="auto"/>
        </w:rPr>
        <w:t>Quiet Enjoyment</w:t>
      </w:r>
      <w:r>
        <w:rPr>
          <w:rFonts w:ascii="Times New Roman" w:cs="Times New Roman" w:eastAsia="Times New Roman" w:hAnsi="Times New Roman"/>
          <w:sz w:val="22"/>
          <w:szCs w:val="22"/>
          <w:color w:val="auto"/>
        </w:rPr>
        <w:t>. Provided Tenant has performed all of the terms, covenants and conditions of this Lease to be performed by Tenant, Tenant shall peaceably and quietly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9" w:name="page140"/>
    <w:bookmarkEnd w:id="139"/>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hold and enjoy the Premises for the term hereof, without hindrance from anyone, subject to the terms and conditions of this Lease.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LEASE TERM</w:t>
      </w:r>
    </w:p>
    <w:p>
      <w:pPr>
        <w:spacing w:after="0" w:line="206"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color w:val="auto"/>
        </w:rPr>
        <w:t xml:space="preserve">3.01 </w:t>
      </w:r>
      <w:r>
        <w:rPr>
          <w:rFonts w:ascii="Times New Roman" w:cs="Times New Roman" w:eastAsia="Times New Roman" w:hAnsi="Times New Roman"/>
          <w:sz w:val="22"/>
          <w:szCs w:val="22"/>
          <w:b w:val="1"/>
          <w:bCs w:val="1"/>
          <w:color w:val="auto"/>
        </w:rPr>
        <w:t>Lease of Premises for Lease Term</w:t>
      </w:r>
      <w:r>
        <w:rPr>
          <w:rFonts w:ascii="Times New Roman" w:cs="Times New Roman" w:eastAsia="Times New Roman" w:hAnsi="Times New Roman"/>
          <w:sz w:val="22"/>
          <w:szCs w:val="22"/>
          <w:color w:val="auto"/>
        </w:rPr>
        <w:t xml:space="preserve">. Landlord leases the Premises to Tenant and Tenant leases the Premises from Landlord for the Lease Term. Landlord shall complete the leasehold improvements described in </w:t>
      </w:r>
      <w:r>
        <w:rPr>
          <w:rFonts w:ascii="Times New Roman" w:cs="Times New Roman" w:eastAsia="Times New Roman" w:hAnsi="Times New Roman"/>
          <w:sz w:val="22"/>
          <w:szCs w:val="22"/>
          <w:b w:val="1"/>
          <w:bCs w:val="1"/>
          <w:color w:val="auto"/>
        </w:rPr>
        <w:t>Exhibit D</w:t>
      </w:r>
      <w:r>
        <w:rPr>
          <w:rFonts w:ascii="Times New Roman" w:cs="Times New Roman" w:eastAsia="Times New Roman" w:hAnsi="Times New Roman"/>
          <w:sz w:val="22"/>
          <w:szCs w:val="22"/>
          <w:color w:val="auto"/>
        </w:rPr>
        <w:t xml:space="preserve"> attached hereto and incorporated herein by this reference. The Lease Term shall begin on the Lease Commencement Date.</w:t>
      </w:r>
    </w:p>
    <w:p>
      <w:pPr>
        <w:spacing w:after="0" w:line="167" w:lineRule="exact"/>
        <w:rPr>
          <w:sz w:val="20"/>
          <w:szCs w:val="20"/>
          <w:color w:val="auto"/>
        </w:rPr>
      </w:pPr>
    </w:p>
    <w:p>
      <w:pPr>
        <w:jc w:val="both"/>
        <w:ind w:firstLine="749"/>
        <w:spacing w:after="0" w:line="262" w:lineRule="exact"/>
        <w:rPr>
          <w:sz w:val="20"/>
          <w:szCs w:val="20"/>
          <w:color w:val="auto"/>
        </w:rPr>
      </w:pPr>
      <w:r>
        <w:rPr>
          <w:rFonts w:ascii="Times New Roman" w:cs="Times New Roman" w:eastAsia="Times New Roman" w:hAnsi="Times New Roman"/>
          <w:sz w:val="22"/>
          <w:szCs w:val="22"/>
          <w:color w:val="auto"/>
        </w:rPr>
        <w:t xml:space="preserve">3.02 </w:t>
      </w:r>
      <w:r>
        <w:rPr>
          <w:rFonts w:ascii="Times New Roman" w:cs="Times New Roman" w:eastAsia="Times New Roman" w:hAnsi="Times New Roman"/>
          <w:sz w:val="22"/>
          <w:szCs w:val="22"/>
          <w:b w:val="1"/>
          <w:bCs w:val="1"/>
          <w:color w:val="auto"/>
        </w:rPr>
        <w:t>Delay in Commencement</w:t>
      </w:r>
      <w:r>
        <w:rPr>
          <w:rFonts w:ascii="Times New Roman" w:cs="Times New Roman" w:eastAsia="Times New Roman" w:hAnsi="Times New Roman"/>
          <w:sz w:val="22"/>
          <w:szCs w:val="22"/>
          <w:color w:val="auto"/>
        </w:rPr>
        <w:t>. Landlord shall not be liable to Tenant if Landlord shall not deliver possession of the Premises to Tenant on the Target Lease Commencement Date. Landlord’s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delivery of the Premises to Tenant on that date shall not affect this Lease or the obligations of Tenant under this Lease.</w:t>
      </w:r>
    </w:p>
    <w:p>
      <w:pPr>
        <w:spacing w:after="0" w:line="17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3.03 </w:t>
      </w:r>
      <w:r>
        <w:rPr>
          <w:rFonts w:ascii="Times New Roman" w:cs="Times New Roman" w:eastAsia="Times New Roman" w:hAnsi="Times New Roman"/>
          <w:sz w:val="22"/>
          <w:szCs w:val="22"/>
          <w:b w:val="1"/>
          <w:bCs w:val="1"/>
          <w:color w:val="auto"/>
        </w:rPr>
        <w:t>Early Access</w:t>
      </w:r>
      <w:r>
        <w:rPr>
          <w:rFonts w:ascii="Times New Roman" w:cs="Times New Roman" w:eastAsia="Times New Roman" w:hAnsi="Times New Roman"/>
          <w:sz w:val="22"/>
          <w:szCs w:val="22"/>
          <w:color w:val="auto"/>
        </w:rPr>
        <w:t>. Tenant shall be permitted access to the Premises no less than two (2) weeks prior to the Lease Commencement Date in order to install Tenant’s furniture, fixtures, data/phone and cabling systems. Tenant’s early access of the Premises shall be subject to all of the provisions of this Lease. Early access of the Premises for such space preparation purposes shall not advance the Lease Commencement Date or expiration date of this Lease. In addition to the foregoing, Landlord shall instruct its contractor undertaking the Landlord’s Work to contact Tenant when the walls and/or ceilings have been opened up so as to be most conducive to installation of cabling, networks and security systems and allow Tenant’s vendors to install the foregoing; provided that Landlord’s Work shall in no way be delayed or impeded.</w:t>
      </w:r>
    </w:p>
    <w:p>
      <w:pPr>
        <w:spacing w:after="0" w:line="17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3.04 </w:t>
      </w:r>
      <w:r>
        <w:rPr>
          <w:rFonts w:ascii="Times New Roman" w:cs="Times New Roman" w:eastAsia="Times New Roman" w:hAnsi="Times New Roman"/>
          <w:sz w:val="22"/>
          <w:szCs w:val="22"/>
          <w:b w:val="1"/>
          <w:bCs w:val="1"/>
          <w:color w:val="auto"/>
        </w:rPr>
        <w:t>Holding Over</w:t>
      </w:r>
      <w:r>
        <w:rPr>
          <w:rFonts w:ascii="Times New Roman" w:cs="Times New Roman" w:eastAsia="Times New Roman" w:hAnsi="Times New Roman"/>
          <w:sz w:val="22"/>
          <w:szCs w:val="22"/>
          <w:color w:val="auto"/>
        </w:rPr>
        <w:t>. Tenant shall vacate the Premises upon the expiration or earlier termination of this Lease. Tenant shall reimburse Landlord for, and indemnify Landlord against, all damages, costs, liabilities and expenses, including attorneys’ fees, which Landlord shall incur on account of Tenant’s delay in so vacating the Premises. If Tenant shall not vacate the Premises upon the expiration or earlier termination of this Lease, the Base Rent shall be increased to 150% times the Base Rent then in effect and Tenant’s obligation to pay Additional Rent shall continue, but nothing herein shall limit any of Landlord’s rights or Tenant’s obligations arising from Tenant’s failure to vacate the Premises, including, without limitation. Landlord’s right to repossess the Premises and remove Tenant therefrom at any time after the expiration or earlier termination of this Lease and Tenant’s obligation to reimburse and indemnify Landlord as provided in the preceding sentence.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4</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RENT</w:t>
      </w:r>
    </w:p>
    <w:p>
      <w:pPr>
        <w:spacing w:after="0" w:line="98"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4.01 </w:t>
      </w:r>
      <w:r>
        <w:rPr>
          <w:rFonts w:ascii="Times New Roman" w:cs="Times New Roman" w:eastAsia="Times New Roman" w:hAnsi="Times New Roman"/>
          <w:sz w:val="22"/>
          <w:szCs w:val="22"/>
          <w:b w:val="1"/>
          <w:bCs w:val="1"/>
          <w:color w:val="auto"/>
        </w:rPr>
        <w:t>Base Rent</w:t>
      </w:r>
      <w:r>
        <w:rPr>
          <w:rFonts w:ascii="Times New Roman" w:cs="Times New Roman" w:eastAsia="Times New Roman" w:hAnsi="Times New Roman"/>
          <w:sz w:val="22"/>
          <w:szCs w:val="22"/>
          <w:color w:val="auto"/>
        </w:rPr>
        <w:t>. On the first day of each month during the Lease Term, Tenant shall pay to Landlord the Base Rent in lawful money of the United States, in advance and without offset, deduction, or prior demand. The Base Rent shall be payable at Landlord’s address or at such other place or to such other person as Landlord may designate in writing from time to time. However, the Landlord may not unreasonably withhold a request by the Tenant to arrange for ACH transfer of the Rent and/or other payments that may become due and payable hereunder in this Lease to effect timely delivery of such payment that is not to a physical address. Notwithstanding the foregoing, Tenant shall pay $37,654.50 upon full execution of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2"/>
          <w:szCs w:val="22"/>
          <w:color w:val="auto"/>
        </w:rPr>
        <w:t>this Lease which represents the Base Rent payment for the twelfth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month of the Lease Term.</w:t>
      </w:r>
    </w:p>
    <w:p>
      <w:pPr>
        <w:spacing w:after="0" w:line="133"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4.02 </w:t>
      </w:r>
      <w:r>
        <w:rPr>
          <w:rFonts w:ascii="Times New Roman" w:cs="Times New Roman" w:eastAsia="Times New Roman" w:hAnsi="Times New Roman"/>
          <w:sz w:val="22"/>
          <w:szCs w:val="22"/>
          <w:b w:val="1"/>
          <w:bCs w:val="1"/>
          <w:color w:val="auto"/>
        </w:rPr>
        <w:t>Additional Rent</w:t>
      </w:r>
      <w:r>
        <w:rPr>
          <w:rFonts w:ascii="Times New Roman" w:cs="Times New Roman" w:eastAsia="Times New Roman" w:hAnsi="Times New Roman"/>
          <w:sz w:val="22"/>
          <w:szCs w:val="22"/>
          <w:color w:val="auto"/>
        </w:rPr>
        <w:t>. All sums payable by Tenant under this Lease other than Base Rent shall be deemed “</w:t>
      </w:r>
      <w:r>
        <w:rPr>
          <w:rFonts w:ascii="Times New Roman" w:cs="Times New Roman" w:eastAsia="Times New Roman" w:hAnsi="Times New Roman"/>
          <w:sz w:val="22"/>
          <w:szCs w:val="22"/>
          <w:b w:val="1"/>
          <w:bCs w:val="1"/>
          <w:color w:val="auto"/>
        </w:rPr>
        <w:t>Additional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Rent</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Rent</w:t>
      </w:r>
      <w:r>
        <w:rPr>
          <w:rFonts w:ascii="Times New Roman" w:cs="Times New Roman" w:eastAsia="Times New Roman" w:hAnsi="Times New Roman"/>
          <w:sz w:val="22"/>
          <w:szCs w:val="22"/>
          <w:color w:val="auto"/>
        </w:rPr>
        <w:t>” shall mean Base Rent and Additional Rent. Landlord shall estimate in advance and charge to Tenant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costs, to be paid with the Base Rent on a monthly basis throughout the Lease Term, but commencing with the first day of the first month of the Lease Term: (i) all Real Property Taxes for which Tenant is liable under Sections 5.01 and 5.02 of this Lease, (ii) all utility costs (if utilities are not separately metered) for which Tenant is liable under Section 6.01 of this Lease, (iii) all insurance premiums for which Tenant is liable under Sections 7.01 and 7.06 of this Lease and (iv) all CAM Expenses for which Tenant is liable under Section 8.04 of this Lease. Collectively, the aforementioned Real Property Taxes, insurance, utility, and CAM Expenses shall be referred to as the “</w:t>
      </w:r>
      <w:r>
        <w:rPr>
          <w:rFonts w:ascii="Times New Roman" w:cs="Times New Roman" w:eastAsia="Times New Roman" w:hAnsi="Times New Roman"/>
          <w:sz w:val="22"/>
          <w:szCs w:val="22"/>
          <w:b w:val="1"/>
          <w:bCs w:val="1"/>
          <w:color w:val="auto"/>
        </w:rPr>
        <w:t>Total Operating Costs</w:t>
      </w:r>
      <w:r>
        <w:rPr>
          <w:rFonts w:ascii="Times New Roman" w:cs="Times New Roman" w:eastAsia="Times New Roman" w:hAnsi="Times New Roman"/>
          <w:sz w:val="22"/>
          <w:szCs w:val="22"/>
          <w:color w:val="auto"/>
        </w:rPr>
        <w:t xml:space="preserve">”. For reference purposes only and not as any representation by Landlord as to such information, the 2010 budget for the Total Operating Costs is attached hereto as </w:t>
      </w:r>
      <w:r>
        <w:rPr>
          <w:rFonts w:ascii="Times New Roman" w:cs="Times New Roman" w:eastAsia="Times New Roman" w:hAnsi="Times New Roman"/>
          <w:sz w:val="22"/>
          <w:szCs w:val="22"/>
          <w:b w:val="1"/>
          <w:bCs w:val="1"/>
          <w:color w:val="auto"/>
        </w:rPr>
        <w:t>Exhibit H</w:t>
      </w:r>
      <w:r>
        <w:rPr>
          <w:rFonts w:ascii="Times New Roman" w:cs="Times New Roman" w:eastAsia="Times New Roman" w:hAnsi="Times New Roman"/>
          <w:sz w:val="22"/>
          <w:szCs w:val="22"/>
          <w:color w:val="auto"/>
        </w:rPr>
        <w:t xml:space="preserve"> and incorporated herein by this reference. Landlord may adjust its estimates of Total Operating Costs at any time based upon Landlord’s experience and reasonable anticipation of costs. Such adjustments shall be effective as of the next Rent payment date after notice to Tenant. Within one hundred twenty (120) days after the end of each Fiscal Year during the Lease Term, Landlord shall deliver to Tenant a statement prepared in accordance with generally accepted accounting principles setting forth, in reasonable detail, the Total Operating Costs paid or incurred by Landlord during the preceding Fiscal Year and Tenant’s Pro Rata Share of such expenses. Within thirty (30) days after Tenant’s receipt of such statement, there shall be an adjustment between Landlord and Tenant, with payment to or credit given by Landlord (as the case may be) in order that Landlord shall receive the entire amount of Tenant’s Pro Rata of such costs and expenses for such period. In addition to its obligation to pay Base Rent and its Pro Rata Share of Total Operating Costs, Tenant is required hereunder to pay directly to its suppliers, vendors, carriers and contractors, certain insurance premiums, utility costs, personal property taxes, maintenance and repair costs and other expenses, collectively “</w:t>
      </w:r>
      <w:r>
        <w:rPr>
          <w:rFonts w:ascii="Times New Roman" w:cs="Times New Roman" w:eastAsia="Times New Roman" w:hAnsi="Times New Roman"/>
          <w:sz w:val="22"/>
          <w:szCs w:val="22"/>
          <w:b w:val="1"/>
          <w:bCs w:val="1"/>
          <w:color w:val="auto"/>
        </w:rPr>
        <w:t>Additional Expenses</w:t>
      </w:r>
      <w:r>
        <w:rPr>
          <w:rFonts w:ascii="Times New Roman" w:cs="Times New Roman" w:eastAsia="Times New Roman" w:hAnsi="Times New Roman"/>
          <w:sz w:val="22"/>
          <w:szCs w:val="22"/>
          <w:color w:val="auto"/>
        </w:rPr>
        <w:t>.” If Landlord pays for any Additional Expenses in accordance with the terms of this Lease, Tenant’s obligation to reimburse such costs shall be an Additional Rent obligation payable in full with the next monthly Rent payment.</w:t>
      </w:r>
    </w:p>
    <w:p>
      <w:pPr>
        <w:spacing w:after="0" w:line="182" w:lineRule="exact"/>
        <w:rPr>
          <w:sz w:val="20"/>
          <w:szCs w:val="20"/>
          <w:color w:val="auto"/>
        </w:rPr>
      </w:pPr>
    </w:p>
    <w:p>
      <w:pPr>
        <w:jc w:val="both"/>
        <w:ind w:firstLine="749"/>
        <w:spacing w:after="0" w:line="229" w:lineRule="auto"/>
        <w:rPr>
          <w:sz w:val="20"/>
          <w:szCs w:val="20"/>
          <w:color w:val="auto"/>
        </w:rPr>
      </w:pPr>
      <w:r>
        <w:rPr>
          <w:rFonts w:ascii="Times New Roman" w:cs="Times New Roman" w:eastAsia="Times New Roman" w:hAnsi="Times New Roman"/>
          <w:sz w:val="22"/>
          <w:szCs w:val="22"/>
          <w:color w:val="auto"/>
        </w:rPr>
        <w:t xml:space="preserve">4.03 </w:t>
      </w:r>
      <w:r>
        <w:rPr>
          <w:rFonts w:ascii="Times New Roman" w:cs="Times New Roman" w:eastAsia="Times New Roman" w:hAnsi="Times New Roman"/>
          <w:sz w:val="22"/>
          <w:szCs w:val="22"/>
          <w:b w:val="1"/>
          <w:bCs w:val="1"/>
          <w:color w:val="auto"/>
        </w:rPr>
        <w:t>Late Charge</w:t>
      </w:r>
      <w:r>
        <w:rPr>
          <w:rFonts w:ascii="Times New Roman" w:cs="Times New Roman" w:eastAsia="Times New Roman" w:hAnsi="Times New Roman"/>
          <w:sz w:val="22"/>
          <w:szCs w:val="22"/>
          <w:color w:val="auto"/>
        </w:rPr>
        <w:t>. Tenant hereby acknowledges that late payment by Tenant to Landlord of Rent and other amounts due hereunder will cause Landlord to incur costs not contemplated by this Lease, the exact amount of which will be extremely difficult to ascertain. Such costs include, but are not limited to, processing and accounting charges, and late charges which may be imposed on Landlord by the terms of any loan secured by the Building. Accordingly, if any installment of Rent or any other sums due from Tenant shall not be received by Landlord within five (5) days following the due date, Tenant shall pay to Landlord a late charge equal to ten percent (10%) of such overdue amount; provided, however, Tenant shall not be obligated to pay such late charge for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late payment m any twelve (12) month period in the Lease Term. The parties hereby agree that such late charge represents a fair and reasonable estimate of the costs Landlord will incur by reason of late payment by Tenant. Acceptance of such late charge by Landlord shall in no event constitute a waiver of Tenant’s default with respect to such overdue amount, nor prevent Landlord from exercising any of the other rights and remedies granted hereunder.</w:t>
      </w:r>
    </w:p>
    <w:p>
      <w:pPr>
        <w:spacing w:after="0" w:line="18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4.04 </w:t>
      </w:r>
      <w:r>
        <w:rPr>
          <w:rFonts w:ascii="Times New Roman" w:cs="Times New Roman" w:eastAsia="Times New Roman" w:hAnsi="Times New Roman"/>
          <w:sz w:val="22"/>
          <w:szCs w:val="22"/>
          <w:b w:val="1"/>
          <w:bCs w:val="1"/>
          <w:color w:val="auto"/>
        </w:rPr>
        <w:t>Interest</w:t>
      </w:r>
      <w:r>
        <w:rPr>
          <w:rFonts w:ascii="Times New Roman" w:cs="Times New Roman" w:eastAsia="Times New Roman" w:hAnsi="Times New Roman"/>
          <w:sz w:val="22"/>
          <w:szCs w:val="22"/>
          <w:color w:val="auto"/>
        </w:rPr>
        <w:t>. Any Rent or other amount due to Landlord, if not received by Landlord within five (5) days from when due, shall bear interest from the date due until paid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41" w:name="page142"/>
    <w:bookmarkEnd w:id="141"/>
    <w:p>
      <w:pPr>
        <w:jc w:val="both"/>
        <w:spacing w:after="0" w:line="239" w:lineRule="auto"/>
        <w:rPr>
          <w:sz w:val="20"/>
          <w:szCs w:val="20"/>
          <w:color w:val="auto"/>
        </w:rPr>
      </w:pPr>
      <w:r>
        <w:rPr>
          <w:rFonts w:ascii="Times New Roman" w:cs="Times New Roman" w:eastAsia="Times New Roman" w:hAnsi="Times New Roman"/>
          <w:sz w:val="22"/>
          <w:szCs w:val="22"/>
          <w:color w:val="auto"/>
        </w:rPr>
        <w:t>at the rate of eighteen percent (18%) per annum or, if a higher rate is legally permissible, at the highest rate legally permitted, provided that interest shall not be payable on late charges incurred by Tenant nor on any amounts upon which late charges are paid by Tenant to the extent such interest would cause the total interest to be in excess of that legally permitted. Payment of interest shall not excuse or cure any default hereunder by Tenant.</w:t>
      </w:r>
    </w:p>
    <w:p>
      <w:pPr>
        <w:spacing w:after="0" w:line="176"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color w:val="auto"/>
        </w:rPr>
        <w:t xml:space="preserve">4.05 </w:t>
      </w:r>
      <w:r>
        <w:rPr>
          <w:rFonts w:ascii="Times New Roman" w:cs="Times New Roman" w:eastAsia="Times New Roman" w:hAnsi="Times New Roman"/>
          <w:sz w:val="21"/>
          <w:szCs w:val="21"/>
          <w:b w:val="1"/>
          <w:bCs w:val="1"/>
          <w:color w:val="auto"/>
        </w:rPr>
        <w:t>Tenant’s Pro Rata Share</w:t>
      </w:r>
      <w:r>
        <w:rPr>
          <w:rFonts w:ascii="Times New Roman" w:cs="Times New Roman" w:eastAsia="Times New Roman" w:hAnsi="Times New Roman"/>
          <w:sz w:val="21"/>
          <w:szCs w:val="21"/>
          <w:color w:val="auto"/>
        </w:rPr>
        <w:t>. Tenant’s Pro Rata Share shall be calculated by dividing the Premises Rentable Area by the Property Rentable Area, which is leased or held for lease by tenants, as of the date on which the computation shall be made. Tenant’s Initial Pro Rata Share is set forth in Section 1.08 and is subject to adjustment based on the aforementioned formula.</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PROPERTY TAXES</w:t>
      </w:r>
    </w:p>
    <w:p>
      <w:pPr>
        <w:spacing w:after="0" w:line="20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 xml:space="preserve">5.01 </w:t>
      </w:r>
      <w:r>
        <w:rPr>
          <w:rFonts w:ascii="Times New Roman" w:cs="Times New Roman" w:eastAsia="Times New Roman" w:hAnsi="Times New Roman"/>
          <w:sz w:val="21"/>
          <w:szCs w:val="21"/>
          <w:b w:val="1"/>
          <w:bCs w:val="1"/>
          <w:color w:val="auto"/>
        </w:rPr>
        <w:t>Real Property Taxes</w:t>
      </w:r>
      <w:r>
        <w:rPr>
          <w:rFonts w:ascii="Times New Roman" w:cs="Times New Roman" w:eastAsia="Times New Roman" w:hAnsi="Times New Roman"/>
          <w:sz w:val="21"/>
          <w:szCs w:val="21"/>
          <w:color w:val="auto"/>
        </w:rPr>
        <w:t>. Tenant shall pay Tenant’s Pro Rata Share of Real Property Taxes on the Property payable during the Lease Term. Tenant shall make such payments in accordance with Section 4.02. If Landlord shall receive a refund of any Real Property Taxes with respect to which Tenant shall have paid Tenant’s Pro Rata Share, Landlord shall refund to Tenant Tenant’s Pro Rata Share of such refund after deducting therefrom the costs and expenses incurred in connection therewith.</w:t>
      </w:r>
    </w:p>
    <w:p>
      <w:pPr>
        <w:spacing w:after="0" w:line="15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5.02 </w:t>
      </w:r>
      <w:r>
        <w:rPr>
          <w:rFonts w:ascii="Times New Roman" w:cs="Times New Roman" w:eastAsia="Times New Roman" w:hAnsi="Times New Roman"/>
          <w:sz w:val="22"/>
          <w:szCs w:val="22"/>
          <w:b w:val="1"/>
          <w:bCs w:val="1"/>
          <w:color w:val="auto"/>
        </w:rPr>
        <w:t>Definition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Real Property Tax</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Real Property Tax</w:t>
      </w:r>
      <w:r>
        <w:rPr>
          <w:rFonts w:ascii="Times New Roman" w:cs="Times New Roman" w:eastAsia="Times New Roman" w:hAnsi="Times New Roman"/>
          <w:sz w:val="22"/>
          <w:szCs w:val="22"/>
          <w:color w:val="auto"/>
        </w:rPr>
        <w:t>” shall mean taxes, assessments (special, betterment, or otherwise), levies, fees, rent taxes, excises, impositions, charges, water and sewer rents and charges, and all other government levies and charges, general and special, ordinary and extraordinary, foreseen and unforeseen, which are imposed or levied upon or assessed against the Property or any Rent or other sums payable by any tenants or occupants thereof. Real Property Tax shall include Landlord’s costs and expenses of contesting any Real Property Tax. Real Property Tax shall not include any permit fees, impact fees or connection fees related to preparation and use of Additional Space on the Property unless such preparation and use is related to an exercise of the Right of First Refusal pursuant to Article 19 herein. If at any time during the Lease Term the present system of ad valorem taxation of real property shall be changed so that in lieu of the whole or any part of the ad valorem tax on real property, or in lieu of increases therein, there shall be assessed on Landlord a capital levy or other tax on the gross rents received with respect to the Property or a federal, state, county, municipal, or other local income, franchise, excise or similar tax, assessment, levy, or charge (distinct from any now in effect) measured by or based, in whole or in part, upon gross rents, then all of such taxes, assessments, levies, or charges, to the extent so measured or based, shall be deemed to be a Real Property Tax.</w:t>
      </w:r>
    </w:p>
    <w:p>
      <w:pPr>
        <w:spacing w:after="0" w:line="18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5.03 </w:t>
      </w:r>
      <w:r>
        <w:rPr>
          <w:rFonts w:ascii="Times New Roman" w:cs="Times New Roman" w:eastAsia="Times New Roman" w:hAnsi="Times New Roman"/>
          <w:sz w:val="22"/>
          <w:szCs w:val="22"/>
          <w:b w:val="1"/>
          <w:bCs w:val="1"/>
          <w:color w:val="auto"/>
        </w:rPr>
        <w:t>Personal Property Taxes</w:t>
      </w:r>
      <w:r>
        <w:rPr>
          <w:rFonts w:ascii="Times New Roman" w:cs="Times New Roman" w:eastAsia="Times New Roman" w:hAnsi="Times New Roman"/>
          <w:sz w:val="22"/>
          <w:szCs w:val="22"/>
          <w:color w:val="auto"/>
        </w:rPr>
        <w:t>. Tenant shall pay directly all taxes charged against trade fixtures, furnishings, equipment, inventory, or any other personal property belonging to Tenant. Tenant shall use its best efforts to have personal property taxed separately from the Property. If any of Tenant’s personal property shall be taxed with the Property, Tenant shall pay Landlord the taxes for such personal property within fifteen (15) days after Tenant receives a written statement from Landlord for such personal property taxes.</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5.04 </w:t>
      </w:r>
      <w:r>
        <w:rPr>
          <w:rFonts w:ascii="Times New Roman" w:cs="Times New Roman" w:eastAsia="Times New Roman" w:hAnsi="Times New Roman"/>
          <w:sz w:val="22"/>
          <w:szCs w:val="22"/>
          <w:b w:val="1"/>
          <w:bCs w:val="1"/>
          <w:color w:val="auto"/>
        </w:rPr>
        <w:t>Real Estate Appraisal Appeal</w:t>
      </w:r>
      <w:r>
        <w:rPr>
          <w:rFonts w:ascii="Times New Roman" w:cs="Times New Roman" w:eastAsia="Times New Roman" w:hAnsi="Times New Roman"/>
          <w:sz w:val="22"/>
          <w:szCs w:val="22"/>
          <w:color w:val="auto"/>
        </w:rPr>
        <w:t>. In the event the Real Property Tax assessment in any tax year in the Lease Term exceeds the previous year’s Real Property Tax assessment by more than 5%, and Landlord fails to appeal such tax assesment within a reasonable period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2" w:name="page143"/>
    <w:bookmarkEnd w:id="142"/>
    <w:p>
      <w:pPr>
        <w:jc w:val="both"/>
        <w:spacing w:after="0" w:line="261" w:lineRule="auto"/>
        <w:rPr>
          <w:sz w:val="20"/>
          <w:szCs w:val="20"/>
          <w:color w:val="auto"/>
        </w:rPr>
      </w:pPr>
      <w:r>
        <w:rPr>
          <w:rFonts w:ascii="Times New Roman" w:cs="Times New Roman" w:eastAsia="Times New Roman" w:hAnsi="Times New Roman"/>
          <w:sz w:val="21"/>
          <w:szCs w:val="21"/>
          <w:color w:val="auto"/>
        </w:rPr>
        <w:t>of time after receipt of such assessment. Tenant shall be entitled to appeal the valuation of the Property for Real Property Tax purposes. Landlord shall reasonably cooperate by furnishing Tenant such reasonable information as necessary or helpful to do so, as well as execute all appeal forms; provided, however, Landlord shall incur no out of pocket expense for the foregoing appeal.</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6</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UTILITIES</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6.01 </w:t>
      </w:r>
      <w:r>
        <w:rPr>
          <w:rFonts w:ascii="Times New Roman" w:cs="Times New Roman" w:eastAsia="Times New Roman" w:hAnsi="Times New Roman"/>
          <w:sz w:val="22"/>
          <w:szCs w:val="22"/>
          <w:b w:val="1"/>
          <w:bCs w:val="1"/>
          <w:color w:val="auto"/>
        </w:rPr>
        <w:t>Utilities</w:t>
      </w:r>
      <w:r>
        <w:rPr>
          <w:rFonts w:ascii="Times New Roman" w:cs="Times New Roman" w:eastAsia="Times New Roman" w:hAnsi="Times New Roman"/>
          <w:sz w:val="22"/>
          <w:szCs w:val="22"/>
          <w:color w:val="auto"/>
        </w:rPr>
        <w:t>. Tenant shall promptly pay, directly to the appropriate supplier, the cost of all natural gas, heat, cooling, energy, light, power, sewer service, telephone, water, refuse disposal and other utilities and services supplied to the Premises, allocable to the period from the time Tenant shall first enter the Premises, throughout the Lease Term and thereafter as long as Tenant shall remain in the Premises (collectively, “</w:t>
      </w:r>
      <w:r>
        <w:rPr>
          <w:rFonts w:ascii="Times New Roman" w:cs="Times New Roman" w:eastAsia="Times New Roman" w:hAnsi="Times New Roman"/>
          <w:sz w:val="22"/>
          <w:szCs w:val="22"/>
          <w:b w:val="1"/>
          <w:bCs w:val="1"/>
          <w:color w:val="auto"/>
        </w:rPr>
        <w:t>the Occupancy Period</w:t>
      </w:r>
      <w:r>
        <w:rPr>
          <w:rFonts w:ascii="Times New Roman" w:cs="Times New Roman" w:eastAsia="Times New Roman" w:hAnsi="Times New Roman"/>
          <w:sz w:val="22"/>
          <w:szCs w:val="22"/>
          <w:color w:val="auto"/>
        </w:rPr>
        <w:t>”), together with any related installation or connection charges or deposits (collectively “</w:t>
      </w:r>
      <w:r>
        <w:rPr>
          <w:rFonts w:ascii="Times New Roman" w:cs="Times New Roman" w:eastAsia="Times New Roman" w:hAnsi="Times New Roman"/>
          <w:sz w:val="22"/>
          <w:szCs w:val="22"/>
          <w:b w:val="1"/>
          <w:bCs w:val="1"/>
          <w:color w:val="auto"/>
        </w:rPr>
        <w:t>Utility Costs</w:t>
      </w:r>
      <w:r>
        <w:rPr>
          <w:rFonts w:ascii="Times New Roman" w:cs="Times New Roman" w:eastAsia="Times New Roman" w:hAnsi="Times New Roman"/>
          <w:sz w:val="22"/>
          <w:szCs w:val="22"/>
          <w:color w:val="auto"/>
        </w:rPr>
        <w:t>”). If any services or utilities are jointly metered with other premises, Landlord shall make a reasonable determination of Tenant’s proportionate share of such Utility Costs and Tenant shall pay such share to Landlord in accordance with Section 4.02. Landlord shall not be liable for damages, consequential or otherwise, nor shall there be any rent abatement, arising out of any curtailment or interruption whatsoever in utility services unless the Premises is not separately metered and the curtailment or interruption is related to the misconduct or gross negligence of Landlord (and Tenant has paid its Pro Rata Share). Utilities serving the Common Areas (as defined in Article Eight) exclusively shall be accounted for as described in Article Eight.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7</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INSURANCE</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7.01 </w:t>
      </w:r>
      <w:r>
        <w:rPr>
          <w:rFonts w:ascii="Times New Roman" w:cs="Times New Roman" w:eastAsia="Times New Roman" w:hAnsi="Times New Roman"/>
          <w:sz w:val="22"/>
          <w:szCs w:val="22"/>
          <w:b w:val="1"/>
          <w:bCs w:val="1"/>
          <w:color w:val="auto"/>
        </w:rPr>
        <w:t>Liability Insurance</w:t>
      </w:r>
      <w:r>
        <w:rPr>
          <w:rFonts w:ascii="Times New Roman" w:cs="Times New Roman" w:eastAsia="Times New Roman" w:hAnsi="Times New Roman"/>
          <w:sz w:val="22"/>
          <w:szCs w:val="22"/>
          <w:color w:val="auto"/>
        </w:rPr>
        <w:t>. During the Occupancy Period, Tenant shall maintain in effect commercial general liability insurance insuring Tenant against liability for bodily injury, property damage (including loss of use of property) and personal injury at the Premises, including contractual liability. Such insurance shall name Landlord, its property manager, and any mortgagee, as additional insureds. The initial amount of such insurance shall be Three Million Dollars ($3,000,000) per occurrence and shall be subject to periodic increases specified by Landlord based upon inflation, recommendation of Landlord’s professional insurance advisers, and insurance coverage trends for comparable Orlando area commercial “flex” space buildings. The liability insurance obtained by Tenant under this Section 7.01 shall (i) be primary and (ii) insure Tenant’s obligations to Landlord under Section 7.09. The amount and coverage of such insurance shall not limit Tenant’s liability nor relieve Tenant of any other obligation under this Lease. Landlord may also obtain commercial general liability insurance in an amount and with coverage determined by Landlord insuring Landlord against liability with respect to the Premises and the Property. The policy obtained by Landlord shall not provide primary insurance, shall not be contributory and shall be excess over any insurance maintained by Tenant.</w:t>
      </w:r>
    </w:p>
    <w:p>
      <w:pPr>
        <w:spacing w:after="0" w:line="18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7.02 </w:t>
      </w:r>
      <w:r>
        <w:rPr>
          <w:rFonts w:ascii="Times New Roman" w:cs="Times New Roman" w:eastAsia="Times New Roman" w:hAnsi="Times New Roman"/>
          <w:sz w:val="22"/>
          <w:szCs w:val="22"/>
          <w:b w:val="1"/>
          <w:bCs w:val="1"/>
          <w:color w:val="auto"/>
        </w:rPr>
        <w:t>Worker’s Compensation Insurance</w:t>
      </w:r>
      <w:r>
        <w:rPr>
          <w:rFonts w:ascii="Times New Roman" w:cs="Times New Roman" w:eastAsia="Times New Roman" w:hAnsi="Times New Roman"/>
          <w:sz w:val="22"/>
          <w:szCs w:val="22"/>
          <w:color w:val="auto"/>
        </w:rPr>
        <w:t>. During the Occupancy Period. Tenant shall maintain in effect Worker’s Compensation Insurance (including Employers’ Liability Insurance) in the statutory amount covering all employees of Tenant employed or performing</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3" w:name="page144"/>
    <w:bookmarkEnd w:id="143"/>
    <w:p>
      <w:pPr>
        <w:jc w:val="both"/>
        <w:spacing w:after="0" w:line="258" w:lineRule="auto"/>
        <w:rPr>
          <w:sz w:val="20"/>
          <w:szCs w:val="20"/>
          <w:color w:val="auto"/>
        </w:rPr>
      </w:pPr>
      <w:r>
        <w:rPr>
          <w:rFonts w:ascii="Times New Roman" w:cs="Times New Roman" w:eastAsia="Times New Roman" w:hAnsi="Times New Roman"/>
          <w:sz w:val="22"/>
          <w:szCs w:val="22"/>
          <w:color w:val="auto"/>
        </w:rPr>
        <w:t>services at the Premises, in order to provide the statutory benefits required by the laws of the state in which the Premises are located.</w:t>
      </w:r>
    </w:p>
    <w:p>
      <w:pPr>
        <w:spacing w:after="0" w:line="15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7.03 </w:t>
      </w:r>
      <w:r>
        <w:rPr>
          <w:rFonts w:ascii="Times New Roman" w:cs="Times New Roman" w:eastAsia="Times New Roman" w:hAnsi="Times New Roman"/>
          <w:sz w:val="22"/>
          <w:szCs w:val="22"/>
          <w:b w:val="1"/>
          <w:bCs w:val="1"/>
          <w:color w:val="auto"/>
        </w:rPr>
        <w:t>Automobile Liability Insurance</w:t>
      </w:r>
      <w:r>
        <w:rPr>
          <w:rFonts w:ascii="Times New Roman" w:cs="Times New Roman" w:eastAsia="Times New Roman" w:hAnsi="Times New Roman"/>
          <w:sz w:val="22"/>
          <w:szCs w:val="22"/>
          <w:color w:val="auto"/>
        </w:rPr>
        <w:t>. During the Occupancy Period, Tenant shall maintain in effect Automobile Liability Insurance, including but not limited to, passenger liability, on all Tenant owned, leased, and hired vehicles used in connection with the Premises, with a combined single limit per occurrence of not less than One Million Dollars ($1,000,000) for injuries or death of one or more persons or loss or damage to property.</w:t>
      </w:r>
    </w:p>
    <w:p>
      <w:pPr>
        <w:spacing w:after="0" w:line="17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7.04 </w:t>
      </w:r>
      <w:r>
        <w:rPr>
          <w:rFonts w:ascii="Times New Roman" w:cs="Times New Roman" w:eastAsia="Times New Roman" w:hAnsi="Times New Roman"/>
          <w:sz w:val="22"/>
          <w:szCs w:val="22"/>
          <w:b w:val="1"/>
          <w:bCs w:val="1"/>
          <w:color w:val="auto"/>
        </w:rPr>
        <w:t>Personal Property Insurance</w:t>
      </w:r>
      <w:r>
        <w:rPr>
          <w:rFonts w:ascii="Times New Roman" w:cs="Times New Roman" w:eastAsia="Times New Roman" w:hAnsi="Times New Roman"/>
          <w:sz w:val="22"/>
          <w:szCs w:val="22"/>
          <w:color w:val="auto"/>
        </w:rPr>
        <w:t>. During the Occupancy Period, Tenant shall maintain in effect Personal Property Insurance covering leasehold improvements paid for by Tenant and Tenant’s personal property and fixtures from time to time in, on or at the Premises, in an amount not less than 100% of the full replacement cost, without deduction for depreciation, providing protection against events protected under “</w:t>
      </w:r>
      <w:r>
        <w:rPr>
          <w:rFonts w:ascii="Times New Roman" w:cs="Times New Roman" w:eastAsia="Times New Roman" w:hAnsi="Times New Roman"/>
          <w:sz w:val="22"/>
          <w:szCs w:val="22"/>
          <w:b w:val="1"/>
          <w:bCs w:val="1"/>
          <w:color w:val="auto"/>
        </w:rPr>
        <w:t>All Risk Coverage</w:t>
      </w:r>
      <w:r>
        <w:rPr>
          <w:rFonts w:ascii="Times New Roman" w:cs="Times New Roman" w:eastAsia="Times New Roman" w:hAnsi="Times New Roman"/>
          <w:sz w:val="22"/>
          <w:szCs w:val="22"/>
          <w:color w:val="auto"/>
        </w:rPr>
        <w:t>,” as well as against sprinkler damage, vandalism and malicious mischief. Any proceeds from the Personal Property Insurance shall be used for the repair or replacement of the property damaged or destroyed unless this Lease is terminated under an applicable provision herein. If the Premises are not repaired or restored following damage or destruction in accordance with other provisions herein. Landlord shall receive any proceeds from the Personal Property Insurance allocable to Tenant’s leasehold improvements.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7.05 </w:t>
      </w:r>
      <w:r>
        <w:rPr>
          <w:rFonts w:ascii="Times New Roman" w:cs="Times New Roman" w:eastAsia="Times New Roman" w:hAnsi="Times New Roman"/>
          <w:sz w:val="22"/>
          <w:szCs w:val="22"/>
          <w:b w:val="1"/>
          <w:bCs w:val="1"/>
          <w:color w:val="auto"/>
        </w:rPr>
        <w:t>Intentionally Omitted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7.06 </w:t>
      </w:r>
      <w:r>
        <w:rPr>
          <w:rFonts w:ascii="Times New Roman" w:cs="Times New Roman" w:eastAsia="Times New Roman" w:hAnsi="Times New Roman"/>
          <w:sz w:val="22"/>
          <w:szCs w:val="22"/>
          <w:b w:val="1"/>
          <w:bCs w:val="1"/>
          <w:color w:val="auto"/>
        </w:rPr>
        <w:t>Landlord’s Property and Rental Income Insurance</w:t>
      </w:r>
      <w:r>
        <w:rPr>
          <w:rFonts w:ascii="Times New Roman" w:cs="Times New Roman" w:eastAsia="Times New Roman" w:hAnsi="Times New Roman"/>
          <w:sz w:val="22"/>
          <w:szCs w:val="22"/>
          <w:color w:val="auto"/>
        </w:rPr>
        <w:t>. During the Lease Term, Landlord shall maintain in effect all risk insurance covering loss of or damage to the Property in the amount of its replacement value with such endorsements and deductibles as Landlord shall determine from time to time. Landlord shall have the right to obtain flood, earthquake, and such other insurance as Landlord shall determine from time to time or shall be required by any lender holding a security interest in the Property. Landlord shall not obtain insurance for Tenant’s fixtures or equipment or building improvements installed by Tenant. During the Lease Term, Landlord shall also maintain a rental income insurance policy, with loss payable to Landlord, in an amount equal to one (1) year’s Base Rent, plus estimated Real Property Taxes, CAM Expenses, Utility Costs and insurance premiums for one (1) year. Tenant shall be liable for the payment of any deductible amount under Landlord’s insurance maintained pursuant to this Article 7, in an amount not to exceed Twenty Five Thousand Dollars ($25,000.00) in the aggregate. Tenant shall not do or permit anything to be done which shall invalidate any such insurance. Any increase in the cost of Landlord’s insurance due to Tenant’s use or activities at the Premises shall be paid by Tenant to Landlord as Additional Rent hereunder.</w:t>
      </w:r>
    </w:p>
    <w:p>
      <w:pPr>
        <w:spacing w:after="0" w:line="18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7.07 </w:t>
      </w:r>
      <w:r>
        <w:rPr>
          <w:rFonts w:ascii="Times New Roman" w:cs="Times New Roman" w:eastAsia="Times New Roman" w:hAnsi="Times New Roman"/>
          <w:sz w:val="22"/>
          <w:szCs w:val="22"/>
          <w:b w:val="1"/>
          <w:bCs w:val="1"/>
          <w:color w:val="auto"/>
        </w:rPr>
        <w:t>Payment of Insurance Premiums</w:t>
      </w:r>
      <w:r>
        <w:rPr>
          <w:rFonts w:ascii="Times New Roman" w:cs="Times New Roman" w:eastAsia="Times New Roman" w:hAnsi="Times New Roman"/>
          <w:sz w:val="22"/>
          <w:szCs w:val="22"/>
          <w:color w:val="auto"/>
        </w:rPr>
        <w:t>. Landlord shall pay the premiums of the insurance policies maintained by Landlord under Section 7.06 and Section 7.01 (if applicable), and Tenant shall reimburse Landlord for Tenant’s Pro Rata Share of such premiums in accordance with Section 4.02. Tenant shall pay directly the premiums of the insurance policies maintained by Tenant under Sections 7.01, 7.02, 7.03, 7.04 and 7.05.</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7.08 </w:t>
      </w:r>
      <w:r>
        <w:rPr>
          <w:rFonts w:ascii="Times New Roman" w:cs="Times New Roman" w:eastAsia="Times New Roman" w:hAnsi="Times New Roman"/>
          <w:sz w:val="22"/>
          <w:szCs w:val="22"/>
          <w:b w:val="1"/>
          <w:bCs w:val="1"/>
          <w:color w:val="auto"/>
        </w:rPr>
        <w:t>General Insurance Provisions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760" w:firstLine="745"/>
        <w:spacing w:after="0" w:line="244" w:lineRule="auto"/>
        <w:tabs>
          <w:tab w:leader="none" w:pos="194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insurance which Tenant shall be required to maintain under this Lease shall include a provision which requires the insurance carrier to give Landlord not less than thirty (30) days’ written notice prior to any cancellation or modification of such coverage.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4" w:name="page145"/>
    <w:bookmarkEnd w:id="144"/>
    <w:p>
      <w:pPr>
        <w:jc w:val="both"/>
        <w:ind w:firstLine="745"/>
        <w:spacing w:after="0" w:line="234" w:lineRule="auto"/>
        <w:tabs>
          <w:tab w:leader="none" w:pos="118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earlier of Tenant’s entry into the Premises or the Lease Commencement Date, Tenant shall deliver to Landlord an insurance company certificate that Tenant maintains the insurance required by Sections 7.01, 7.02, 7.03, 7.04 and 7.05 and not less than thirty (30) days prior to the expiration or termination of any such insurance, Tenant shall deliver to Landlord renewal certificates therefor. Tenant shall provide Landlord with copies of the policies promptly upon request from time to time. If Tenant shall fail to deliver any certificate or renewal certificate to Landlord required under this Lease within the prescribed time period or if any such policy shall be canceled or modified during the Lease Term without Landlord’s consent, Landlord may obtain such insurance, in which case Tenant shall reimburse Landlord, as Additional Rent, for 105% the cost of such insurance within ten (10) days after receipt of a statement of the cost of such insurance.</w:t>
      </w:r>
    </w:p>
    <w:p>
      <w:pPr>
        <w:spacing w:after="0" w:line="183" w:lineRule="exact"/>
        <w:rPr>
          <w:rFonts w:ascii="Times New Roman" w:cs="Times New Roman" w:eastAsia="Times New Roman" w:hAnsi="Times New Roman"/>
          <w:sz w:val="22"/>
          <w:szCs w:val="22"/>
          <w:color w:val="auto"/>
        </w:rPr>
      </w:pPr>
    </w:p>
    <w:p>
      <w:pPr>
        <w:ind w:right="40" w:firstLine="745"/>
        <w:spacing w:after="0" w:line="258" w:lineRule="auto"/>
        <w:tabs>
          <w:tab w:leader="none" w:pos="118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maintain all insurance required under this Lease with companies having a “General Policy Rating” of A -; X or better, as set forth in the most current issue of the Best Key Rating Guide.</w:t>
      </w:r>
    </w:p>
    <w:p>
      <w:pPr>
        <w:spacing w:after="0" w:line="158" w:lineRule="exact"/>
        <w:rPr>
          <w:rFonts w:ascii="Times New Roman" w:cs="Times New Roman" w:eastAsia="Times New Roman" w:hAnsi="Times New Roman"/>
          <w:sz w:val="22"/>
          <w:szCs w:val="22"/>
          <w:color w:val="auto"/>
        </w:rPr>
      </w:pPr>
    </w:p>
    <w:p>
      <w:pPr>
        <w:jc w:val="both"/>
        <w:ind w:firstLine="745"/>
        <w:spacing w:after="0" w:line="235" w:lineRule="auto"/>
        <w:tabs>
          <w:tab w:leader="none" w:pos="118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on behalf of themselves and their insurers, each hereby waive any and all rights of recovery against the other, the officers, members, partners, employees, agents, or representatives of the other and the officers, members, partners, employees, agents or representatives of each of the foregoing, for loss of or damage to its property or the property of others under its control, if such loss or damage shall be covered by any insurance policy in force (whether or not described in this Lease) at the time of such loss or damage, or required to be carried under this Article Seven. All property insurance carried by either party shall contain a waiver of subrogation against the other party to the extent such right shall have been waived by the insured party prior to the occurrence of loss or injury.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7.09 </w:t>
      </w:r>
      <w:r>
        <w:rPr>
          <w:rFonts w:ascii="Times New Roman" w:cs="Times New Roman" w:eastAsia="Times New Roman" w:hAnsi="Times New Roman"/>
          <w:sz w:val="22"/>
          <w:szCs w:val="22"/>
          <w:b w:val="1"/>
          <w:bCs w:val="1"/>
          <w:color w:val="auto"/>
        </w:rPr>
        <w:t>Indemnity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5"/>
        <w:spacing w:after="0" w:line="233" w:lineRule="auto"/>
        <w:tabs>
          <w:tab w:leader="none" w:pos="118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law. Tenant hereby waives all claims against Landlord, its agents, advisors, employees, members, officers, directors, partners, trustees, beneficiaries and shareholders (each a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the agents, advisors, employees, members, officers, directors, partners, trustees, beneficiaries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shareholders of each Landlord Party (collectively, the “</w:t>
      </w:r>
      <w:r>
        <w:rPr>
          <w:rFonts w:ascii="Times New Roman" w:cs="Times New Roman" w:eastAsia="Times New Roman" w:hAnsi="Times New Roman"/>
          <w:sz w:val="22"/>
          <w:szCs w:val="22"/>
          <w:b w:val="1"/>
          <w:bCs w:val="1"/>
          <w:color w:val="auto"/>
        </w:rPr>
        <w:t>Indemnitees</w:t>
      </w:r>
      <w:r>
        <w:rPr>
          <w:rFonts w:ascii="Times New Roman" w:cs="Times New Roman" w:eastAsia="Times New Roman" w:hAnsi="Times New Roman"/>
          <w:sz w:val="22"/>
          <w:szCs w:val="22"/>
          <w:color w:val="auto"/>
        </w:rPr>
        <w:t>”) for damage to any property or injury to or death of any person in, upon or about the Premises or the Property arising at any time and from any cause, and Tenant shall hold Indemnitees harmless from and defend Indemnitees from and against all claims, liabilities, judgments, demands, causes of action, losses, damages, costs and expenses, including reasonable attorney’s fees, for damage to any property or injury to or death of any person arising in or from (i) the use or occupancy of the Premises by Tenant or persons claiming under Tenant, except such as is caused by the sole negligence or willful misconduct of Landlord, its agents, employees or contractors, or (ii) arising from the negligence or willful misconduct of Tenant, its employees, agents, contractors, or invitees in, upon or about the Property, or (iii) arising out of any breach or default by Tenant under this Lease. 1 he foregoing shall include investigation costs and expenses incurred by Landlord in connection with any claim or demand made under this Section. The provisions of this Section 7.09(a) shall survive the expiration or termination of this Lease with respect to any damage, injury or death occurring prior to such time.</w:t>
      </w:r>
    </w:p>
    <w:p>
      <w:pPr>
        <w:spacing w:after="0" w:line="200" w:lineRule="exact"/>
        <w:rPr>
          <w:sz w:val="20"/>
          <w:szCs w:val="20"/>
          <w:color w:val="auto"/>
        </w:rPr>
      </w:pPr>
    </w:p>
    <w:p>
      <w:pPr>
        <w:spacing w:after="0" w:line="2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572770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45" w:name="page146"/>
    <w:bookmarkEnd w:id="145"/>
    <w:p>
      <w:pPr>
        <w:jc w:val="both"/>
        <w:ind w:left="760" w:firstLine="745"/>
        <w:spacing w:after="0" w:line="233" w:lineRule="auto"/>
        <w:tabs>
          <w:tab w:leader="none" w:pos="194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law, Landlord hereby waives all claims against Tenant, its agents, advisors, employees, members, officers, directors, partners, trustees, beneficiaries and shareholders (each a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the agents, advisors, employees, members, officers, directors, partners, trustees, beneficiaries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shareholders of each Tenant Party (collectively, the “</w:t>
      </w:r>
      <w:r>
        <w:rPr>
          <w:rFonts w:ascii="Times New Roman" w:cs="Times New Roman" w:eastAsia="Times New Roman" w:hAnsi="Times New Roman"/>
          <w:sz w:val="22"/>
          <w:szCs w:val="22"/>
          <w:b w:val="1"/>
          <w:bCs w:val="1"/>
          <w:color w:val="auto"/>
        </w:rPr>
        <w:t>Tenant Indemnitees</w:t>
      </w:r>
      <w:r>
        <w:rPr>
          <w:rFonts w:ascii="Times New Roman" w:cs="Times New Roman" w:eastAsia="Times New Roman" w:hAnsi="Times New Roman"/>
          <w:sz w:val="22"/>
          <w:szCs w:val="22"/>
          <w:color w:val="auto"/>
        </w:rPr>
        <w:t>”) for damage to any property or injury to or death of any person in, upon or about the Premises or the Property arising at any time and from any cause, and Landlord shall hold Tenant Indemnitees harmless from and defend Tenant Indemnitees from and against all claims, liabilities, judgments, demands, causes of action, losses, damages, costs and expenses, including reasonable attorney’s fees, for damage to any property or injury to or death of any person arising in or from (i) arising from the negligence or willful misconduct of Landlord, its employees, agents, contractors, or invitees in, upon or about the Property, or (ii) arising out of any breach or default by Landlord under this Lease. The foregoing shall include investigation costs and expenses incurred by Tenant in connection with any claim or demand made under this Section. The provisions of this Section 7.09(b) shall survive the expiration or termination of this Lease with respect to any damage, injury or death occurring prior to such time.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8</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COMMON AREAS</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8.01 </w:t>
      </w:r>
      <w:r>
        <w:rPr>
          <w:rFonts w:ascii="Times New Roman" w:cs="Times New Roman" w:eastAsia="Times New Roman" w:hAnsi="Times New Roman"/>
          <w:sz w:val="22"/>
          <w:szCs w:val="22"/>
          <w:b w:val="1"/>
          <w:bCs w:val="1"/>
          <w:color w:val="auto"/>
        </w:rPr>
        <w:t>Common Areas</w:t>
      </w:r>
      <w:r>
        <w:rPr>
          <w:rFonts w:ascii="Times New Roman" w:cs="Times New Roman" w:eastAsia="Times New Roman" w:hAnsi="Times New Roman"/>
          <w:sz w:val="22"/>
          <w:szCs w:val="22"/>
          <w:color w:val="auto"/>
        </w:rPr>
        <w:t>. As used in this Lease, “</w:t>
      </w:r>
      <w:r>
        <w:rPr>
          <w:rFonts w:ascii="Times New Roman" w:cs="Times New Roman" w:eastAsia="Times New Roman" w:hAnsi="Times New Roman"/>
          <w:sz w:val="22"/>
          <w:szCs w:val="22"/>
          <w:b w:val="1"/>
          <w:bCs w:val="1"/>
          <w:color w:val="auto"/>
        </w:rPr>
        <w:t>Common Areas</w:t>
      </w:r>
      <w:r>
        <w:rPr>
          <w:rFonts w:ascii="Times New Roman" w:cs="Times New Roman" w:eastAsia="Times New Roman" w:hAnsi="Times New Roman"/>
          <w:sz w:val="22"/>
          <w:szCs w:val="22"/>
          <w:color w:val="auto"/>
        </w:rPr>
        <w:t>” shall mean all areas within the Property which are available for the common use of tenants of the Property and which are not leased or held for the exclusive use of Tenant or other tenants, including, but not limited to, parking areas, driveways, sidewalks, access roads, landscaping, and planted areas. Landlord, from time to time, may change the size, location, nature, and use of any of the Common Areas, convert Common Areas into leasable areas, construct additional parking facilities (including parking structures) in the Common Areas, and increase or decrease Common Area land or facilities. Tenant acknowledges that such activities may result in inconvenience to Tenant and Landlord warrants that any such activities shall be undertaken so as to reasonably minimize any such inconvenience. Such activities and changes are permitted if they do not materially affect Tenant’s use of the Premises. The bathrooms located adjacent to the Premises and the corridor leading to them shall be a Shared Area (defined herein), but shall only be available for use by Tenant and any tenant of the other leased space located adjacent to those bathrooms. For purposes of this Section 8.01, the term “</w:t>
      </w:r>
      <w:r>
        <w:rPr>
          <w:rFonts w:ascii="Times New Roman" w:cs="Times New Roman" w:eastAsia="Times New Roman" w:hAnsi="Times New Roman"/>
          <w:sz w:val="22"/>
          <w:szCs w:val="22"/>
          <w:b w:val="1"/>
          <w:bCs w:val="1"/>
          <w:color w:val="auto"/>
        </w:rPr>
        <w:t>Shared Area</w:t>
      </w:r>
      <w:r>
        <w:rPr>
          <w:rFonts w:ascii="Times New Roman" w:cs="Times New Roman" w:eastAsia="Times New Roman" w:hAnsi="Times New Roman"/>
          <w:sz w:val="22"/>
          <w:szCs w:val="22"/>
          <w:color w:val="auto"/>
        </w:rPr>
        <w:t>” shall mean the space to be used only by Tenant and the tenant to be located adjacent to the Premises. The costs related to the Shared Area are shared equally by Tenant and such other tenant.</w:t>
      </w:r>
    </w:p>
    <w:p>
      <w:pPr>
        <w:spacing w:after="0" w:line="18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8.02 </w:t>
      </w:r>
      <w:r>
        <w:rPr>
          <w:rFonts w:ascii="Times New Roman" w:cs="Times New Roman" w:eastAsia="Times New Roman" w:hAnsi="Times New Roman"/>
          <w:sz w:val="22"/>
          <w:szCs w:val="22"/>
          <w:b w:val="1"/>
          <w:bCs w:val="1"/>
          <w:color w:val="auto"/>
        </w:rPr>
        <w:t>Use of Common Areas</w:t>
      </w:r>
      <w:r>
        <w:rPr>
          <w:rFonts w:ascii="Times New Roman" w:cs="Times New Roman" w:eastAsia="Times New Roman" w:hAnsi="Times New Roman"/>
          <w:sz w:val="22"/>
          <w:szCs w:val="22"/>
          <w:color w:val="auto"/>
        </w:rPr>
        <w:t>. Tenant shall have the non-exclusive right (in common with other tenants and all others to whom Landlord has granted or may grant such rights) to use the Common Areas for the purposes intended, subject to such reasonable rules and regulations (the “</w:t>
      </w:r>
      <w:r>
        <w:rPr>
          <w:rFonts w:ascii="Times New Roman" w:cs="Times New Roman" w:eastAsia="Times New Roman" w:hAnsi="Times New Roman"/>
          <w:sz w:val="22"/>
          <w:szCs w:val="22"/>
          <w:b w:val="1"/>
          <w:bCs w:val="1"/>
          <w:color w:val="auto"/>
        </w:rPr>
        <w:t>Rules and Regulations</w:t>
      </w:r>
      <w:r>
        <w:rPr>
          <w:rFonts w:ascii="Times New Roman" w:cs="Times New Roman" w:eastAsia="Times New Roman" w:hAnsi="Times New Roman"/>
          <w:sz w:val="22"/>
          <w:szCs w:val="22"/>
          <w:color w:val="auto"/>
        </w:rPr>
        <w:t xml:space="preserve">”) as Landlord may establish or modify from time to time and as initially set forth in </w:t>
      </w:r>
      <w:r>
        <w:rPr>
          <w:rFonts w:ascii="Times New Roman" w:cs="Times New Roman" w:eastAsia="Times New Roman" w:hAnsi="Times New Roman"/>
          <w:sz w:val="22"/>
          <w:szCs w:val="22"/>
          <w:b w:val="1"/>
          <w:bCs w:val="1"/>
          <w:color w:val="auto"/>
        </w:rPr>
        <w:t>Exhibit C</w:t>
      </w:r>
      <w:r>
        <w:rPr>
          <w:rFonts w:ascii="Times New Roman" w:cs="Times New Roman" w:eastAsia="Times New Roman" w:hAnsi="Times New Roman"/>
          <w:sz w:val="22"/>
          <w:szCs w:val="22"/>
          <w:color w:val="auto"/>
        </w:rPr>
        <w:t>. Landlord shall uniformly enforce all Rules and Regulations for all tenants in the building. Tenant shall abide by all such Rules and Regulations and shall use its best efforts to cause others who use the Common Areas with Tenant’s express or implied permission to abide by Landlord’s Rules and Regulations. At any time, Landlord may close any Common Areas to perform any acts in the Common Areas as, in Landlord’s reasonable judgment, are desirable to maintain or improve the Property. Tenant shall not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2"/>
          <w:szCs w:val="22"/>
          <w:color w:val="auto"/>
        </w:rPr>
        <w:t>interfere with the rights of Landlord, other tenants, or any other person entitled to use the Common Areas.</w:t>
      </w:r>
    </w:p>
    <w:p>
      <w:pPr>
        <w:spacing w:after="0" w:line="20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8.03 </w:t>
      </w:r>
      <w:r>
        <w:rPr>
          <w:rFonts w:ascii="Times New Roman" w:cs="Times New Roman" w:eastAsia="Times New Roman" w:hAnsi="Times New Roman"/>
          <w:sz w:val="22"/>
          <w:szCs w:val="22"/>
          <w:b w:val="1"/>
          <w:bCs w:val="1"/>
          <w:color w:val="auto"/>
        </w:rPr>
        <w:t>Vehicle Parking</w:t>
      </w:r>
      <w:r>
        <w:rPr>
          <w:rFonts w:ascii="Times New Roman" w:cs="Times New Roman" w:eastAsia="Times New Roman" w:hAnsi="Times New Roman"/>
          <w:sz w:val="22"/>
          <w:szCs w:val="22"/>
          <w:color w:val="auto"/>
        </w:rPr>
        <w:t>. Tenant shall be entitled to use the Parking Spaces Allocated to Tenant without paying any additional Rent. Of the Parking Spaces Allocated to Tenant, Tenant shall be entitled to reserve ten (10) spaces (the “</w:t>
      </w:r>
      <w:r>
        <w:rPr>
          <w:rFonts w:ascii="Times New Roman" w:cs="Times New Roman" w:eastAsia="Times New Roman" w:hAnsi="Times New Roman"/>
          <w:sz w:val="22"/>
          <w:szCs w:val="22"/>
          <w:b w:val="1"/>
          <w:bCs w:val="1"/>
          <w:color w:val="auto"/>
        </w:rPr>
        <w:t>Reserved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Spaces</w:t>
      </w:r>
      <w:r>
        <w:rPr>
          <w:rFonts w:ascii="Times New Roman" w:cs="Times New Roman" w:eastAsia="Times New Roman" w:hAnsi="Times New Roman"/>
          <w:sz w:val="22"/>
          <w:szCs w:val="22"/>
          <w:color w:val="auto"/>
        </w:rPr>
        <w:t>”) and shall be entitled to mark such space with signage stating “</w:t>
      </w:r>
      <w:r>
        <w:rPr>
          <w:rFonts w:ascii="Times New Roman" w:cs="Times New Roman" w:eastAsia="Times New Roman" w:hAnsi="Times New Roman"/>
          <w:sz w:val="22"/>
          <w:szCs w:val="22"/>
          <w:b w:val="1"/>
          <w:bCs w:val="1"/>
          <w:color w:val="auto"/>
        </w:rPr>
        <w:t>LensAR Reserved</w:t>
      </w:r>
      <w:r>
        <w:rPr>
          <w:rFonts w:ascii="Times New Roman" w:cs="Times New Roman" w:eastAsia="Times New Roman" w:hAnsi="Times New Roman"/>
          <w:sz w:val="22"/>
          <w:szCs w:val="22"/>
          <w:color w:val="auto"/>
        </w:rPr>
        <w:t>”. All such signage shall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approval of all applicable municipalities and Landlord. Other than the Reserved Spaces, Tenant’s parking shall not be reserved and shall be limited to vehicles no larger than standard size automobiles or pickup utility vehicles. Tenant shall not cause large trucks or other large vehicles to be parked within the Property or on the adjacent public streets except in accordance with the Rules and Regulations. Vehicles shall be parked only in striped parking spaces and not in driveways or other locations not specifically designated for parking. Handicapped spaces shall only be used by those legally permitted to use them. Tenant shall not park at any time more vehicles in the parking area than the number of Parking Spaces Allocated to Tenant. Tenant’s use of the Property for parking purposes shall at all times comply with all applicable laws, codes and ordinances.</w:t>
      </w:r>
    </w:p>
    <w:p>
      <w:pPr>
        <w:spacing w:after="0" w:line="179"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8.04 </w:t>
      </w:r>
      <w:r>
        <w:rPr>
          <w:rFonts w:ascii="Times New Roman" w:cs="Times New Roman" w:eastAsia="Times New Roman" w:hAnsi="Times New Roman"/>
          <w:sz w:val="22"/>
          <w:szCs w:val="22"/>
          <w:b w:val="1"/>
          <w:bCs w:val="1"/>
          <w:color w:val="auto"/>
        </w:rPr>
        <w:t>Common Area Maintenance</w:t>
      </w:r>
      <w:r>
        <w:rPr>
          <w:rFonts w:ascii="Times New Roman" w:cs="Times New Roman" w:eastAsia="Times New Roman" w:hAnsi="Times New Roman"/>
          <w:sz w:val="22"/>
          <w:szCs w:val="22"/>
          <w:color w:val="auto"/>
        </w:rPr>
        <w:t>. Subject to Articles Eleven and Twelve, Landlord shall maintain the Common Areas in good order, condition, and repair. Common Area Maintenance expenses (“</w:t>
      </w:r>
      <w:r>
        <w:rPr>
          <w:rFonts w:ascii="Times New Roman" w:cs="Times New Roman" w:eastAsia="Times New Roman" w:hAnsi="Times New Roman"/>
          <w:sz w:val="22"/>
          <w:szCs w:val="22"/>
          <w:b w:val="1"/>
          <w:bCs w:val="1"/>
          <w:color w:val="auto"/>
        </w:rPr>
        <w:t>CAM Expenses</w:t>
      </w:r>
      <w:r>
        <w:rPr>
          <w:rFonts w:ascii="Times New Roman" w:cs="Times New Roman" w:eastAsia="Times New Roman" w:hAnsi="Times New Roman"/>
          <w:sz w:val="22"/>
          <w:szCs w:val="22"/>
          <w:color w:val="auto"/>
        </w:rPr>
        <w:t>”) are all costs and expenses associated with the operation and maintenance of the Common Areas and the repair and maintenance of the heating, ventilation, air conditioning, plumbing, electrical, utility and safety systems (to the extent not performed by Tenant), including, but not limited to, the following: gardening and landscaping; snow removal; utility, water, sewage and property drainage services for the Common Area; maintenance of signs (other than tenants’ signs); worker’s compensation insurance; personal property taxes; rentals or lease payments paid by Landlord for rented or leased personal property used in the operation or maintenance of the Common Areas; fees for required licenses and permits routine maintenance and repair of roof membrane, flashings, gutters, downspouts, roof drains, skylights and waterproofing; maintenance of paving, (including sweeping, striping, repairing, resurfacing and repaving); general maintenance; painting; lighting; cleaning; refuse removal; security and similar items; reserves for roof replacement, exterior painting and other appropriate reserves; and a property management fee not to exceed five percent (5%) of building revenues. Landlord may cause any or all of such services to be provided by third parties and the cost of such services shall be included in CAM Expenses. With respect to any CAM Expenses which are included for the benefit of the Property and other property. Landlord shall make a reasonable allocation of such cost between the Property and such other property. CAM Expenses shall not include the cost of capital repairs and replacements; provided, however, that (a) the annual depreciation (based on the useful life of the item under generally accepted accounting principles) of any such capital repair or replacement to the Common Areas or the heating, ventilating, air-conditioning, plumbing, electrical, utility and safety systems serving the Property, shall be included in the CAM Expenses each year during the Lease Term; and (b) the cost of capital improvements undertaken to reduce CAM Expenses or made in order to comply with legal requirements shall be included in CAM Expenses each year during the term of this Lease.</w:t>
      </w:r>
    </w:p>
    <w:p>
      <w:pPr>
        <w:spacing w:after="0" w:line="18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8.05 </w:t>
      </w:r>
      <w:r>
        <w:rPr>
          <w:rFonts w:ascii="Times New Roman" w:cs="Times New Roman" w:eastAsia="Times New Roman" w:hAnsi="Times New Roman"/>
          <w:sz w:val="22"/>
          <w:szCs w:val="22"/>
          <w:b w:val="1"/>
          <w:bCs w:val="1"/>
          <w:color w:val="auto"/>
        </w:rPr>
        <w:t>Tenant’s Payment of CAM Expenses</w:t>
      </w:r>
      <w:r>
        <w:rPr>
          <w:rFonts w:ascii="Times New Roman" w:cs="Times New Roman" w:eastAsia="Times New Roman" w:hAnsi="Times New Roman"/>
          <w:sz w:val="22"/>
          <w:szCs w:val="22"/>
          <w:color w:val="auto"/>
        </w:rPr>
        <w:t>. Tenant shall pay Tenant’s Pro Rata Share of all CAM Expenses in accordance with Section 4.02.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9</w:t>
      </w:r>
    </w:p>
    <w:p>
      <w:pPr>
        <w:spacing w:after="0" w:line="23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u w:val="single" w:color="auto"/>
          <w:color w:val="auto"/>
        </w:rPr>
        <w:t>USE OF PREMISES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9.01 </w:t>
      </w:r>
      <w:r>
        <w:rPr>
          <w:rFonts w:ascii="Times New Roman" w:cs="Times New Roman" w:eastAsia="Times New Roman" w:hAnsi="Times New Roman"/>
          <w:sz w:val="22"/>
          <w:szCs w:val="22"/>
          <w:b w:val="1"/>
          <w:bCs w:val="1"/>
          <w:color w:val="auto"/>
        </w:rPr>
        <w:t>Permitted Uses</w:t>
      </w:r>
      <w:r>
        <w:rPr>
          <w:rFonts w:ascii="Times New Roman" w:cs="Times New Roman" w:eastAsia="Times New Roman" w:hAnsi="Times New Roman"/>
          <w:sz w:val="22"/>
          <w:szCs w:val="22"/>
          <w:color w:val="auto"/>
        </w:rPr>
        <w:t>. Tenant may use the Premises only for the Permitted Uses.</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9.02 </w:t>
      </w:r>
      <w:r>
        <w:rPr>
          <w:rFonts w:ascii="Times New Roman" w:cs="Times New Roman" w:eastAsia="Times New Roman" w:hAnsi="Times New Roman"/>
          <w:sz w:val="22"/>
          <w:szCs w:val="22"/>
          <w:b w:val="1"/>
          <w:bCs w:val="1"/>
          <w:color w:val="auto"/>
        </w:rPr>
        <w:t>Manner of Use</w:t>
      </w:r>
      <w:r>
        <w:rPr>
          <w:rFonts w:ascii="Times New Roman" w:cs="Times New Roman" w:eastAsia="Times New Roman" w:hAnsi="Times New Roman"/>
          <w:sz w:val="22"/>
          <w:szCs w:val="22"/>
          <w:color w:val="auto"/>
        </w:rPr>
        <w:t>. Tenant shall not cause or permit the Premises (including all parking, dock and trailer areas used in connection therewith) to be used in any way which shall constitute a violation of any law, ordinance, restrictive covenants, governmental regulation or order, which shall annoy or interfere with the rights of tenants of the Property, or which shall constitute a nuisance or waste. As part of the Construction Allowance, Landlord shall obtain and pay for all permits, including a certificate of occupancy. As of the Lease Commencement Date, Landlord warrants that Landlord’s Work will be designed and installed in a manner to assure initial compliance with the Occupational Safety and Health Act (“</w:t>
      </w:r>
      <w:r>
        <w:rPr>
          <w:rFonts w:ascii="Times New Roman" w:cs="Times New Roman" w:eastAsia="Times New Roman" w:hAnsi="Times New Roman"/>
          <w:sz w:val="22"/>
          <w:szCs w:val="22"/>
          <w:b w:val="1"/>
          <w:bCs w:val="1"/>
          <w:color w:val="auto"/>
        </w:rPr>
        <w:t>OSHA</w:t>
      </w:r>
      <w:r>
        <w:rPr>
          <w:rFonts w:ascii="Times New Roman" w:cs="Times New Roman" w:eastAsia="Times New Roman" w:hAnsi="Times New Roman"/>
          <w:sz w:val="22"/>
          <w:szCs w:val="22"/>
          <w:color w:val="auto"/>
        </w:rPr>
        <w:t>”) and the Americans With Disabilities Act (“</w:t>
      </w:r>
      <w:r>
        <w:rPr>
          <w:rFonts w:ascii="Times New Roman" w:cs="Times New Roman" w:eastAsia="Times New Roman" w:hAnsi="Times New Roman"/>
          <w:sz w:val="22"/>
          <w:szCs w:val="22"/>
          <w:b w:val="1"/>
          <w:bCs w:val="1"/>
          <w:color w:val="auto"/>
        </w:rPr>
        <w:t>ADA</w:t>
      </w:r>
      <w:r>
        <w:rPr>
          <w:rFonts w:ascii="Times New Roman" w:cs="Times New Roman" w:eastAsia="Times New Roman" w:hAnsi="Times New Roman"/>
          <w:sz w:val="22"/>
          <w:szCs w:val="22"/>
          <w:color w:val="auto"/>
        </w:rPr>
        <w:t>”) requirements for the Premises. Following the Commencement Date and throughout the Lease Term, including any Option Period(s), Tenant shall promptly take all actions necessary to comply with all applicable statutes, ordinances, codes, regulations, orders, covenants and requirements regulating the use by Tenant of the Premises, including OSHA and the ADA.</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9.03 </w:t>
      </w:r>
      <w:r>
        <w:rPr>
          <w:rFonts w:ascii="Times New Roman" w:cs="Times New Roman" w:eastAsia="Times New Roman" w:hAnsi="Times New Roman"/>
          <w:sz w:val="21"/>
          <w:szCs w:val="21"/>
          <w:b w:val="1"/>
          <w:bCs w:val="1"/>
          <w:color w:val="auto"/>
        </w:rPr>
        <w:t>Hazardous Materials</w:t>
      </w:r>
      <w:r>
        <w:rPr>
          <w:rFonts w:ascii="Times New Roman" w:cs="Times New Roman" w:eastAsia="Times New Roman" w:hAnsi="Times New Roman"/>
          <w:sz w:val="21"/>
          <w:szCs w:val="21"/>
          <w:color w:val="auto"/>
        </w:rPr>
        <w:t>. Prior to executing this Lease, Tenant has completed, executed and delivered to Landlord a Hazardous Materials Disclosure Certificate (“</w:t>
      </w:r>
      <w:r>
        <w:rPr>
          <w:rFonts w:ascii="Times New Roman" w:cs="Times New Roman" w:eastAsia="Times New Roman" w:hAnsi="Times New Roman"/>
          <w:sz w:val="21"/>
          <w:szCs w:val="21"/>
          <w:b w:val="1"/>
          <w:bCs w:val="1"/>
          <w:color w:val="auto"/>
        </w:rPr>
        <w:t>Initial Disclosure Certificate</w:t>
      </w:r>
      <w:r>
        <w:rPr>
          <w:rFonts w:ascii="Times New Roman" w:cs="Times New Roman" w:eastAsia="Times New Roman" w:hAnsi="Times New Roman"/>
          <w:sz w:val="21"/>
          <w:szCs w:val="21"/>
          <w:color w:val="auto"/>
        </w:rPr>
        <w:t xml:space="preserve">”), a fully completed copy of which is attached hereto as </w:t>
      </w:r>
      <w:r>
        <w:rPr>
          <w:rFonts w:ascii="Times New Roman" w:cs="Times New Roman" w:eastAsia="Times New Roman" w:hAnsi="Times New Roman"/>
          <w:sz w:val="21"/>
          <w:szCs w:val="21"/>
          <w:b w:val="1"/>
          <w:bCs w:val="1"/>
          <w:color w:val="auto"/>
        </w:rPr>
        <w:t>Exhibit G</w:t>
      </w:r>
      <w:r>
        <w:rPr>
          <w:rFonts w:ascii="Times New Roman" w:cs="Times New Roman" w:eastAsia="Times New Roman" w:hAnsi="Times New Roman"/>
          <w:sz w:val="21"/>
          <w:szCs w:val="21"/>
          <w:color w:val="auto"/>
        </w:rPr>
        <w:t xml:space="preserve"> and incorporated herein by this reference. Tenant covenants, represents and warrants to Landlord that the information on the Initial Disclosure Certificate is true and correct and accurately describes all Hazardous Materials (as defined below) which will be manufactured, treated, used or stored on or about the Premises by Tenant or Tenant’s Agents. Tenant shall on each anniversary of the Commencement Date and at such other times as Tenant desires to manufacture, treat, use or store on or about the Premises new or additional Hazardous Materials which were not listed on the Initial Disclosure Certificate, complete, execute and deliver to Landlord an updated Disclosure Certificate (each, an “</w:t>
      </w:r>
      <w:r>
        <w:rPr>
          <w:rFonts w:ascii="Times New Roman" w:cs="Times New Roman" w:eastAsia="Times New Roman" w:hAnsi="Times New Roman"/>
          <w:sz w:val="21"/>
          <w:szCs w:val="21"/>
          <w:b w:val="1"/>
          <w:bCs w:val="1"/>
          <w:color w:val="auto"/>
        </w:rPr>
        <w:t>Updated Disclosure Certificate</w:t>
      </w:r>
      <w:r>
        <w:rPr>
          <w:rFonts w:ascii="Times New Roman" w:cs="Times New Roman" w:eastAsia="Times New Roman" w:hAnsi="Times New Roman"/>
          <w:sz w:val="21"/>
          <w:szCs w:val="21"/>
          <w:color w:val="auto"/>
        </w:rPr>
        <w:t xml:space="preserve">”) describing Tenant’s then current and proposed future uses of Hazardous Materials on or about the Premises, which Updated Disclosure Certificate shall be in the same format as that which is set forth in </w:t>
      </w:r>
      <w:r>
        <w:rPr>
          <w:rFonts w:ascii="Times New Roman" w:cs="Times New Roman" w:eastAsia="Times New Roman" w:hAnsi="Times New Roman"/>
          <w:sz w:val="21"/>
          <w:szCs w:val="21"/>
          <w:b w:val="1"/>
          <w:bCs w:val="1"/>
          <w:color w:val="auto"/>
        </w:rPr>
        <w:t>Exhibit F</w:t>
      </w:r>
      <w:r>
        <w:rPr>
          <w:rFonts w:ascii="Times New Roman" w:cs="Times New Roman" w:eastAsia="Times New Roman" w:hAnsi="Times New Roman"/>
          <w:sz w:val="21"/>
          <w:szCs w:val="21"/>
          <w:color w:val="auto"/>
        </w:rPr>
        <w:t xml:space="preserve"> or in such updated format as Landlord may require from time to time. Tenant shall deliver an Updated Disclosure Certificate to Landlord not less than thirty days prior to the date Tenant intends to commence the manufacture, treatment, use or storage of new or additional Hazardous Materials on or about the Premises, and Landlord shall have the right to approve or disapprove such new or additional Hazardous Materials in its sole and absolute discretion. Tenant shall make no use of Hazardous Materials on or about the Premises except as described in the Initial Disclosure Certificate or as otherwise approved by Landlord in writing, in accordance with this Section 9.03.</w:t>
      </w:r>
    </w:p>
    <w:p>
      <w:pPr>
        <w:spacing w:after="0" w:line="1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As used in this Lease, the term “</w:t>
      </w:r>
      <w:r>
        <w:rPr>
          <w:rFonts w:ascii="Times New Roman" w:cs="Times New Roman" w:eastAsia="Times New Roman" w:hAnsi="Times New Roman"/>
          <w:sz w:val="22"/>
          <w:szCs w:val="22"/>
          <w:b w:val="1"/>
          <w:bCs w:val="1"/>
          <w:color w:val="auto"/>
        </w:rPr>
        <w:t>Hazardous Material</w:t>
      </w:r>
      <w:r>
        <w:rPr>
          <w:rFonts w:ascii="Times New Roman" w:cs="Times New Roman" w:eastAsia="Times New Roman" w:hAnsi="Times New Roman"/>
          <w:sz w:val="22"/>
          <w:szCs w:val="22"/>
          <w:color w:val="auto"/>
        </w:rPr>
        <w:t>” shall mean any flammable items, explosives, radioactive materials, oil, hazardous or toxic substances, material or waste or related materials, including any substances defined as or included in the definition of “hazardous substances”, “hazardous wastes”, “hazardous materials” or “toxic substances” now or subsequently regulated under any applicable federal, state or local laws or regulations, including without limitation petroleum-based products, paints, solvents, lead, cyanide, DDT, printing inks, acids, pesticides, ammonia compounds and other chemical products, asbestos, PCBs and similar compounds, and including any different products and materials which are subsequently found to have adverse effects on the environment or the health and safety of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8" w:name="page149"/>
    <w:bookmarkEnd w:id="148"/>
    <w:p>
      <w:pPr>
        <w:jc w:val="both"/>
        <w:spacing w:after="0" w:line="248" w:lineRule="auto"/>
        <w:rPr>
          <w:sz w:val="20"/>
          <w:szCs w:val="20"/>
          <w:color w:val="auto"/>
        </w:rPr>
      </w:pPr>
      <w:r>
        <w:rPr>
          <w:rFonts w:ascii="Times New Roman" w:cs="Times New Roman" w:eastAsia="Times New Roman" w:hAnsi="Times New Roman"/>
          <w:sz w:val="21"/>
          <w:szCs w:val="21"/>
          <w:color w:val="auto"/>
        </w:rPr>
        <w:t>persons. Tenant shall not cause or permit any Hazardous Material to be generated, produced, brought upon. used, stored, treated or disposed of in or about the Property by Tenant. its agents, employees, contractors, sublessees or invitees without (a) the prior written consent of Landlord, and (b) complying with all applicable Federal, State and Local laws or ordinances pertaining to the transportation, storage, use or disposal of such Hazardous Materials, including but not limited to obtaining proper permits. Landlord shall be entitled to take into account such other factors or facts as Landlord may reasonably determine to be relevant in determining whether to grant or withhold consent to Tenant’s proposed activity with respect to Hazardous Material. In no event, however, shall Landlord be required to consent to the installation or use of any storage tanks on the Property.</w:t>
      </w:r>
    </w:p>
    <w:p>
      <w:pPr>
        <w:spacing w:after="0" w:line="170" w:lineRule="exact"/>
        <w:rPr>
          <w:sz w:val="20"/>
          <w:szCs w:val="20"/>
          <w:color w:val="auto"/>
        </w:rPr>
      </w:pPr>
    </w:p>
    <w:p>
      <w:pPr>
        <w:jc w:val="both"/>
        <w:ind w:firstLine="749"/>
        <w:spacing w:after="0" w:line="231" w:lineRule="auto"/>
        <w:rPr>
          <w:sz w:val="20"/>
          <w:szCs w:val="20"/>
          <w:color w:val="auto"/>
        </w:rPr>
      </w:pPr>
      <w:r>
        <w:rPr>
          <w:rFonts w:ascii="Times New Roman" w:cs="Times New Roman" w:eastAsia="Times New Roman" w:hAnsi="Times New Roman"/>
          <w:sz w:val="22"/>
          <w:szCs w:val="22"/>
          <w:color w:val="auto"/>
        </w:rPr>
        <w:t>If Tenant’s transportation, storage, use or disposal of Hazardous Materials on the Premises results in the contamination of the soil or surface or ground water or loss or damage to person(s) or property, then Tenant agrees to: (a) notify Landlord immediately of any contamination, claim of contamination, loss or damage, (b) after consultation with the Landlord, clean up the contamination in full compliance with all applicable statutes, regulations and standards and (c) indemnify, defend and hold Landlord harmless from and against any claims, suits, causes of action, costs and fees, including attorney’s fees and costs, arising from or connected with any such contamination, claim of contamination, loss or damage. Tenant agrees to fully cooperate with Landlord and provide such documents, affidavits and information as may be requested by Landlord (i) to comply with any environmental law, (ii) to comply with the request of any lender, purchaser or tenant, and/or (iii) for any other reason deemed necessary by Landlord in its sole, but reasonable, discretion. Tenant shall notify Landlord promptly in the event of any spill or other release of any Hazardous Material at, in, on, under or about the Premises which is required to be reported to a governmental authority under any environmental law, will promptly forward to Landlord copies of any notices received by Tenant relating to alleged violations of any environmental law and will promptly pay when due any fine or assessment against Landlord (if related to a breach of this Section 9.03 by Tenant), Tenant or the Premises relating to any violation of an environmental law during the term of this Lease. If a lien is filed against the Premises by any governmental authority resulting from the need to expend or the actual expending of monies arising from an act or omission, whether intentional or unintentional, of Tenant, its agents, employees or invitees, or for which Tenant is responsible, resulting in the releasing, spilling, leaking, leaching, pumping, emitting, pouring, emptying or dumping of any Hazardous Material into the waters or onto land located within or without the State where the Premises is located, then Tenant shall, within thirty (30) days from the date that Tenant is first given notice that such lien has been placed against the Premises (or within such shorter period of time as may be specified by Landlord if such governmental authority has commenced steps to cause the Premises to be sold pursuant to such lien) either (i) pay the claim and remove the lien, or (ii) furnish a cash deposit, bond, or such other security with respect thereto as is satisfactory in all respects to Landlord and is sufficient to effect a complete discharge of such lien on the Premises. Landlord shall have the right, but not the obligation, without in any way limiting Landlord’s other rights and remedies under this Lease, to enter upon the Premises, or to take such other actions as it deems necessary or advisable, to investigate, clean up, remove or remediate any Hazardous Materials or contamination by Hazardous Materials present on, in, at, under or emanating from the Premises or the Property in violation of Tenant’s obligations under this Lease or under any laws regulating Hazardous Materials. Notwithstanding any other provision of this Lease. Landlord shall have the right, at its election, in its own name or as Tenant’s agent, to negotiate, defend, approve and appeal, at Tenant’s expense, any action taken or order issued by any governmental agency or authority with any governmental agency or</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9" w:name="page150"/>
    <w:bookmarkEnd w:id="149"/>
    <w:p>
      <w:pPr>
        <w:jc w:val="both"/>
        <w:spacing w:after="0" w:line="236" w:lineRule="auto"/>
        <w:rPr>
          <w:sz w:val="20"/>
          <w:szCs w:val="20"/>
          <w:color w:val="auto"/>
        </w:rPr>
      </w:pPr>
      <w:r>
        <w:rPr>
          <w:rFonts w:ascii="Times New Roman" w:cs="Times New Roman" w:eastAsia="Times New Roman" w:hAnsi="Times New Roman"/>
          <w:sz w:val="22"/>
          <w:szCs w:val="22"/>
          <w:color w:val="auto"/>
        </w:rPr>
        <w:t>authority against Tenant, Landlord or the Premises or Property relating to any Hazardous Materials or under any related law or the occurrence of any event or existence of any condition that would cause a breach of any of the covenants Set forth in this Section 9.03. Prior to or promptly after the expiration or termination of this Lease, Landlord may require an environmental audit of the Premises by a qualified environmental consultant. Tenant shall pay the costs of such an environmental audit and shall, at it sole cost and expense, take all actions recommended in such audit to remediate any environmental conditions. The provisions of this Section 9.03 shall survive the expiration or earlier termination of this Lease.</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Notwithstanding anything to the contrary contained in this Section 9.03, Landlord shall indemnify and hold Tenant harmless from and against claims, causes of action, costs and fees (including attorney’s fees and costs) arising out of the presence of Hazardous Materials on, in, at or under the Property and existing prior to the Lease Commencement Date.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9.04 </w:t>
      </w:r>
      <w:r>
        <w:rPr>
          <w:rFonts w:ascii="Times New Roman" w:cs="Times New Roman" w:eastAsia="Times New Roman" w:hAnsi="Times New Roman"/>
          <w:sz w:val="22"/>
          <w:szCs w:val="22"/>
          <w:b w:val="1"/>
          <w:bCs w:val="1"/>
          <w:color w:val="auto"/>
        </w:rPr>
        <w:t>Signs and Auctions</w:t>
      </w:r>
      <w:r>
        <w:rPr>
          <w:rFonts w:ascii="Times New Roman" w:cs="Times New Roman" w:eastAsia="Times New Roman" w:hAnsi="Times New Roman"/>
          <w:sz w:val="22"/>
          <w:szCs w:val="22"/>
          <w:color w:val="auto"/>
        </w:rPr>
        <w:t>. Tenant shall not place any signs on the Property without Landlord’s prior written consent.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Tenant shall not conduct or permit any auctions or sheriffs sales at the Property.</w:t>
      </w:r>
    </w:p>
    <w:p>
      <w:pPr>
        <w:spacing w:after="0" w:line="17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9.05 </w:t>
      </w:r>
      <w:r>
        <w:rPr>
          <w:rFonts w:ascii="Times New Roman" w:cs="Times New Roman" w:eastAsia="Times New Roman" w:hAnsi="Times New Roman"/>
          <w:sz w:val="22"/>
          <w:szCs w:val="22"/>
          <w:b w:val="1"/>
          <w:bCs w:val="1"/>
          <w:color w:val="auto"/>
        </w:rPr>
        <w:t>Landlord’s Access</w:t>
      </w:r>
      <w:r>
        <w:rPr>
          <w:rFonts w:ascii="Times New Roman" w:cs="Times New Roman" w:eastAsia="Times New Roman" w:hAnsi="Times New Roman"/>
          <w:sz w:val="22"/>
          <w:szCs w:val="22"/>
          <w:color w:val="auto"/>
        </w:rPr>
        <w:t>. Subject to reasonable notice under the circumstances (other than in the case of an emergency), with Tenant always having the complete ability to keep its business activities and materials confidential, Landlord or its agents may enter the Premises at all reasonable times to show the Premises to potential buyers, investors or tenants or other parties; to do any other act or to inspect and conduct tests in order to monitor Tenant’s compliance with all applicable environmental laws and all laws governing the presence and use of Hazardous Material; or for any other purpose Landlord deems necessary. Landlord shall give Tenant prior notice (which may be oral) of such entry, except in the case of an emergency, in which event Landlord shall make reasonable efforts to notify Tenant. Landlord may place customary “For Sale” or “For Lease” signs on the Premises.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10</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CONDITION AND MAINTENANCE OF PREMISES</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10.01 </w:t>
      </w:r>
      <w:r>
        <w:rPr>
          <w:rFonts w:ascii="Times New Roman" w:cs="Times New Roman" w:eastAsia="Times New Roman" w:hAnsi="Times New Roman"/>
          <w:sz w:val="22"/>
          <w:szCs w:val="22"/>
          <w:b w:val="1"/>
          <w:bCs w:val="1"/>
          <w:color w:val="auto"/>
        </w:rPr>
        <w:t>Existing Conditions</w:t>
      </w:r>
      <w:r>
        <w:rPr>
          <w:rFonts w:ascii="Times New Roman" w:cs="Times New Roman" w:eastAsia="Times New Roman" w:hAnsi="Times New Roman"/>
          <w:sz w:val="22"/>
          <w:szCs w:val="22"/>
          <w:color w:val="auto"/>
        </w:rPr>
        <w:t xml:space="preserve">. Subject in all events to Landlord’s successful completion of Landlord’s Work as set forth in the Work Letter attached hereto as </w:t>
      </w:r>
      <w:r>
        <w:rPr>
          <w:rFonts w:ascii="Times New Roman" w:cs="Times New Roman" w:eastAsia="Times New Roman" w:hAnsi="Times New Roman"/>
          <w:sz w:val="22"/>
          <w:szCs w:val="22"/>
          <w:b w:val="1"/>
          <w:bCs w:val="1"/>
          <w:color w:val="auto"/>
        </w:rPr>
        <w:t>Exhibit D</w:t>
      </w:r>
      <w:r>
        <w:rPr>
          <w:rFonts w:ascii="Times New Roman" w:cs="Times New Roman" w:eastAsia="Times New Roman" w:hAnsi="Times New Roman"/>
          <w:sz w:val="22"/>
          <w:szCs w:val="22"/>
          <w:color w:val="auto"/>
        </w:rPr>
        <w:t xml:space="preserve">, Tenant shall accept the Property and the Premises in the condition described in the Work Letter and the plans generated in accordance therewith, as of the Lease Commencement Date, subject to all recorded matters, laws, ordinances, and governmental regulations and orders. Except as provided herein, Tenant acknowledges that neither Landlord nor any agent of Landlord has made any representation as to the condition of the Property or the suitability of the Property for Tenant’s intended use. Tenant represents and warrants that Tenant has made its own inspection of and inquiry regarding the condition of the Property and is not relying on any representations of Landlord or any Broker with respect thereto. Tenant agrees to execute promptly a Commencement Letter and Acceptance of the Premises in the form set forth in </w:t>
      </w:r>
      <w:r>
        <w:rPr>
          <w:rFonts w:ascii="Times New Roman" w:cs="Times New Roman" w:eastAsia="Times New Roman" w:hAnsi="Times New Roman"/>
          <w:sz w:val="22"/>
          <w:szCs w:val="22"/>
          <w:b w:val="1"/>
          <w:bCs w:val="1"/>
          <w:color w:val="auto"/>
        </w:rPr>
        <w:t>Exhibit E</w:t>
      </w:r>
      <w:r>
        <w:rPr>
          <w:rFonts w:ascii="Times New Roman" w:cs="Times New Roman" w:eastAsia="Times New Roman" w:hAnsi="Times New Roman"/>
          <w:sz w:val="22"/>
          <w:szCs w:val="22"/>
          <w:color w:val="auto"/>
        </w:rPr>
        <w:t xml:space="preserve"> to this Lease.</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10.02 </w:t>
      </w:r>
      <w:r>
        <w:rPr>
          <w:rFonts w:ascii="Times New Roman" w:cs="Times New Roman" w:eastAsia="Times New Roman" w:hAnsi="Times New Roman"/>
          <w:sz w:val="22"/>
          <w:szCs w:val="22"/>
          <w:b w:val="1"/>
          <w:bCs w:val="1"/>
          <w:color w:val="auto"/>
        </w:rPr>
        <w:t>Exemption of Landlord from Liability</w:t>
      </w:r>
      <w:r>
        <w:rPr>
          <w:rFonts w:ascii="Times New Roman" w:cs="Times New Roman" w:eastAsia="Times New Roman" w:hAnsi="Times New Roman"/>
          <w:sz w:val="22"/>
          <w:szCs w:val="22"/>
          <w:color w:val="auto"/>
        </w:rPr>
        <w:t>. Tenant shall insure its personal property under an all risk full replacement cost property insurance policy as provided in Section 7.04. Landlord shall not be liable for any damage or injury to the person, business (or any loss of income therefrom), goods, wares, merchandise or other property of Tenant. Tenant’s employees, invitees, customers or any other person or about the Property, whether such damage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0" w:name="page151"/>
    <w:bookmarkEnd w:id="150"/>
    <w:p>
      <w:pPr>
        <w:jc w:val="both"/>
        <w:spacing w:after="0" w:line="235" w:lineRule="auto"/>
        <w:rPr>
          <w:sz w:val="20"/>
          <w:szCs w:val="20"/>
          <w:color w:val="auto"/>
        </w:rPr>
      </w:pPr>
      <w:r>
        <w:rPr>
          <w:rFonts w:ascii="Times New Roman" w:cs="Times New Roman" w:eastAsia="Times New Roman" w:hAnsi="Times New Roman"/>
          <w:sz w:val="22"/>
          <w:szCs w:val="22"/>
          <w:color w:val="auto"/>
        </w:rPr>
        <w:t>or injury is caused by or results from: (a) fire, steam, electricity, water, gas or rain; (b) the breakage, leakage, obstruction or other defects of pipes, sprinklers, wires, appliances, plumbing, air conditioning or lighting fixtures or any other cause; (c) conditions arising in or about Property, or from other sources or places; or (d) any act or omission of any other tenant of the Property. Tenant shall give Landlord prompt notice upon the occurrence of any accident or casualty at the Premises. Landlord shall not be liable for any such damage or injury even though the cause of or the means of repairing such damage or injury are not accessible to Tenant. The provisions of this Section 10.02 shall not, however, exempt Landlord from liability for Landlord’s gross negligence or willful misconduct.</w:t>
      </w:r>
    </w:p>
    <w:p>
      <w:pPr>
        <w:spacing w:after="0" w:line="17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 xml:space="preserve">10.03 </w:t>
      </w:r>
      <w:r>
        <w:rPr>
          <w:rFonts w:ascii="Times New Roman" w:cs="Times New Roman" w:eastAsia="Times New Roman" w:hAnsi="Times New Roman"/>
          <w:sz w:val="21"/>
          <w:szCs w:val="21"/>
          <w:b w:val="1"/>
          <w:bCs w:val="1"/>
          <w:color w:val="auto"/>
        </w:rPr>
        <w:t>Landlord’s Obligations</w:t>
      </w:r>
      <w:r>
        <w:rPr>
          <w:rFonts w:ascii="Times New Roman" w:cs="Times New Roman" w:eastAsia="Times New Roman" w:hAnsi="Times New Roman"/>
          <w:sz w:val="21"/>
          <w:szCs w:val="21"/>
          <w:color w:val="auto"/>
        </w:rPr>
        <w:t>. Subject to the provisions of Article Eleven (Damage or Destruction) and Article Twelve (Condemnation), and except for damage caused by any act or omission of Tenant, or Tenant’s employees, agents, contractors or invitees. Landlord shall keep the foundation, roof, building systems (other than the heating, ventilating and air conditioning system serving only the Premises), structural supports and exterior walls of the improvements on the Property in good order, condition and repair. However, Landlord shall not be obligated to maintain or repair windows, doors, plate glass (whether interior or exterior) or the interior surfaces of walls of the Premises. Tenant shall promptly (but in no event not less than five (5) days, except in the event of an emergency, when notice shall be given immediately) report in writing to Landlord any defective condition known to it which Landlord is required to repair. If further damage is caused as a result of Tenant’s failure to notify Landlord as set forth herein of any defective condition, then Tenant shall be responsible for the cost of the repair of such further damage. Tenant hereby waives the benefit of any present or future law which provides Tenant the right to repair the Premises or Property at Landlord’s expense or to terminate this Lease because of the condition of the Property or Premises.</w:t>
      </w:r>
    </w:p>
    <w:p>
      <w:pPr>
        <w:spacing w:after="0" w:line="177"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10.04</w:t>
      </w:r>
      <w:r>
        <w:rPr>
          <w:sz w:val="20"/>
          <w:szCs w:val="20"/>
          <w:color w:val="auto"/>
        </w:rPr>
        <w:tab/>
      </w:r>
      <w:r>
        <w:rPr>
          <w:rFonts w:ascii="Times New Roman" w:cs="Times New Roman" w:eastAsia="Times New Roman" w:hAnsi="Times New Roman"/>
          <w:sz w:val="21"/>
          <w:szCs w:val="21"/>
          <w:b w:val="1"/>
          <w:bCs w:val="1"/>
          <w:color w:val="auto"/>
        </w:rPr>
        <w:t>Tenant’s Obligations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760" w:firstLine="745"/>
        <w:spacing w:after="0" w:line="245" w:lineRule="auto"/>
        <w:tabs>
          <w:tab w:leader="none" w:pos="1995"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Repair and Maintenance</w:t>
      </w:r>
      <w:r>
        <w:rPr>
          <w:rFonts w:ascii="Times New Roman" w:cs="Times New Roman" w:eastAsia="Times New Roman" w:hAnsi="Times New Roman"/>
          <w:sz w:val="21"/>
          <w:szCs w:val="21"/>
          <w:color w:val="auto"/>
        </w:rPr>
        <w:t>. Tenant shall keep all portions of the Premises (including systems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equipment) and the heating, ventilating and air conditioning system in good order, condition and repair (including repainting and refinishing, as needed). If any portion of the Premises or any system or equipment in the Premises which Tenant shall be obligated to repair cannot be fully repaired or restored, Tenant shall, in Tenant’s and its service providers’ discretion, promptly replace or repair, as the case may be, such portion of the Premises or system or equipment. If applicable. Tenant shall maintain a preventive maintenance contract providing for the regular inspection and maintenance of the heating and air conditioning system by a heating and air conditioning contractor, such contract and such contractor to be approved by Landlord. Landlord shall have the right, upon written notice to Tenant, to undertake the responsibility for maintenance of the heating and air conditioning system at Tenant’s expense. Landlord shall, at Tenant’s expense, repair any damage to the portions of the Property Landlord shall be required to maintain caused by Tenant’s acts or omissions. In the event Tenant makes repairs or replacements to systems within the Premises, Tenant shall deliver written evidence, including detail of the work completed, of such repair or replacement to Landlord.</w:t>
      </w:r>
    </w:p>
    <w:p>
      <w:pPr>
        <w:spacing w:after="0" w:line="173" w:lineRule="exact"/>
        <w:rPr>
          <w:rFonts w:ascii="Times New Roman" w:cs="Times New Roman" w:eastAsia="Times New Roman" w:hAnsi="Times New Roman"/>
          <w:sz w:val="21"/>
          <w:szCs w:val="21"/>
          <w:color w:val="auto"/>
        </w:rPr>
      </w:pPr>
    </w:p>
    <w:p>
      <w:pPr>
        <w:jc w:val="both"/>
        <w:ind w:left="760" w:firstLine="745"/>
        <w:spacing w:after="0" w:line="241" w:lineRule="auto"/>
        <w:tabs>
          <w:tab w:leader="none" w:pos="194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Tenant’s Expense</w:t>
      </w:r>
      <w:r>
        <w:rPr>
          <w:rFonts w:ascii="Times New Roman" w:cs="Times New Roman" w:eastAsia="Times New Roman" w:hAnsi="Times New Roman"/>
          <w:sz w:val="22"/>
          <w:szCs w:val="22"/>
          <w:color w:val="auto"/>
        </w:rPr>
        <w:t>. Tenant shall fulfill all of Tenant’s obligations under this Section 10.04 at Tenant’s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expense. If Tenant shall fail to maintain, repair or replace the Premises as required by this Section 10.04, Landlord may, upon ten (10) days’ prior notice to Tenant (except that no notice shall be required in the case of an emergency), enter the Premises and perform such maintenance or repair (including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1" w:name="page152"/>
    <w:bookmarkEnd w:id="151"/>
    <w:p>
      <w:pPr>
        <w:ind w:left="760"/>
        <w:spacing w:after="0" w:line="258" w:lineRule="auto"/>
        <w:rPr>
          <w:sz w:val="20"/>
          <w:szCs w:val="20"/>
          <w:color w:val="auto"/>
        </w:rPr>
      </w:pPr>
      <w:r>
        <w:rPr>
          <w:rFonts w:ascii="Times New Roman" w:cs="Times New Roman" w:eastAsia="Times New Roman" w:hAnsi="Times New Roman"/>
          <w:sz w:val="22"/>
          <w:szCs w:val="22"/>
          <w:color w:val="auto"/>
        </w:rPr>
        <w:t>replacement, as needed) on behalf of Tenant. In such case, Tenant shall reimburse Landlord for all costs reasonably incurred in performing such maintenance, repair or replacement immediately upon demand.</w:t>
      </w:r>
    </w:p>
    <w:p>
      <w:pPr>
        <w:spacing w:after="0" w:line="154"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10.05</w:t>
      </w:r>
      <w:r>
        <w:rPr>
          <w:sz w:val="20"/>
          <w:szCs w:val="20"/>
          <w:color w:val="auto"/>
        </w:rPr>
        <w:tab/>
      </w:r>
      <w:r>
        <w:rPr>
          <w:rFonts w:ascii="Times New Roman" w:cs="Times New Roman" w:eastAsia="Times New Roman" w:hAnsi="Times New Roman"/>
          <w:sz w:val="21"/>
          <w:szCs w:val="21"/>
          <w:b w:val="1"/>
          <w:bCs w:val="1"/>
          <w:color w:val="auto"/>
        </w:rPr>
        <w:t>Alterations, Additions, and Improvements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760" w:firstLine="745"/>
        <w:spacing w:after="0" w:line="244" w:lineRule="auto"/>
        <w:tabs>
          <w:tab w:leader="none" w:pos="1954"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Tenant’s Work</w:t>
      </w:r>
      <w:r>
        <w:rPr>
          <w:rFonts w:ascii="Times New Roman" w:cs="Times New Roman" w:eastAsia="Times New Roman" w:hAnsi="Times New Roman"/>
          <w:sz w:val="21"/>
          <w:szCs w:val="21"/>
          <w:color w:val="auto"/>
        </w:rPr>
        <w:t>. Tenant shall not make any installations, alterations, additions, or improvements in or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Premises, except for non-structural interior alterations, additions or improvements which cost less than $25,000.00, without obtaining Landlord’s prior written consent, which will not be unreasonably withheld. Any such work so approved by Landlord shall be performed only in accordance with plans and specifications therefor approved by Landlord. Tenant shall procure at Tenant’s sole expense all necessary permits and licenses before undertaking any work on the Premises and shall perform all such work in a good and workmanlike manner employing materials of good quality and so as to conform with all applicable zoning, building, fire, health and other codes, regulations, ordinances and laws and with all applicable insurance requirements. If requested by Landlord, Tenant shall furnish to Landlord prior to commencement of any such work a bond or other security acceptable to Landlord assuring that any work by Tenant will be completed in accordance with the approved plans and specifications and that all subcontractors will be paid. Tenant shall employ for such work only contractors approved by Landlord (such approval not to be unreasonably withheld) and shall require all contractors employed by Tenant to carry worker’s compensation insurance in accordance with statutory requirements and commercial general liability insurance covering such contractors on or about the Premises with a combined single limit not less than $2,000,000 and shall submit certificates evidencing such coverage to Landlord prior to the commencement of such work. Tenant shall indemnify and hold harmless Landlord from all injury, loss, claims or damage to any person or property occasioned by or growing out of such work. Landlord may inspect the work of Tenant at reasonable times and given notice of observed defects. Upon completion of any such work, Tenant shall provide Landlord with “as built” plans, copies of all construction contracts and proof of payment for all labor and materials.</w:t>
      </w:r>
    </w:p>
    <w:p>
      <w:pPr>
        <w:spacing w:after="0" w:line="170" w:lineRule="exact"/>
        <w:rPr>
          <w:rFonts w:ascii="Times New Roman" w:cs="Times New Roman" w:eastAsia="Times New Roman" w:hAnsi="Times New Roman"/>
          <w:sz w:val="21"/>
          <w:szCs w:val="21"/>
          <w:color w:val="auto"/>
        </w:rPr>
      </w:pPr>
    </w:p>
    <w:p>
      <w:pPr>
        <w:jc w:val="both"/>
        <w:ind w:left="760" w:firstLine="745"/>
        <w:spacing w:after="0" w:line="265" w:lineRule="exact"/>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Liens</w:t>
      </w:r>
      <w:r>
        <w:rPr>
          <w:rFonts w:ascii="Times New Roman" w:cs="Times New Roman" w:eastAsia="Times New Roman" w:hAnsi="Times New Roman"/>
          <w:sz w:val="22"/>
          <w:szCs w:val="22"/>
          <w:color w:val="auto"/>
        </w:rPr>
        <w:t>. Tenant shall pay when due all claims for labor and material furnished to the Premises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all times keep the Property free from liens for labor and materials. Tenant shall give Landlord at least twenty (20) days’ prior written notice of the commencement of any work on the Premises, regardless of whether Landlord’s consent to such work is required. Landlord may record and post notices of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responsibility on the Premises.</w:t>
      </w:r>
    </w:p>
    <w:p>
      <w:pPr>
        <w:spacing w:after="0" w:line="14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10.06 </w:t>
      </w:r>
      <w:r>
        <w:rPr>
          <w:rFonts w:ascii="Times New Roman" w:cs="Times New Roman" w:eastAsia="Times New Roman" w:hAnsi="Times New Roman"/>
          <w:sz w:val="22"/>
          <w:szCs w:val="22"/>
          <w:b w:val="1"/>
          <w:bCs w:val="1"/>
          <w:color w:val="auto"/>
        </w:rPr>
        <w:t>Condition Upon Termination</w:t>
      </w:r>
      <w:r>
        <w:rPr>
          <w:rFonts w:ascii="Times New Roman" w:cs="Times New Roman" w:eastAsia="Times New Roman" w:hAnsi="Times New Roman"/>
          <w:sz w:val="22"/>
          <w:szCs w:val="22"/>
          <w:color w:val="auto"/>
        </w:rPr>
        <w:t>. Upon the expiration or termination of this Lease, Tenant shall surrender the Premises to Landlord broom clean and in the condition which Tenant shall have been required to maintain the Premises under this Lease. Tenant shall not be obligated to repair any damage which Landlord is required to repair under Article Eleven (Damage or Destruction). Except for improvements made prior to the Commencement Date, Landlord may require Tenant to remove any alterations, additions or improvements (whether or not made with Landlord’s consent) prior to the expiration of this Lease and to restore the Premises to their prior condition, all at Tenant’s expense. With respect to any alterations, additions or improvements which require Landlord’s approval, at the time of such approval, Landlord shall specify if Tenant shall not be required to remove the same, and such items shall become Landlord’s property and shall be surrendered to Landlord upon the expiration or earlier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2" w:name="page153"/>
    <w:bookmarkEnd w:id="152"/>
    <w:p>
      <w:pPr>
        <w:jc w:val="both"/>
        <w:spacing w:after="0" w:line="235" w:lineRule="auto"/>
        <w:rPr>
          <w:sz w:val="20"/>
          <w:szCs w:val="20"/>
          <w:color w:val="auto"/>
        </w:rPr>
      </w:pPr>
      <w:r>
        <w:rPr>
          <w:rFonts w:ascii="Times New Roman" w:cs="Times New Roman" w:eastAsia="Times New Roman" w:hAnsi="Times New Roman"/>
          <w:sz w:val="22"/>
          <w:szCs w:val="22"/>
          <w:color w:val="auto"/>
        </w:rPr>
        <w:t>termination of this Lease, except that Tenant may remove any of Tenant’s machinery or equipment which can be removed without damage to the Property. Tenant shall repair, at Tenant’s expense, any damage to the Property caused by the removal of any such machinery or equipment. In no event, however, shall Tenant remove any of the following materials or equipment (which shall be deemed Landlord’s property), without Landlord’s prior written consent; unless the same shall have been installed by Tenant at its expense: any power wiring or wiring panels; lighting or lighting fixtures; wall coverings; drapes, blinds or other window coverings; carpets or other floor coverings; heaters, air conditioners or any other heating or air conditioning equipment; fencing or security gates; or other similar building operating equipment.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DAMAGE OR DESTRUCTION</w:t>
      </w:r>
    </w:p>
    <w:p>
      <w:pPr>
        <w:spacing w:after="0" w:line="206"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11.01</w:t>
      </w:r>
      <w:r>
        <w:rPr>
          <w:sz w:val="20"/>
          <w:szCs w:val="20"/>
          <w:color w:val="auto"/>
        </w:rPr>
        <w:tab/>
      </w:r>
      <w:r>
        <w:rPr>
          <w:rFonts w:ascii="Times New Roman" w:cs="Times New Roman" w:eastAsia="Times New Roman" w:hAnsi="Times New Roman"/>
          <w:sz w:val="21"/>
          <w:szCs w:val="21"/>
          <w:b w:val="1"/>
          <w:bCs w:val="1"/>
          <w:color w:val="auto"/>
        </w:rPr>
        <w:t>Damage to Premises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760" w:firstLine="745"/>
        <w:spacing w:after="0" w:line="234" w:lineRule="auto"/>
        <w:tabs>
          <w:tab w:leader="none" w:pos="194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Premises shall be destroyed or rendered untenantable, either wholly or in part, by fire or other casualty (“</w:t>
      </w:r>
      <w:r>
        <w:rPr>
          <w:rFonts w:ascii="Times New Roman" w:cs="Times New Roman" w:eastAsia="Times New Roman" w:hAnsi="Times New Roman"/>
          <w:sz w:val="22"/>
          <w:szCs w:val="22"/>
          <w:b w:val="1"/>
          <w:bCs w:val="1"/>
          <w:color w:val="auto"/>
        </w:rPr>
        <w:t>Casualty</w:t>
      </w:r>
      <w:r>
        <w:rPr>
          <w:rFonts w:ascii="Times New Roman" w:cs="Times New Roman" w:eastAsia="Times New Roman" w:hAnsi="Times New Roman"/>
          <w:sz w:val="22"/>
          <w:szCs w:val="22"/>
          <w:color w:val="auto"/>
        </w:rPr>
        <w:t>”), Tenant shall immediately notify Landlord in writing upon the occurrence of such Casualty. In the event of any Casualty, Landlord may elect either to (i) repair the damage caused by such casualty as soon as reasonably possible, in which case this Lease shall remain in full force and effect, or (ii) terminate this Lease as of the date the casualty occurred. Landlord shall notify Tenant within thirty (30) days after receipt of notice of the occurrence of the casualty whether Landlord elects to repair the damage or terminate this Lease. If Landlord shall elect to repair the damage, Tenant shall pay Landlord the portion of the “deductible amount” (if any) under Landlord’s insurance allocable to the damage to the Premises and, if the damage shall have been due to an act or omission of Tenant, or Tenant’s employees, agents, contractors or invitees, the difference between the actual cost of repair and any insurance proceeds received by Landlord.</w:t>
      </w:r>
    </w:p>
    <w:p>
      <w:pPr>
        <w:spacing w:after="0" w:line="179"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casualty to the Premises shall occur during the last six (6) months of the Lease Term and the damage shall be estimated by Landlord to require more than thirty (30) days to repair, either Landlord or Tenant may elect to terminate this Lease as of the date the casualty shall have occurred, regardless of the sufficiency of any insurance proceeds. The party electing to terminate this Lease shall give written notification to the other party of such election within ten (10) days after Tenant’s notice to Landlord of the occurrence of the casualty.</w:t>
      </w:r>
    </w:p>
    <w:p>
      <w:pPr>
        <w:spacing w:after="0" w:line="17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11.02 </w:t>
      </w:r>
      <w:r>
        <w:rPr>
          <w:rFonts w:ascii="Times New Roman" w:cs="Times New Roman" w:eastAsia="Times New Roman" w:hAnsi="Times New Roman"/>
          <w:sz w:val="22"/>
          <w:szCs w:val="22"/>
          <w:b w:val="1"/>
          <w:bCs w:val="1"/>
          <w:color w:val="auto"/>
        </w:rPr>
        <w:t>Temporary Reduction of Rent</w:t>
      </w:r>
      <w:r>
        <w:rPr>
          <w:rFonts w:ascii="Times New Roman" w:cs="Times New Roman" w:eastAsia="Times New Roman" w:hAnsi="Times New Roman"/>
          <w:sz w:val="22"/>
          <w:szCs w:val="22"/>
          <w:color w:val="auto"/>
        </w:rPr>
        <w:t>. If the Property shall be destroyed or damaged by casualty and Landlord shall determine to repair or restore the Property pursuant to the provisions of this Article Eleven, any Rent payable during the period of such damage, repair and/or restoration shall be reduced according to the degree, if any, to which Tenant’s use of the Premises shall be impaired. Except for such possible reduction in Base Rent, insurance premiums and Real Property Taxes, Tenant shall not be entitled to any compensation, reduction or reimbursement from Landlord as a result of any damage, destruction, repair, or restoration of the Property.</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11.03 </w:t>
      </w:r>
      <w:r>
        <w:rPr>
          <w:rFonts w:ascii="Times New Roman" w:cs="Times New Roman" w:eastAsia="Times New Roman" w:hAnsi="Times New Roman"/>
          <w:sz w:val="22"/>
          <w:szCs w:val="22"/>
          <w:b w:val="1"/>
          <w:bCs w:val="1"/>
          <w:color w:val="auto"/>
        </w:rPr>
        <w:t>Waiver</w:t>
      </w:r>
      <w:r>
        <w:rPr>
          <w:rFonts w:ascii="Times New Roman" w:cs="Times New Roman" w:eastAsia="Times New Roman" w:hAnsi="Times New Roman"/>
          <w:sz w:val="22"/>
          <w:szCs w:val="22"/>
          <w:color w:val="auto"/>
        </w:rPr>
        <w:t>. Tenant waives the protection of any statute, code or judicial decision which shall grant a tenant the right to terminate a lease in the event of the damage or destruction of the leased property and the provisions of this Article Eleven shall govern the rights and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2"/>
          <w:szCs w:val="22"/>
          <w:color w:val="auto"/>
        </w:rPr>
        <w:t>obligations of Landlord and Tenant in the event of any damage or destruction of or to the Property.</w:t>
      </w:r>
    </w:p>
    <w:p>
      <w:pPr>
        <w:spacing w:after="0" w:line="20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u w:val="single" w:color="auto"/>
          <w:color w:val="auto"/>
        </w:rPr>
        <w:t>ARTICLE 12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CONDEMNATION</w:t>
      </w:r>
    </w:p>
    <w:p>
      <w:pPr>
        <w:spacing w:after="0" w:line="9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12.01 </w:t>
      </w:r>
      <w:r>
        <w:rPr>
          <w:rFonts w:ascii="Times New Roman" w:cs="Times New Roman" w:eastAsia="Times New Roman" w:hAnsi="Times New Roman"/>
          <w:sz w:val="22"/>
          <w:szCs w:val="22"/>
          <w:b w:val="1"/>
          <w:bCs w:val="1"/>
          <w:color w:val="auto"/>
        </w:rPr>
        <w:t>Condemnation</w:t>
      </w:r>
      <w:r>
        <w:rPr>
          <w:rFonts w:ascii="Times New Roman" w:cs="Times New Roman" w:eastAsia="Times New Roman" w:hAnsi="Times New Roman"/>
          <w:sz w:val="22"/>
          <w:szCs w:val="22"/>
          <w:color w:val="auto"/>
        </w:rPr>
        <w:t>. If more than twenty percent (20%) of the floor area of the Premises or more than twenty-five percent (25%) of the parking on the Property shall be taken by eminent domain, either Landlord or Tenant may terminate this Lease as of the date the condemning authority takes title or possession, by delivering notice to the other within ten (10) days after receipt of written notice of such taking (or in the absence of such notice, within ten (10) days after the condemning authority shall take title or possession). If neither Landlord nor Tenant shall terminate this Lease, this Lease shall remain in effect as to the portion of the Premises not taken, except that the Base Rent shall be reduced in proportion to the reduction in the floor area of the Premises. If this Lease shall be terminated, any condemnation award or payment shall be distributed to the Landlord. Tenant shall have no claim against Landlord for the value of the unexpired lease term or otherwise. So long as it does not interfere with any claim made by Landlord against the condemning authority. Tenant shall be expressly permitted by the Landlord to make a claim to the condemning authority for moving expenses and the value of any leasehold fixtures or improvements paid for directly by Tenant.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13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ASSIGNMENT AND SUBLETTING</w:t>
      </w:r>
    </w:p>
    <w:p>
      <w:pPr>
        <w:spacing w:after="0" w:line="206" w:lineRule="exact"/>
        <w:rPr>
          <w:sz w:val="20"/>
          <w:szCs w:val="20"/>
          <w:color w:val="auto"/>
        </w:rPr>
      </w:pPr>
    </w:p>
    <w:p>
      <w:pPr>
        <w:jc w:val="both"/>
        <w:ind w:firstLine="749"/>
        <w:spacing w:after="0" w:line="261" w:lineRule="exact"/>
        <w:rPr>
          <w:sz w:val="20"/>
          <w:szCs w:val="20"/>
          <w:color w:val="auto"/>
        </w:rPr>
      </w:pPr>
      <w:r>
        <w:rPr>
          <w:rFonts w:ascii="Times New Roman" w:cs="Times New Roman" w:eastAsia="Times New Roman" w:hAnsi="Times New Roman"/>
          <w:sz w:val="22"/>
          <w:szCs w:val="22"/>
          <w:color w:val="auto"/>
        </w:rPr>
        <w:t xml:space="preserve">13.01 </w:t>
      </w:r>
      <w:r>
        <w:rPr>
          <w:rFonts w:ascii="Times New Roman" w:cs="Times New Roman" w:eastAsia="Times New Roman" w:hAnsi="Times New Roman"/>
          <w:sz w:val="22"/>
          <w:szCs w:val="22"/>
          <w:b w:val="1"/>
          <w:bCs w:val="1"/>
          <w:color w:val="auto"/>
        </w:rPr>
        <w:t>Landlord’s Consent Required</w:t>
      </w:r>
      <w:r>
        <w:rPr>
          <w:rFonts w:ascii="Times New Roman" w:cs="Times New Roman" w:eastAsia="Times New Roman" w:hAnsi="Times New Roman"/>
          <w:sz w:val="22"/>
          <w:szCs w:val="22"/>
          <w:color w:val="auto"/>
        </w:rPr>
        <w:t>. No portion of the Premises or of Tenant’s interest in this Lease shall be acquired by any other person or entity, whether by sale, assignment, mortgage, sublease, transfer, operation of law, or act of Tenant, without Landlord’s prior written consent, which consent shall be provided to Landlord at least thirty (30) days in advance. Landlord shall have the right to grant or withhold its consent as provided in Section 13.04 below. Any attempted transfer without consent shall be void and shall constitute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curable breach of this Lease.</w:t>
      </w:r>
    </w:p>
    <w:p>
      <w:pPr>
        <w:spacing w:after="0" w:line="14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13.02 </w:t>
      </w:r>
      <w:r>
        <w:rPr>
          <w:rFonts w:ascii="Times New Roman" w:cs="Times New Roman" w:eastAsia="Times New Roman" w:hAnsi="Times New Roman"/>
          <w:sz w:val="22"/>
          <w:szCs w:val="22"/>
          <w:b w:val="1"/>
          <w:bCs w:val="1"/>
          <w:color w:val="auto"/>
        </w:rPr>
        <w:t>No Release of Tenant</w:t>
      </w:r>
      <w:r>
        <w:rPr>
          <w:rFonts w:ascii="Times New Roman" w:cs="Times New Roman" w:eastAsia="Times New Roman" w:hAnsi="Times New Roman"/>
          <w:sz w:val="22"/>
          <w:szCs w:val="22"/>
          <w:color w:val="auto"/>
        </w:rPr>
        <w:t>. No assignment or transfer, including any transfer under Section 13.05 hereof, shall release Tenant or change Tenant’s primary liability to pay the Rent and to perform all other obligations of Tenant under this Lease. Landlord’s acceptance of Rent from any other person shall not be a waiver of any provision of this Article Thirteen. Consent to one transfer shall not be deemed a consent to any subsequent transfer or a waiver of the obligation to obtain consent on subsequent occasions. If Tenant’s assignee or transferee shall default under this Lease, Landlord may proceed directly against Tenant without pursuing remedies against the assignee or transferee. Landlord may consent to subsequent assignments or modifications of this Lease by Tenant’s transferee without notifying Tenant or obtaining its consent, and such action shall not release Tenant from any of its obligations or liabilities under this Lease as so assigned or modified.</w:t>
      </w:r>
    </w:p>
    <w:p>
      <w:pPr>
        <w:spacing w:after="0" w:line="1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13.03 </w:t>
      </w:r>
      <w:r>
        <w:rPr>
          <w:rFonts w:ascii="Times New Roman" w:cs="Times New Roman" w:eastAsia="Times New Roman" w:hAnsi="Times New Roman"/>
          <w:sz w:val="22"/>
          <w:szCs w:val="22"/>
          <w:b w:val="1"/>
          <w:bCs w:val="1"/>
          <w:color w:val="auto"/>
        </w:rPr>
        <w:t>Offer to Terminate</w:t>
      </w:r>
      <w:r>
        <w:rPr>
          <w:rFonts w:ascii="Times New Roman" w:cs="Times New Roman" w:eastAsia="Times New Roman" w:hAnsi="Times New Roman"/>
          <w:sz w:val="22"/>
          <w:szCs w:val="22"/>
          <w:color w:val="auto"/>
        </w:rPr>
        <w:t>. Except as provided in Section 13.05 below, Tenant shall desire to assign this Lease or sublease all or any part of the Premises, Tenant shall offer to Landlord in writing, the right to terminate this Lease as of the date specified in the offer. If Landlord shall elect in writing to accept the offer to terminate within twenty (20) days after receipt of notice of the offer, this Lease shall terminate as of the date specified in such offer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4" w:name="page155"/>
    <w:bookmarkEnd w:id="154"/>
    <w:p>
      <w:pPr>
        <w:jc w:val="both"/>
        <w:spacing w:after="0" w:line="258" w:lineRule="auto"/>
        <w:rPr>
          <w:sz w:val="20"/>
          <w:szCs w:val="20"/>
          <w:color w:val="auto"/>
        </w:rPr>
      </w:pPr>
      <w:r>
        <w:rPr>
          <w:rFonts w:ascii="Times New Roman" w:cs="Times New Roman" w:eastAsia="Times New Roman" w:hAnsi="Times New Roman"/>
          <w:sz w:val="22"/>
          <w:szCs w:val="22"/>
          <w:color w:val="auto"/>
        </w:rPr>
        <w:t>and all the terms and provisions of this Lease governing termination shall apply. If Landlord shall not so elect, Tenant shall then comply with the provisions of this Article Thirteen applicable to such assignment of sublease.</w:t>
      </w:r>
    </w:p>
    <w:p>
      <w:pPr>
        <w:spacing w:after="0" w:line="154"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13.04 </w:t>
      </w:r>
      <w:r>
        <w:rPr>
          <w:rFonts w:ascii="Times New Roman" w:cs="Times New Roman" w:eastAsia="Times New Roman" w:hAnsi="Times New Roman"/>
          <w:sz w:val="22"/>
          <w:szCs w:val="22"/>
          <w:b w:val="1"/>
          <w:bCs w:val="1"/>
          <w:color w:val="auto"/>
        </w:rPr>
        <w:t>Landlord’s Consent</w:t>
      </w:r>
      <w:r>
        <w:rPr>
          <w:rFonts w:ascii="Times New Roman" w:cs="Times New Roman" w:eastAsia="Times New Roman" w:hAnsi="Times New Roman"/>
          <w:sz w:val="22"/>
          <w:szCs w:val="22"/>
          <w:color w:val="auto"/>
        </w:rPr>
        <w:t>. Tenant’s request for consent under Section 13.01 shall set forth the details of the proposed sublease, assignment or transfer, including the name, business and financial condition of the prospective transferee, financial details of the proposed transaction (e.g., the term of and the rent and security deposit payable under any proposed assignment or sublease), and any other information Landlord deems relevant. Landlord shall have the right to withhold consent, reasonably exercised, or to grant consent, based on the following factors: (i) the business of the proposed assignee or subtenant and the proposed use of the Premises; (ii) the net worth and financial condition of the proposed assignee or subtenant; (iii) Tenant’s compliance with all of its obligations under this Lease; and (iv) such other factors as Landlord may reasonably deem relevant. So long as Section 13.05 does not apply, if Tenant shall assign or sublease, the following shall apply: Tenant shall pay to Landlord as Additional Rent fifty percent (50%) of the Proceeds (defined below) on such transaction (such amount being Landlord’s share) as and when received by Tenant, unless Landlord shall give notice to Tenant and the assignee or subtenant that Landlord’s Share shall be paid by the assignee or subtenant to Landlord directly. Proceeds shall mean (a) all rent and all fees and other consideration paid for or in respect of the assignment or sublease, including reasonable fees under any collateral agreements less (b) the rent and other sums payable under this Lease (in the case of a sublease of less than all of the Premises, allocable to the subleased premises) and all costs and expenses directly incurred by Tenant in connection with the execution and performance of such assignment or sublease for reasonable real estate broker’s commissions and reasonable costs of renovation or construction of tenant improvements required under such assignment or sublease. Tenant shall be entitled to recover such reasonable costs and expenses before Tenant shall be obligated to pay Landlord’s Share to Landlord. Tenant shall provide Landlord a written statement certifying all amounts to be paid from any assignment or sublease of the Premises within thirty (30) days after the transaction shall be signed and from time to time thereafter on Landlord’s request, and Landlord may inspect Tenant’s books and records to verify the accuracy of such statement. On written request, Tenant shall promptly furnish to Landlord copies of all the transaction documentation, all of which shall be certified by Tenant to be complete, true and correct. Tenant shall promptly reimburse Landlord for all legal costs and expenses incurred by Landlord in connection with a request for a sublease or assignment of this Lease.</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13.05 </w:t>
      </w:r>
      <w:r>
        <w:rPr>
          <w:rFonts w:ascii="Times New Roman" w:cs="Times New Roman" w:eastAsia="Times New Roman" w:hAnsi="Times New Roman"/>
          <w:sz w:val="22"/>
          <w:szCs w:val="22"/>
          <w:b w:val="1"/>
          <w:bCs w:val="1"/>
          <w:color w:val="auto"/>
        </w:rPr>
        <w:t>Assignment/Sublease to Affiliates</w:t>
      </w:r>
      <w:r>
        <w:rPr>
          <w:rFonts w:ascii="Times New Roman" w:cs="Times New Roman" w:eastAsia="Times New Roman" w:hAnsi="Times New Roman"/>
          <w:sz w:val="22"/>
          <w:szCs w:val="22"/>
          <w:color w:val="auto"/>
        </w:rPr>
        <w:t>. Notwithstanding anything in this Article 13 to the contrary, Tenant may assign this Lease or sublet all or any portion of the Premises without the prior written consent of Landlord to Tenant’s Affiliate (as hereinafter defined) provided that: (a) Tenant is not at such time, and such Affiliate on the effective date of such assignment or sublease will not be, in monetary or material non-monetary default hereunder; (b) such Affiliate shall execute an instrument in writing assuming by assignment the terms of this Lease or acknowledging that such sublease is subject and subordinate to all of the terms and conditions of this Lease; and (c) all documents and information required hereunder shall be delivered by Tenant to Landlord at least thirty (30) days prior to the effective date of such assignment or sublease, and (d) in the case of an assignment, such Affiliate has a Net Worth at least equal to or greater $10,000,000.00. For purposes of this Article 13, the term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shall mean (i) any corporation or other entity succeeding to Tenant’s business or a substantial part thereof whether by merger, consolidation or acquisition of the stock or assets of Tenant or otherwise, or (ii) any entity which controls, is controlled by, or is under common control with,</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5" w:name="page156"/>
    <w:bookmarkEnd w:id="155"/>
    <w:p>
      <w:pPr>
        <w:jc w:val="both"/>
        <w:spacing w:after="0" w:line="246" w:lineRule="auto"/>
        <w:rPr>
          <w:sz w:val="20"/>
          <w:szCs w:val="20"/>
          <w:color w:val="auto"/>
        </w:rPr>
      </w:pPr>
      <w:r>
        <w:rPr>
          <w:rFonts w:ascii="Times New Roman" w:cs="Times New Roman" w:eastAsia="Times New Roman" w:hAnsi="Times New Roman"/>
          <w:sz w:val="22"/>
          <w:szCs w:val="22"/>
          <w:color w:val="auto"/>
        </w:rPr>
        <w:t>the original named Tenant under this Lease. For purposes of this Article 13, the term “</w:t>
      </w:r>
      <w:r>
        <w:rPr>
          <w:rFonts w:ascii="Times New Roman" w:cs="Times New Roman" w:eastAsia="Times New Roman" w:hAnsi="Times New Roman"/>
          <w:sz w:val="22"/>
          <w:szCs w:val="22"/>
          <w:b w:val="1"/>
          <w:bCs w:val="1"/>
          <w:color w:val="auto"/>
        </w:rPr>
        <w:t>Net Worth</w:t>
      </w:r>
      <w:r>
        <w:rPr>
          <w:rFonts w:ascii="Times New Roman" w:cs="Times New Roman" w:eastAsia="Times New Roman" w:hAnsi="Times New Roman"/>
          <w:sz w:val="22"/>
          <w:szCs w:val="22"/>
          <w:color w:val="auto"/>
        </w:rPr>
        <w:t>” with respect to any entity shall mean the value of its assets plus equity, less liabilities, with the book carrying value of any preferred stock included as part of equity.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14</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DEFAULTS AND REMEDIES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14.01 </w:t>
      </w:r>
      <w:r>
        <w:rPr>
          <w:rFonts w:ascii="Times New Roman" w:cs="Times New Roman" w:eastAsia="Times New Roman" w:hAnsi="Times New Roman"/>
          <w:sz w:val="22"/>
          <w:szCs w:val="22"/>
          <w:b w:val="1"/>
          <w:bCs w:val="1"/>
          <w:color w:val="auto"/>
        </w:rPr>
        <w:t>Covenants and Conditions</w:t>
      </w:r>
      <w:r>
        <w:rPr>
          <w:rFonts w:ascii="Times New Roman" w:cs="Times New Roman" w:eastAsia="Times New Roman" w:hAnsi="Times New Roman"/>
          <w:sz w:val="22"/>
          <w:szCs w:val="22"/>
          <w:color w:val="auto"/>
        </w:rPr>
        <w:t>. Tenant’s performance of each of Tenant’s obligations under this Lease is a condition as well as a covenant. Tenant’s right to continue in possession of the Premises is conditioned upon such performance. Time is of the essence in the performance by Tenant of all covenants and conditions.</w:t>
      </w:r>
    </w:p>
    <w:p>
      <w:pPr>
        <w:spacing w:after="0" w:line="167"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14.02</w:t>
      </w:r>
      <w:r>
        <w:rPr>
          <w:sz w:val="20"/>
          <w:szCs w:val="20"/>
          <w:color w:val="auto"/>
        </w:rPr>
        <w:tab/>
      </w:r>
      <w:r>
        <w:rPr>
          <w:rFonts w:ascii="Times New Roman" w:cs="Times New Roman" w:eastAsia="Times New Roman" w:hAnsi="Times New Roman"/>
          <w:sz w:val="21"/>
          <w:szCs w:val="21"/>
          <w:b w:val="1"/>
          <w:bCs w:val="1"/>
          <w:color w:val="auto"/>
        </w:rPr>
        <w:t>Defaults</w:t>
      </w:r>
      <w:r>
        <w:rPr>
          <w:rFonts w:ascii="Times New Roman" w:cs="Times New Roman" w:eastAsia="Times New Roman" w:hAnsi="Times New Roman"/>
          <w:sz w:val="21"/>
          <w:szCs w:val="21"/>
          <w:color w:val="auto"/>
        </w:rPr>
        <w:t>. Each of the following shall be an “Event of Default” under this Lease:</w:t>
      </w:r>
    </w:p>
    <w:p>
      <w:pPr>
        <w:spacing w:after="0" w:line="210" w:lineRule="exact"/>
        <w:rPr>
          <w:sz w:val="20"/>
          <w:szCs w:val="20"/>
          <w:color w:val="auto"/>
        </w:rPr>
      </w:pPr>
    </w:p>
    <w:p>
      <w:pPr>
        <w:ind w:left="760" w:right="20" w:firstLine="745"/>
        <w:spacing w:after="0" w:line="258" w:lineRule="auto"/>
        <w:tabs>
          <w:tab w:leader="none" w:pos="194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abandon the Premises: provided, however, cessation of business activities shall not constitute a default so long as Tenant abides by its other obligations herein;</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fail to pay Rent or any other sum payable under this Lease within five (5) days after it is due;</w:t>
      </w:r>
    </w:p>
    <w:p>
      <w:pPr>
        <w:spacing w:after="0" w:line="217" w:lineRule="exact"/>
        <w:rPr>
          <w:rFonts w:ascii="Times New Roman" w:cs="Times New Roman" w:eastAsia="Times New Roman" w:hAnsi="Times New Roman"/>
          <w:sz w:val="21"/>
          <w:szCs w:val="21"/>
          <w:color w:val="auto"/>
        </w:rPr>
      </w:pPr>
    </w:p>
    <w:p>
      <w:pPr>
        <w:jc w:val="both"/>
        <w:ind w:left="760" w:firstLine="745"/>
        <w:spacing w:after="0" w:line="239" w:lineRule="auto"/>
        <w:tabs>
          <w:tab w:leader="none" w:pos="194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fail to perform any of Tenant’s other obligations under this Lease and such failure shall continue for a period of thirty (30) days after notice from Landlord; provided that if more than thirty (30) days shall be required to complete such performance, Tenant shall not be in default if Tenant shall commence such performance within the thirty (30) day period and shall thereafter diligently pursue its completion.</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194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Tenant shall make a general assignment or general arrangement for the benefit of creditors; (ii) a petition for adjudication of bankruptcy or for reorganization or rearrangement shall be filed by or against Tenant and shall not be dismissed within sixty (60) days; (iii) a trustee or receiver shall be appointed to take possession of substantially all of Tenant’s assets located at the Premises or Tenant’s interest in this Lease and possession shall be subjected to attachment, execution or other judicial seizure which shall not be discharged within sixty (60) days. If a court of competent jurisdiction shall determine that any of the acts described in this Subsection (d) is not a default under this Lease, and a trustee shall be appointed to take possession (or if Tenant shall remain a debtor in possession) and such trustee or Tenant shall assign, sublease, or transfer Tenant’s interest hereunder, then Landlord shall receive, as Additional Rent, the excess, if any, of the rent (or any other consideration) paid in connection with such assignment, transfer or sublease over the rent payable by Tenant under this Lease.</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14.03 </w:t>
      </w:r>
      <w:r>
        <w:rPr>
          <w:rFonts w:ascii="Times New Roman" w:cs="Times New Roman" w:eastAsia="Times New Roman" w:hAnsi="Times New Roman"/>
          <w:sz w:val="22"/>
          <w:szCs w:val="22"/>
          <w:b w:val="1"/>
          <w:bCs w:val="1"/>
          <w:color w:val="auto"/>
        </w:rPr>
        <w:t>Remedies</w:t>
      </w:r>
      <w:r>
        <w:rPr>
          <w:rFonts w:ascii="Times New Roman" w:cs="Times New Roman" w:eastAsia="Times New Roman" w:hAnsi="Times New Roman"/>
          <w:sz w:val="22"/>
          <w:szCs w:val="22"/>
          <w:color w:val="auto"/>
        </w:rPr>
        <w:t>. On the occurrence of an Event of Default by Tenant, Landlord may, at any time thereafter, with or without notice or demand (except as provided in Section 14.02) and without limiting Landlord in the exercise of any right or remedy which Landlord may have:</w:t>
      </w:r>
    </w:p>
    <w:p>
      <w:pPr>
        <w:spacing w:after="0" w:line="171" w:lineRule="exact"/>
        <w:rPr>
          <w:sz w:val="20"/>
          <w:szCs w:val="20"/>
          <w:color w:val="auto"/>
        </w:rPr>
      </w:pPr>
    </w:p>
    <w:p>
      <w:pPr>
        <w:jc w:val="both"/>
        <w:ind w:left="760" w:firstLine="749"/>
        <w:spacing w:after="0" w:line="261" w:lineRule="auto"/>
        <w:rPr>
          <w:sz w:val="20"/>
          <w:szCs w:val="20"/>
          <w:color w:val="auto"/>
        </w:rPr>
      </w:pPr>
      <w:r>
        <w:rPr>
          <w:rFonts w:ascii="Times New Roman" w:cs="Times New Roman" w:eastAsia="Times New Roman" w:hAnsi="Times New Roman"/>
          <w:sz w:val="21"/>
          <w:szCs w:val="21"/>
          <w:color w:val="auto"/>
        </w:rPr>
        <w:t>Terminate this Lease by written notice to Tenant or by entry, at Landlord’s option. Tenant shall then immediately quit and surrender the Premises to Landlord, but Tenant shall remain liable as hereinafter provided. Following termination, without prejudice to other remedies Landlord may have by reason of Tenant’s default or of such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6" w:name="page157"/>
    <w:bookmarkEnd w:id="156"/>
    <w:p>
      <w:pPr>
        <w:jc w:val="both"/>
        <w:spacing w:after="0" w:line="245" w:lineRule="exact"/>
        <w:rPr>
          <w:sz w:val="20"/>
          <w:szCs w:val="20"/>
          <w:color w:val="auto"/>
        </w:rPr>
      </w:pPr>
      <w:r>
        <w:rPr>
          <w:rFonts w:ascii="Times New Roman" w:cs="Times New Roman" w:eastAsia="Times New Roman" w:hAnsi="Times New Roman"/>
          <w:sz w:val="22"/>
          <w:szCs w:val="22"/>
          <w:color w:val="auto"/>
        </w:rPr>
        <w:t>termination, Landlord may (i) peaceably reenter the Premises upon voluntary surrender by Tenant or remove Tenant therefrom and any other persons occupying the Premises, using such legal proceedings as may be available; (ii) repossess the Premises or relet the Premises or any part thereof for such term (which may be for a term extending beyond the Lease Term), at such rental and upon such other terms and conditions as Landlord in Landlord’s sole discretion shall determine, with the right to make alterations and repairs to the Premises; and (iii) remove all personal property therefrom. Following termination, Landlord shall have all the rights and remedies of a landlord provided at law and in equity. The amount of damages Tenant shall pay to Landlord following termination shall include all Rent unpaid up to the termination of this Lease, costs and expenses incurred by Landlord due to such Event of Default and, in addition, Tenant shall pay to Landlord as damages, at the election of Landlord (if Landlord shall elect subsection (y) below, it may cease such election at any time), either (x) the discounted present value (at the then one year Treasury Bill rate) of the aggregate Rent and other charges due during the period commencing with such termination and ending on the expiration date of this Lease, or (y) amounts equal to the Rent and other charges payable by Tenant as they accrue on the due dates therefor specified herein following such termination and until the expiration date of this Lease, provided, however, that if Landlord shall re-let the Premises during such period, Landlord shall credit Tenant with the net rents received by Landlord from such reletting, such net rents to be determined by first deducting from the gross rents as and when received by Landlord from such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letting the expenses incurred or paid by Landlord in terminating this Lease, and the expenses of re-letting, including, without limitation, altering and preparing the Premises for new tenants, brokers’ commissions, legal fees and all other similar and dissimilar expenses properly chargeable against the Premises and the rental therefrom, it being understood that any such re-letting may be for a period equal to or shorter or longer than the remaining Lease Term; and provided, further, that (i) in the no event shall Tenant be entitled to receive any excess of such net rents over the sums payable by Tenant to Landlord hereunder and (ii) in no event shall Tenant be entitled in any suit for the collection of damages pursuant to this subsection (y) to a credit in respect of any net rents from a re-letting except to the extent that such net rents are actually received by Landlord prior to the commencement of such suit. If the Premises or any part thereof should be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let in combination with other space, then proper apportionment on a square foot area basis shall be made of the rent received from such re-letting and of the expenses of re-letting. In calculating the Rent and other charges under subsection (x) above, there shall be included, in addition to the Rent other considerations agreed to be paid or performed by Tenant, on the assumption that all such considerations would have remained constant (except as herein otherwise provided) for the balance of the full Lease Term hereby granted. Landlord may, but need not, re-let the Premises or any part thereof for such rent and on such terms as it shall determine (including the right to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let the Premises for a greater or lesser term than the Lease Term, the right to 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let the Premises as part of a larger area and the right to change the character or use made of the Premises). Suit or suits for the recovery of such damages, or any installments thereof, may be brought by Landlord from time to time at its election, and nothing contained herein shall be deemed to require Landlord to postpone suit until the date when the Lease Term would have expired if it had not been terminated hereunder. In lieu of any other damages or indemnity and in lieu of full recovery by Landlord of all sums payable under the foregoing provisions of this Section 14.03(a), Landlord may, by notice to Tenant, at any time after this Lease shall be terminated under this Article Fourteen or shall be otherwise terminated for an Event of Default and before such full</w:t>
      </w:r>
    </w:p>
    <w:p>
      <w:pPr>
        <w:spacing w:after="0" w:line="200" w:lineRule="exact"/>
        <w:rPr>
          <w:sz w:val="20"/>
          <w:szCs w:val="20"/>
          <w:color w:val="auto"/>
        </w:rPr>
      </w:pPr>
    </w:p>
    <w:p>
      <w:pPr>
        <w:spacing w:after="0" w:line="26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572770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57" w:name="page158"/>
    <w:bookmarkEnd w:id="157"/>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recovery, elect to recover, and Tenant shall thereupon pay, as liquidated damages, an amount equal to the aggregate of the Base Rent and Additional Rent due for the twelve (12) months ended immediately prior to such termination plus the amount of Base Rent and Additional Rent of any kind accrued and unpaid at the time of termination.</w:t>
      </w:r>
    </w:p>
    <w:p>
      <w:pPr>
        <w:spacing w:after="0" w:line="173" w:lineRule="exact"/>
        <w:rPr>
          <w:sz w:val="20"/>
          <w:szCs w:val="20"/>
          <w:color w:val="auto"/>
        </w:rPr>
      </w:pPr>
    </w:p>
    <w:p>
      <w:pPr>
        <w:jc w:val="both"/>
        <w:ind w:left="760" w:firstLine="745"/>
        <w:spacing w:after="0" w:line="244" w:lineRule="auto"/>
        <w:tabs>
          <w:tab w:leader="none" w:pos="194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Tenant’s right to possession, in which case this Lease shall continue in effect whether or not Tenant has abandoned the Premises. In such event, Landlord shall be entitled to enforce all of Landlord’s rights and remedies under this Lease, including the right to recover the rent as it becomes due.</w:t>
      </w:r>
    </w:p>
    <w:p>
      <w:pPr>
        <w:spacing w:after="0" w:line="17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Pursue any other remedy now or hereafter available to Landlord under the laws or judicial decisions of the state in which the Property is located.</w:t>
      </w:r>
    </w:p>
    <w:p>
      <w:pPr>
        <w:spacing w:after="0" w:line="15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14.04 </w:t>
      </w:r>
      <w:r>
        <w:rPr>
          <w:rFonts w:ascii="Times New Roman" w:cs="Times New Roman" w:eastAsia="Times New Roman" w:hAnsi="Times New Roman"/>
          <w:sz w:val="22"/>
          <w:szCs w:val="22"/>
          <w:b w:val="1"/>
          <w:bCs w:val="1"/>
          <w:color w:val="auto"/>
        </w:rPr>
        <w:t>Automatic Termination, Damages</w:t>
      </w:r>
      <w:r>
        <w:rPr>
          <w:rFonts w:ascii="Times New Roman" w:cs="Times New Roman" w:eastAsia="Times New Roman" w:hAnsi="Times New Roman"/>
          <w:sz w:val="22"/>
          <w:szCs w:val="22"/>
          <w:color w:val="auto"/>
        </w:rPr>
        <w:t>. Notwithstanding any other term or provision hereof to the contrary, this Lease shall terminate on the occurrence of any act which affirms the Landlord’s intention to terminate this Lease as provided in Section 14.03 hereof, including the filing of an unlawful detainer action against Tenant. On any termination. Landlord’s damages for default shall include all costs and fees, including reasonable attorneys’ fees that Landlord shall incur in connection with the filing, commencement, pursuing and/or defending of any action in any bankruptcy court or other court with respect to this Lease, the obtaining of relief from any stay in bankruptcy restraining any action to evict Tenant, or the pursuing of any action with respect to Landlord’s right to possession of the Premises. All such damages suffered (apart from Base Rent and other Rent payable hereunder) shall constitute pecuniary damages which shall be reimbursed to Landlord prior to assumption of this Lease by Tenant or any successor to Tenant in any bankruptcy or other proceedings.</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14.05 </w:t>
      </w:r>
      <w:r>
        <w:rPr>
          <w:rFonts w:ascii="Times New Roman" w:cs="Times New Roman" w:eastAsia="Times New Roman" w:hAnsi="Times New Roman"/>
          <w:sz w:val="22"/>
          <w:szCs w:val="22"/>
          <w:b w:val="1"/>
          <w:bCs w:val="1"/>
          <w:color w:val="auto"/>
        </w:rPr>
        <w:t>Cumulative Remedies</w:t>
      </w:r>
      <w:r>
        <w:rPr>
          <w:rFonts w:ascii="Times New Roman" w:cs="Times New Roman" w:eastAsia="Times New Roman" w:hAnsi="Times New Roman"/>
          <w:sz w:val="22"/>
          <w:szCs w:val="22"/>
          <w:color w:val="auto"/>
        </w:rPr>
        <w:t>. Except as otherwise expressly provided herein, any and all rights and remedies which Landlord may have under this Lease and at law and equity shall be cumulative and shall not be deemed inconsistent with each other, and any two or more of all such rights and remedies may be exercised at the same time to the greatest extent permitted by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15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PROTECTION OF LENDERS</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15.01 </w:t>
      </w:r>
      <w:r>
        <w:rPr>
          <w:rFonts w:ascii="Times New Roman" w:cs="Times New Roman" w:eastAsia="Times New Roman" w:hAnsi="Times New Roman"/>
          <w:sz w:val="22"/>
          <w:szCs w:val="22"/>
          <w:b w:val="1"/>
          <w:bCs w:val="1"/>
          <w:color w:val="auto"/>
        </w:rPr>
        <w:t>Subordination</w:t>
      </w:r>
      <w:r>
        <w:rPr>
          <w:rFonts w:ascii="Times New Roman" w:cs="Times New Roman" w:eastAsia="Times New Roman" w:hAnsi="Times New Roman"/>
          <w:sz w:val="22"/>
          <w:szCs w:val="22"/>
          <w:color w:val="auto"/>
        </w:rPr>
        <w:t>. At Landlord’s election, this Lease shall be automatically subordinate to any ground lease, deed of trust or mortgage encumbering the Property, any advances made on the security thereof and any renewals, modifications, consolidations, replacements or extensions thereof, whenever made or recorded. Tenant shall cooperate with Landlord and any lender which shall acquire a security interest in the Property or this Lease. Tenant shall execute such further documents and assurances as such lender may reasonably require, provided that Tenant’s obligations under this Lease shall not be increased in any material way (the performance of ministerial acts shall not be deemed material), and Tenant shall not be deprived of its rights under this Lease. If any ground lessor, beneficiary or mortgagee elects to have this Lease prior to the lien of its ground lease, deed of trust or mortgage and gives written notice thereof to Tenant, this Lease shall be deemed prior to such ground lease, deed of trust or mortgage whether this Lease is dated prior or subsequent to the date of said ground lease, deed of trust or mortgage or the date of recording thereof.</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8" w:name="page159"/>
    <w:bookmarkEnd w:id="158"/>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15.02 </w:t>
      </w:r>
      <w:r>
        <w:rPr>
          <w:rFonts w:ascii="Times New Roman" w:cs="Times New Roman" w:eastAsia="Times New Roman" w:hAnsi="Times New Roman"/>
          <w:sz w:val="22"/>
          <w:szCs w:val="22"/>
          <w:b w:val="1"/>
          <w:bCs w:val="1"/>
          <w:color w:val="auto"/>
        </w:rPr>
        <w:t>Attornment</w:t>
      </w:r>
      <w:r>
        <w:rPr>
          <w:rFonts w:ascii="Times New Roman" w:cs="Times New Roman" w:eastAsia="Times New Roman" w:hAnsi="Times New Roman"/>
          <w:sz w:val="22"/>
          <w:szCs w:val="22"/>
          <w:color w:val="auto"/>
        </w:rPr>
        <w:t>. If Landlord’s interest in the Property is acquired by any ground lessor, beneficiary under a deed of trust, mortgagee, or purchaser at a foreclosure sale, Tenant shall attorn to the transferee of or successor to Landlord’s interest in the Property and recognize such transferee or successor as Landlord under this Lease. Tenant waives the protection of any statute or rule of law which shall give Tenant any right to terminate this Lease or surrender possession of the Premises upon the transfer of Landlord’s interest.</w:t>
      </w:r>
    </w:p>
    <w:p>
      <w:pPr>
        <w:spacing w:after="0" w:line="146" w:lineRule="exact"/>
        <w:rPr>
          <w:sz w:val="20"/>
          <w:szCs w:val="20"/>
          <w:color w:val="auto"/>
        </w:rPr>
      </w:pPr>
    </w:p>
    <w:p>
      <w:pPr>
        <w:jc w:val="both"/>
        <w:ind w:firstLine="749"/>
        <w:spacing w:after="0" w:line="268" w:lineRule="exact"/>
        <w:rPr>
          <w:sz w:val="20"/>
          <w:szCs w:val="20"/>
          <w:color w:val="auto"/>
        </w:rPr>
      </w:pPr>
      <w:r>
        <w:rPr>
          <w:rFonts w:ascii="Times New Roman" w:cs="Times New Roman" w:eastAsia="Times New Roman" w:hAnsi="Times New Roman"/>
          <w:sz w:val="22"/>
          <w:szCs w:val="22"/>
          <w:color w:val="auto"/>
        </w:rPr>
        <w:t xml:space="preserve">15.03 </w:t>
      </w:r>
      <w:r>
        <w:rPr>
          <w:rFonts w:ascii="Times New Roman" w:cs="Times New Roman" w:eastAsia="Times New Roman" w:hAnsi="Times New Roman"/>
          <w:sz w:val="22"/>
          <w:szCs w:val="22"/>
          <w:b w:val="1"/>
          <w:bCs w:val="1"/>
          <w:color w:val="auto"/>
        </w:rPr>
        <w:t>Signing of Documents</w:t>
      </w:r>
      <w:r>
        <w:rPr>
          <w:rFonts w:ascii="Times New Roman" w:cs="Times New Roman" w:eastAsia="Times New Roman" w:hAnsi="Times New Roman"/>
          <w:sz w:val="22"/>
          <w:szCs w:val="22"/>
          <w:color w:val="auto"/>
        </w:rPr>
        <w:t>. Within forty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five (45) days of the execution of this Lease, Landlord shall provide to Tenant a commercially reasonable form, acceptable to Landlord’s lender, of subordination,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disturbance and attornment agreement for Tenant’s review and execution. Further, each party to this Lease shall sign and deliver any additional instrument or documents necessary or appropriate to evidence the foregoing.</w:t>
      </w:r>
    </w:p>
    <w:p>
      <w:pPr>
        <w:spacing w:after="0" w:line="17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15.04 </w:t>
      </w:r>
      <w:r>
        <w:rPr>
          <w:rFonts w:ascii="Times New Roman" w:cs="Times New Roman" w:eastAsia="Times New Roman" w:hAnsi="Times New Roman"/>
          <w:sz w:val="22"/>
          <w:szCs w:val="22"/>
          <w:b w:val="1"/>
          <w:bCs w:val="1"/>
          <w:color w:val="auto"/>
        </w:rPr>
        <w:t>Estoppel Certificates</w:t>
      </w:r>
      <w:r>
        <w:rPr>
          <w:rFonts w:ascii="Times New Roman" w:cs="Times New Roman" w:eastAsia="Times New Roman" w:hAnsi="Times New Roman"/>
          <w:sz w:val="22"/>
          <w:szCs w:val="22"/>
          <w:color w:val="auto"/>
        </w:rPr>
        <w:t>. Within ten (10) days after Landlord’s request, Tenant shall execute, acknowledge and deliver to Landlord a written statement certifying: (i) that none of the terms or provisions of this Lease have been changed (or if they have been changed, stating how they have been changed); (ii) that this Lease has not been canceled or terminated; (iii) the last date of payment of the Base Rent and other charges and the time period covered by such payment; (iv) that Landlord is not in default under this Lease (or if Landlord is claimed to be in default, setting forth such default in reasonable detail); and (v) such other information with respect to Tenant or this Lease as Landlord may reasonably request or which any prospective purchaser or encumbrancer of the Property may reasonably require. Landlord may deliver any such statement by Tenant to any prospective purchaser or encumbrancer of the Property, and such purchaser or encumbrancer may rely conclusively upon such statement as true and correct. If Tenant shall not deliver such statement to Landlord within such ten (10) day period, Landlord, and any prospective purchaser or encumbrancer, may conclusively presume and rely upon the following statements as facts: (i) that the terms and provisions of this Lease have not been changed except as otherwise represented by Landlord, (ii) that this Lease has not been canceled or terminated except as otherwise represented by Landlord; (iii) that not more than one month’s Base Rent or other charges have been paid in advance; and (iv) that Landlord is not in default under this Lease. In such event, Tenant shall be estopped from denying the truth of such statements.</w:t>
      </w:r>
    </w:p>
    <w:p>
      <w:pPr>
        <w:spacing w:after="0" w:line="18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15.05 </w:t>
      </w:r>
      <w:r>
        <w:rPr>
          <w:rFonts w:ascii="Times New Roman" w:cs="Times New Roman" w:eastAsia="Times New Roman" w:hAnsi="Times New Roman"/>
          <w:sz w:val="22"/>
          <w:szCs w:val="22"/>
          <w:b w:val="1"/>
          <w:bCs w:val="1"/>
          <w:color w:val="auto"/>
        </w:rPr>
        <w:t>Tenant’s Financial Condition</w:t>
      </w:r>
      <w:r>
        <w:rPr>
          <w:rFonts w:ascii="Times New Roman" w:cs="Times New Roman" w:eastAsia="Times New Roman" w:hAnsi="Times New Roman"/>
          <w:sz w:val="22"/>
          <w:szCs w:val="22"/>
          <w:color w:val="auto"/>
        </w:rPr>
        <w:t>. Within ten (10) days after request from Landlord from time to time, Tenant shall deliver to Landlord Tenant’s audited financial statements for the latest available two (2) fiscal years as may then be in Tenant’s possession. Such financial statements may be delivered to Landlord’s mortgagees and lenders and prospective mortgagees, lenders and purchasers. Tenant represents and warrants to Landlord that each such financial statement shall be materially true and accurate as of the date of such statement. All financial statements shall be confidential and shall be used only for the purposes set forth in this Lease.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16</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LEGAL COSTS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16.01 </w:t>
      </w:r>
      <w:r>
        <w:rPr>
          <w:rFonts w:ascii="Times New Roman" w:cs="Times New Roman" w:eastAsia="Times New Roman" w:hAnsi="Times New Roman"/>
          <w:sz w:val="22"/>
          <w:szCs w:val="22"/>
          <w:b w:val="1"/>
          <w:bCs w:val="1"/>
          <w:color w:val="auto"/>
        </w:rPr>
        <w:t>Legal Proceedings</w:t>
      </w:r>
      <w:r>
        <w:rPr>
          <w:rFonts w:ascii="Times New Roman" w:cs="Times New Roman" w:eastAsia="Times New Roman" w:hAnsi="Times New Roman"/>
          <w:sz w:val="22"/>
          <w:szCs w:val="22"/>
          <w:color w:val="auto"/>
        </w:rPr>
        <w:t>. In any enforcement proceeding brought by either party with respect to this Lease, the non-prevailing party will pay to the prevailing party in such proceeding all costs, including reasonable attorneys’ fees and court costs incurred by such other party with respect to such proceeding and any appeals therefrom.</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17</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 PROVISIONS</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17.01 </w:t>
      </w:r>
      <w:r>
        <w:rPr>
          <w:rFonts w:ascii="Times New Roman" w:cs="Times New Roman" w:eastAsia="Times New Roman" w:hAnsi="Times New Roman"/>
          <w:sz w:val="22"/>
          <w:szCs w:val="22"/>
          <w:b w:val="1"/>
          <w:bCs w:val="1"/>
          <w:color w:val="auto"/>
        </w:rPr>
        <w:t>Signage</w:t>
      </w:r>
      <w:r>
        <w:rPr>
          <w:rFonts w:ascii="Times New Roman" w:cs="Times New Roman" w:eastAsia="Times New Roman" w:hAnsi="Times New Roman"/>
          <w:sz w:val="22"/>
          <w:szCs w:val="22"/>
          <w:color w:val="auto"/>
        </w:rPr>
        <w:t>. Tenant shall be permitted to have (i) a sign panel on the pylon sign located in front of the Building, and (ii) standard signage identifying Tenant at the primary entry of the Premises and at the point designated for Tenant’s shipping and receiving activities. All signage installed by Tenant shall be subject to the prior written approval of Landlord and any approvals required by Central Florida Research Park. Further, Tenant shall be responsible for all costs and expenses with respect to its signage, including, installation and maintenance costs.</w:t>
      </w:r>
    </w:p>
    <w:p>
      <w:pPr>
        <w:spacing w:after="0" w:line="160" w:lineRule="exact"/>
        <w:rPr>
          <w:sz w:val="20"/>
          <w:szCs w:val="20"/>
          <w:color w:val="auto"/>
        </w:rPr>
      </w:pPr>
    </w:p>
    <w:p>
      <w:pPr>
        <w:jc w:val="both"/>
        <w:ind w:firstLine="749"/>
        <w:spacing w:after="0" w:line="261" w:lineRule="exact"/>
        <w:rPr>
          <w:sz w:val="20"/>
          <w:szCs w:val="20"/>
          <w:color w:val="auto"/>
        </w:rPr>
      </w:pPr>
      <w:r>
        <w:rPr>
          <w:rFonts w:ascii="Times New Roman" w:cs="Times New Roman" w:eastAsia="Times New Roman" w:hAnsi="Times New Roman"/>
          <w:sz w:val="22"/>
          <w:szCs w:val="22"/>
          <w:color w:val="auto"/>
        </w:rPr>
        <w:t xml:space="preserve">17.02 </w:t>
      </w:r>
      <w:r>
        <w:rPr>
          <w:rFonts w:ascii="Times New Roman" w:cs="Times New Roman" w:eastAsia="Times New Roman" w:hAnsi="Times New Roman"/>
          <w:sz w:val="22"/>
          <w:szCs w:val="22"/>
          <w:b w:val="1"/>
          <w:bCs w:val="1"/>
          <w:color w:val="auto"/>
        </w:rPr>
        <w:t>Non</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Discrimination</w:t>
      </w:r>
      <w:r>
        <w:rPr>
          <w:rFonts w:ascii="Times New Roman" w:cs="Times New Roman" w:eastAsia="Times New Roman" w:hAnsi="Times New Roman"/>
          <w:sz w:val="22"/>
          <w:szCs w:val="22"/>
          <w:color w:val="auto"/>
        </w:rPr>
        <w:t>. Tenant agrees that it will not permit any discrimination against, or segregation of, any p</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rson or group of persons on the basis of race, color, sex, creed, national origin or ancestry in the subleasing, transferring, occupancy, tenure or use of the Premises or any portion thereof. Landlord agrees that it will not permit any discrimination against, or segregation of, any person or group of persons on the basis of race, color, sex, creed, national origin or ancestry in the leasing and management of the Premises or any portion thereof.</w:t>
      </w:r>
    </w:p>
    <w:p>
      <w:pPr>
        <w:spacing w:after="0" w:line="173"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17.03</w:t>
      </w:r>
      <w:r>
        <w:rPr>
          <w:sz w:val="20"/>
          <w:szCs w:val="20"/>
          <w:color w:val="auto"/>
        </w:rPr>
        <w:tab/>
      </w:r>
      <w:r>
        <w:rPr>
          <w:rFonts w:ascii="Times New Roman" w:cs="Times New Roman" w:eastAsia="Times New Roman" w:hAnsi="Times New Roman"/>
          <w:sz w:val="21"/>
          <w:szCs w:val="21"/>
          <w:b w:val="1"/>
          <w:bCs w:val="1"/>
          <w:color w:val="auto"/>
        </w:rPr>
        <w:t>Landlord’s Liability; Certain Duties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760" w:firstLine="745"/>
        <w:spacing w:after="0" w:line="233" w:lineRule="auto"/>
        <w:tabs>
          <w:tab w:leader="none" w:pos="1968"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 and Inure; Limitation of Landlord’s Liability</w:t>
      </w:r>
      <w:r>
        <w:rPr>
          <w:rFonts w:ascii="Times New Roman" w:cs="Times New Roman" w:eastAsia="Times New Roman" w:hAnsi="Times New Roman"/>
          <w:sz w:val="22"/>
          <w:szCs w:val="22"/>
          <w:color w:val="auto"/>
        </w:rPr>
        <w:t>. The obligations of this Lease shall run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 and this Lease shall be binding upon and inure to the benefit of the parties hereto and their respective successors and assigns. No owner of the Property shall be liable under this Lease except for breaches of Landlord’s obligations occurring while owner of the Property. The obligations of Landlord shall be binding upon the assets of Landlord which comprise the Property but not upon other assets of Landlord. No individual partner, trustee, stockholder, officer, member, director, employee, advisors or beneficiary of Landlord or any partner, trustee, stockholder, officer, member, director, employee, advisor or beneficiary of any of the foregoing, shall be personally liable under this Lease and Tenant shall look solely to Landlord’s interest in the Property in pursuit of its remedies upon an event of default hereunder, and the general assets of Landlord, its partners, trustees, stockholders, members, officers, employees, advisors or beneficiaries of Landlord, and the partners, trustees, stockholders, members, officers, employees, advisors or beneficiary of any of the foregoing, shall not be subject to levy, execution or other enforcement procedure for the satisfaction of the remedies of Tenant.</w:t>
      </w:r>
    </w:p>
    <w:p>
      <w:pPr>
        <w:spacing w:after="0" w:line="184" w:lineRule="exact"/>
        <w:rPr>
          <w:rFonts w:ascii="Times New Roman" w:cs="Times New Roman" w:eastAsia="Times New Roman" w:hAnsi="Times New Roman"/>
          <w:sz w:val="22"/>
          <w:szCs w:val="22"/>
          <w:color w:val="auto"/>
        </w:rPr>
      </w:pPr>
    </w:p>
    <w:p>
      <w:pPr>
        <w:jc w:val="both"/>
        <w:ind w:left="760" w:firstLine="745"/>
        <w:spacing w:after="0" w:line="248" w:lineRule="auto"/>
        <w:tabs>
          <w:tab w:leader="none" w:pos="1941"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Notice</w:t>
      </w:r>
      <w:r>
        <w:rPr>
          <w:rFonts w:ascii="Times New Roman" w:cs="Times New Roman" w:eastAsia="Times New Roman" w:hAnsi="Times New Roman"/>
          <w:sz w:val="21"/>
          <w:szCs w:val="21"/>
          <w:color w:val="auto"/>
        </w:rPr>
        <w:t>. Tenant shall give written notice of any failure by Landlord to perform any of its obligations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Lease to Landlord and to any ground lessor, mortgagee or beneficiary under any deed of trust encumbering the Property whose name and address shall have been furnished to Tenant. Landlord shall not be in default under this Lease unless Landlord (or such ground lessor, mortgagee or beneficiary) shall fail to cure such non-performanee within thirty</w:t>
      </w:r>
    </w:p>
    <w:p>
      <w:pPr>
        <w:spacing w:after="0" w:line="1" w:lineRule="exact"/>
        <w:rPr>
          <w:rFonts w:ascii="Times New Roman" w:cs="Times New Roman" w:eastAsia="Times New Roman" w:hAnsi="Times New Roman"/>
          <w:sz w:val="21"/>
          <w:szCs w:val="21"/>
          <w:color w:val="auto"/>
        </w:rPr>
      </w:pPr>
    </w:p>
    <w:p>
      <w:pPr>
        <w:ind w:left="1180" w:hanging="423"/>
        <w:spacing w:after="0" w:line="230" w:lineRule="auto"/>
        <w:tabs>
          <w:tab w:leader="none" w:pos="11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receipt of Tenant’s notice. However, if such non-performance shall reasonably require more than thirty</w:t>
      </w:r>
    </w:p>
    <w:p>
      <w:pPr>
        <w:ind w:left="760" w:hanging="3"/>
        <w:spacing w:after="0" w:line="237" w:lineRule="auto"/>
        <w:tabs>
          <w:tab w:leader="none" w:pos="119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to cure, Landlord shall not be in default if such cure shall be commenced within such thirty (30) day period and thereafter diligently pursued to completion.</w:t>
      </w:r>
    </w:p>
    <w:p>
      <w:pPr>
        <w:spacing w:after="0" w:line="174"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color w:val="auto"/>
        </w:rPr>
        <w:t xml:space="preserve">17.04 </w:t>
      </w: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A determination by a court of competent jurisdiction that any provision of this Lease or any part thereof is illegal or unenforceable shall not cancel 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2"/>
          <w:szCs w:val="22"/>
          <w:color w:val="auto"/>
        </w:rPr>
        <w:t>invalidate the remainder of such provision of this Lease, which shall remain in full force and effect.</w:t>
      </w:r>
    </w:p>
    <w:p>
      <w:pPr>
        <w:spacing w:after="0" w:line="20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17.05 </w:t>
      </w:r>
      <w:r>
        <w:rPr>
          <w:rFonts w:ascii="Times New Roman" w:cs="Times New Roman" w:eastAsia="Times New Roman" w:hAnsi="Times New Roman"/>
          <w:sz w:val="22"/>
          <w:szCs w:val="22"/>
          <w:b w:val="1"/>
          <w:bCs w:val="1"/>
          <w:color w:val="auto"/>
        </w:rPr>
        <w:t>Interpretation</w:t>
      </w:r>
      <w:r>
        <w:rPr>
          <w:rFonts w:ascii="Times New Roman" w:cs="Times New Roman" w:eastAsia="Times New Roman" w:hAnsi="Times New Roman"/>
          <w:sz w:val="22"/>
          <w:szCs w:val="22"/>
          <w:color w:val="auto"/>
        </w:rPr>
        <w:t>. The captions of the Articles or Sections of this Lease are not a part of the terms or provisions of this Lease. Whenever required by the context of this Lease, the singular shall include the plural and the plural shall include the singular. The masculine, feminine and neuter genders shall each include the other, in any provision relating to the conduct, acts or omissions of Tenant, the term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 shall include Tenant’s agents, employees, contractors, invitees, successors or others using the Premises with Tenant’s expressed or implied permission. This Lease shall not, and nothing contained herein, shall create a partnership or other joint venture between Landlord and Tenant.</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17.06 </w:t>
      </w:r>
      <w:r>
        <w:rPr>
          <w:rFonts w:ascii="Times New Roman" w:cs="Times New Roman" w:eastAsia="Times New Roman" w:hAnsi="Times New Roman"/>
          <w:sz w:val="22"/>
          <w:szCs w:val="22"/>
          <w:b w:val="1"/>
          <w:bCs w:val="1"/>
          <w:color w:val="auto"/>
        </w:rPr>
        <w:t>Incorporation of Prior Agreements; Modifications</w:t>
      </w:r>
      <w:r>
        <w:rPr>
          <w:rFonts w:ascii="Times New Roman" w:cs="Times New Roman" w:eastAsia="Times New Roman" w:hAnsi="Times New Roman"/>
          <w:sz w:val="22"/>
          <w:szCs w:val="22"/>
          <w:color w:val="auto"/>
        </w:rPr>
        <w:t>. This Lease is the only agreement between the parties pertaining to the lease of the Premises and no other agreements shall be effective. All amendments to this Lease shall be in writing and signed by all parties. Any other attempted amendment shall be void.</w:t>
      </w:r>
    </w:p>
    <w:p>
      <w:pPr>
        <w:spacing w:after="0" w:line="16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17.07 </w:t>
      </w: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All notices, requests and other communications required or permitted under this Lease shall be in writing and shall be personally delivered or sent by certified mail, return receipt requested, postage prepaid or by a national overnight delivery service which maintains delivery records. Notices to Tenant shall be delivered to Tenant’s Address for Notices. Notices to Landlord shall be delivered to Landlord’s Address for Notices. All notices shall be effective upon delivery (or refusal to accept delivery). Either party may change its notice address upon written notice to the other party.</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17.08 </w:t>
      </w:r>
      <w:r>
        <w:rPr>
          <w:rFonts w:ascii="Times New Roman" w:cs="Times New Roman" w:eastAsia="Times New Roman" w:hAnsi="Times New Roman"/>
          <w:sz w:val="22"/>
          <w:szCs w:val="22"/>
          <w:b w:val="1"/>
          <w:bCs w:val="1"/>
          <w:color w:val="auto"/>
        </w:rPr>
        <w:t>Waivers</w:t>
      </w:r>
      <w:r>
        <w:rPr>
          <w:rFonts w:ascii="Times New Roman" w:cs="Times New Roman" w:eastAsia="Times New Roman" w:hAnsi="Times New Roman"/>
          <w:sz w:val="22"/>
          <w:szCs w:val="22"/>
          <w:color w:val="auto"/>
        </w:rPr>
        <w:t>. All waivers shall be in writing and signed by the waiving party. Landlord’s failure to enforce any provision of this Lease or its acceptance of Rent shall not be a waiver and shall not prevent Landlord from enforcing that provision or any other provision of this Lease in the future. No statement on a payment check from Tenant or in a letter accompanying a payment check shall be binding on Landlord. Landlord may, with or without notice to Tenant, negotiate such check without being bound by or to the conditions of such statement.</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17.09 </w:t>
      </w:r>
      <w:r>
        <w:rPr>
          <w:rFonts w:ascii="Times New Roman" w:cs="Times New Roman" w:eastAsia="Times New Roman" w:hAnsi="Times New Roman"/>
          <w:sz w:val="22"/>
          <w:szCs w:val="22"/>
          <w:b w:val="1"/>
          <w:bCs w:val="1"/>
          <w:color w:val="auto"/>
        </w:rPr>
        <w:t>No Recordation</w:t>
      </w:r>
      <w:r>
        <w:rPr>
          <w:rFonts w:ascii="Times New Roman" w:cs="Times New Roman" w:eastAsia="Times New Roman" w:hAnsi="Times New Roman"/>
          <w:sz w:val="22"/>
          <w:szCs w:val="22"/>
          <w:color w:val="auto"/>
        </w:rPr>
        <w:t>. Tenant shall not record this Lease. Either Landlord or Tenant may require that a notice, short form or memorandum of this Lease executed by both parties be recorded. The party requiring such recording shall pay all transfer taxes and recording fees.</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17.10 </w:t>
      </w:r>
      <w:r>
        <w:rPr>
          <w:rFonts w:ascii="Times New Roman" w:cs="Times New Roman" w:eastAsia="Times New Roman" w:hAnsi="Times New Roman"/>
          <w:sz w:val="22"/>
          <w:szCs w:val="22"/>
          <w:b w:val="1"/>
          <w:bCs w:val="1"/>
          <w:color w:val="auto"/>
        </w:rPr>
        <w:t>Binding Effect; Choice of Law</w:t>
      </w:r>
      <w:r>
        <w:rPr>
          <w:rFonts w:ascii="Times New Roman" w:cs="Times New Roman" w:eastAsia="Times New Roman" w:hAnsi="Times New Roman"/>
          <w:sz w:val="22"/>
          <w:szCs w:val="22"/>
          <w:color w:val="auto"/>
        </w:rPr>
        <w:t>. This Lease shall bind any party who shall legally acquire any rights or interest in this Lease from Landlord or Tenant, provided that Landlord shall have no obligation to Tenant’s successor unless the rights or interests of Tenant’s successor are acquired in accordance with the terms of this Lease. The laws of the state in which the Property is located shall govern this Lease.</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17.11 </w:t>
      </w:r>
      <w:r>
        <w:rPr>
          <w:rFonts w:ascii="Times New Roman" w:cs="Times New Roman" w:eastAsia="Times New Roman" w:hAnsi="Times New Roman"/>
          <w:sz w:val="22"/>
          <w:szCs w:val="22"/>
          <w:b w:val="1"/>
          <w:bCs w:val="1"/>
          <w:color w:val="auto"/>
        </w:rPr>
        <w:t>Corporate Authority; Partnership Authority</w:t>
      </w:r>
      <w:r>
        <w:rPr>
          <w:rFonts w:ascii="Times New Roman" w:cs="Times New Roman" w:eastAsia="Times New Roman" w:hAnsi="Times New Roman"/>
          <w:sz w:val="22"/>
          <w:szCs w:val="22"/>
          <w:color w:val="auto"/>
        </w:rPr>
        <w:t>. If Tenant is a corporation, each person signing this Lease on behalf of Tenant represents and warrants that (s)he has full authority to do so and that this Lease binds the corporation. Within thirty (30) days after this Lease is signed, Tenant shall deliver to Landlord a certified copy of a resolution of Tenant’s Board of Directors authorizing the execution of this Lease or other evidence of such authority reasonably acceptable to Landlord. If Tenant is a partnership or limited liability company, each person or entity signing this Lease for Tenant represents and warrants that he or it is a general partner of the partnership or a manager or managing member of the company, that (s)he or it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1" w:name="page162"/>
    <w:bookmarkEnd w:id="161"/>
    <w:p>
      <w:pPr>
        <w:jc w:val="both"/>
        <w:spacing w:after="0" w:line="261" w:lineRule="auto"/>
        <w:rPr>
          <w:sz w:val="20"/>
          <w:szCs w:val="20"/>
          <w:color w:val="auto"/>
        </w:rPr>
      </w:pPr>
      <w:r>
        <w:rPr>
          <w:rFonts w:ascii="Times New Roman" w:cs="Times New Roman" w:eastAsia="Times New Roman" w:hAnsi="Times New Roman"/>
          <w:sz w:val="21"/>
          <w:szCs w:val="21"/>
          <w:color w:val="auto"/>
        </w:rPr>
        <w:t>has full authority to sign for the partnership and that this Lease binds the partnership or company and all general partners of the partnership or the company and its members. Within thirty (30) days after this Lease is signed, Tenant shall deliver to Landlord a copy of Tenant’s recorded statement of partnership or certificate of limited partnership or certificate of formation or organization.</w:t>
      </w:r>
    </w:p>
    <w:p>
      <w:pPr>
        <w:spacing w:after="0" w:line="153"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17.12</w:t>
      </w:r>
      <w:r>
        <w:rPr>
          <w:sz w:val="20"/>
          <w:szCs w:val="20"/>
          <w:color w:val="auto"/>
        </w:rPr>
        <w:tab/>
      </w:r>
      <w:r>
        <w:rPr>
          <w:rFonts w:ascii="Times New Roman" w:cs="Times New Roman" w:eastAsia="Times New Roman" w:hAnsi="Times New Roman"/>
          <w:sz w:val="21"/>
          <w:szCs w:val="21"/>
          <w:b w:val="1"/>
          <w:bCs w:val="1"/>
          <w:color w:val="auto"/>
        </w:rPr>
        <w:t>Intentionally omitted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17.13 </w:t>
      </w:r>
      <w:r>
        <w:rPr>
          <w:rFonts w:ascii="Times New Roman" w:cs="Times New Roman" w:eastAsia="Times New Roman" w:hAnsi="Times New Roman"/>
          <w:sz w:val="22"/>
          <w:szCs w:val="22"/>
          <w:b w:val="1"/>
          <w:bCs w:val="1"/>
          <w:color w:val="auto"/>
        </w:rPr>
        <w:t>Force Majeure</w:t>
      </w:r>
      <w:r>
        <w:rPr>
          <w:rFonts w:ascii="Times New Roman" w:cs="Times New Roman" w:eastAsia="Times New Roman" w:hAnsi="Times New Roman"/>
          <w:sz w:val="22"/>
          <w:szCs w:val="22"/>
          <w:color w:val="auto"/>
        </w:rPr>
        <w:t>. Other than payment of Rent, if either Landlord or Tenant cannot perform any of its obligations due to events beyond their respective reasonable control, the time provided for performing such obligations shall be extended by a period of time equal to the duration of such events. Events beyond reasonable control include, but are not limited to, acts of God, war, civil commotion, labor disputes, strikes, fire, flood or other casualty, shortages of labor or material, government regulation or restriction and weather conditions.</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17.14 </w:t>
      </w:r>
      <w:r>
        <w:rPr>
          <w:rFonts w:ascii="Times New Roman" w:cs="Times New Roman" w:eastAsia="Times New Roman" w:hAnsi="Times New Roman"/>
          <w:sz w:val="22"/>
          <w:szCs w:val="22"/>
          <w:b w:val="1"/>
          <w:bCs w:val="1"/>
          <w:color w:val="auto"/>
        </w:rPr>
        <w:t>Execution of Lease</w:t>
      </w:r>
      <w:r>
        <w:rPr>
          <w:rFonts w:ascii="Times New Roman" w:cs="Times New Roman" w:eastAsia="Times New Roman" w:hAnsi="Times New Roman"/>
          <w:sz w:val="22"/>
          <w:szCs w:val="22"/>
          <w:color w:val="auto"/>
        </w:rPr>
        <w:t>. This Lease may be executed in counterparts and, when all counterpart documents are executed, the counterparts shall constitute a single binding instrument. Landlord’s delivery of this Lease to Tenant shall not be deemed to be an offer to lease and shall not be binding upon either party until executed and delivered by both parties.</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17.15 </w:t>
      </w:r>
      <w:r>
        <w:rPr>
          <w:rFonts w:ascii="Times New Roman" w:cs="Times New Roman" w:eastAsia="Times New Roman" w:hAnsi="Times New Roman"/>
          <w:sz w:val="22"/>
          <w:szCs w:val="22"/>
          <w:b w:val="1"/>
          <w:bCs w:val="1"/>
          <w:color w:val="auto"/>
        </w:rPr>
        <w:t>Survival</w:t>
      </w:r>
      <w:r>
        <w:rPr>
          <w:rFonts w:ascii="Times New Roman" w:cs="Times New Roman" w:eastAsia="Times New Roman" w:hAnsi="Times New Roman"/>
          <w:sz w:val="22"/>
          <w:szCs w:val="22"/>
          <w:color w:val="auto"/>
        </w:rPr>
        <w:t>. All representations and warranties of Landlord and Tenant, and all obligations of Tenant to pay Additional Rent hereunder, shall survive the termination of this Lease.</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17.16 </w:t>
      </w:r>
      <w:r>
        <w:rPr>
          <w:rFonts w:ascii="Times New Roman" w:cs="Times New Roman" w:eastAsia="Times New Roman" w:hAnsi="Times New Roman"/>
          <w:sz w:val="22"/>
          <w:szCs w:val="22"/>
          <w:b w:val="1"/>
          <w:bCs w:val="1"/>
          <w:color w:val="auto"/>
        </w:rPr>
        <w:t>Examination of Lease</w:t>
      </w:r>
      <w:r>
        <w:rPr>
          <w:rFonts w:ascii="Times New Roman" w:cs="Times New Roman" w:eastAsia="Times New Roman" w:hAnsi="Times New Roman"/>
          <w:sz w:val="22"/>
          <w:szCs w:val="22"/>
          <w:color w:val="auto"/>
        </w:rPr>
        <w:t>. Submission of this Lease to Tenant shall not constitute an option to lease, and this Lease shall not be effective until execution and delivery by both Landlord and Tenant.</w:t>
      </w:r>
    </w:p>
    <w:p>
      <w:pPr>
        <w:spacing w:after="0" w:line="150" w:lineRule="exact"/>
        <w:rPr>
          <w:sz w:val="20"/>
          <w:szCs w:val="20"/>
          <w:color w:val="auto"/>
        </w:rPr>
      </w:pPr>
    </w:p>
    <w:p>
      <w:pPr>
        <w:jc w:val="both"/>
        <w:ind w:firstLine="749"/>
        <w:spacing w:after="0" w:line="247" w:lineRule="exact"/>
        <w:rPr>
          <w:sz w:val="20"/>
          <w:szCs w:val="20"/>
          <w:color w:val="auto"/>
        </w:rPr>
      </w:pPr>
      <w:r>
        <w:rPr>
          <w:rFonts w:ascii="Times New Roman" w:cs="Times New Roman" w:eastAsia="Times New Roman" w:hAnsi="Times New Roman"/>
          <w:sz w:val="22"/>
          <w:szCs w:val="22"/>
          <w:color w:val="auto"/>
        </w:rPr>
        <w:t xml:space="preserve">17.17 </w:t>
      </w:r>
      <w:r>
        <w:rPr>
          <w:rFonts w:ascii="Times New Roman" w:cs="Times New Roman" w:eastAsia="Times New Roman" w:hAnsi="Times New Roman"/>
          <w:sz w:val="22"/>
          <w:szCs w:val="22"/>
          <w:b w:val="1"/>
          <w:bCs w:val="1"/>
          <w:color w:val="auto"/>
        </w:rPr>
        <w:t>Security Deposit</w:t>
      </w:r>
      <w:r>
        <w:rPr>
          <w:rFonts w:ascii="Times New Roman" w:cs="Times New Roman" w:eastAsia="Times New Roman" w:hAnsi="Times New Roman"/>
          <w:sz w:val="22"/>
          <w:szCs w:val="22"/>
          <w:color w:val="auto"/>
        </w:rPr>
        <w:t>. Upon execution of this Lease by Tenant, Tenant shall pay to Landlord a Security Deposit in the amount set forth in Section 1.13, hereinabove, to be held by Landlord for the faithful performance by Tenant of Tenant’s covenants and obligations hereunder, it being expressly understood that the Security Deposit shall not be considered as an advance payment of Rent or as a measure of Landlord’s damages in the event of a default by Tenant. If at any time during the Lease Term hereof, or the Lease Term as it may be extended, an Event of Default shall have occurred in connection with payment of Rent or any other sum due Landlord as Additional Rent, Landlord may, but shall not be obligated to, apply all or part of the Security Deposit for such payment. Landlord may also apply all or part of the Security Deposit to repair damages to the Premises during or upon the termination of the tenancy created by this Lease. In such event, Tenant shall, on demand, pay to Landlord a like sum to replenish the Security Deposit. If Tenant is not in default at the termination of this Lease, then Landlord shall promptly return the Security Deposit to Tenant. Landlord shall not be required to keep the Security Deposit separate from its general funds, and Tenant shall not be entitled to interest on the Security Deposit. Landlord and Tenant agree that Landlord shall be entitled to immediately endorse and cash Tenant’s Rent and Security Deposit check(s) accompanying this Lease. It is further agreed and understood that such action shall not guarantee acceptance of this Lease by Landlord, but in the event Landlord does not accept this Lease, Tenant’s Rent and Security Deposit checks so delivered shall be refunded in full to Tenant. Notwithstanding the foregoing, the Security Deposit shall reduce as follows: (i) if Tenant has not been in default at any time under this Lease, on the thirty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sixth (36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month of the Lease Term the Security Deposit shall reduce to two (2) month’s Base Rent to be held for the remainder of the Lease Term; (ii) if Tenant shall receive a funding infusion equal to or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2" w:name="page163"/>
    <w:bookmarkEnd w:id="162"/>
    <w:p>
      <w:pPr>
        <w:jc w:val="both"/>
        <w:spacing w:after="0" w:line="252" w:lineRule="exact"/>
        <w:rPr>
          <w:sz w:val="20"/>
          <w:szCs w:val="20"/>
          <w:color w:val="auto"/>
        </w:rPr>
      </w:pPr>
      <w:r>
        <w:rPr>
          <w:rFonts w:ascii="Times New Roman" w:cs="Times New Roman" w:eastAsia="Times New Roman" w:hAnsi="Times New Roman"/>
          <w:sz w:val="22"/>
          <w:szCs w:val="22"/>
          <w:color w:val="auto"/>
        </w:rPr>
        <w:t>greater than Thirty Million and 00/100 Dollars ($30,000,000.00) (subject to the review of documentation evidencing same by Landlord) (“</w:t>
      </w:r>
      <w:r>
        <w:rPr>
          <w:rFonts w:ascii="Times New Roman" w:cs="Times New Roman" w:eastAsia="Times New Roman" w:hAnsi="Times New Roman"/>
          <w:sz w:val="22"/>
          <w:szCs w:val="22"/>
          <w:b w:val="1"/>
          <w:bCs w:val="1"/>
          <w:color w:val="auto"/>
        </w:rPr>
        <w:t>Tenant Funding</w:t>
      </w:r>
      <w:r>
        <w:rPr>
          <w:rFonts w:ascii="Times New Roman" w:cs="Times New Roman" w:eastAsia="Times New Roman" w:hAnsi="Times New Roman"/>
          <w:sz w:val="22"/>
          <w:szCs w:val="22"/>
          <w:color w:val="auto"/>
        </w:rPr>
        <w:t>”) and Tenant has not been in default at any time under this Lease, within forty-five (45) days following Landlord’s approval of such documentation the Security Deposit shall reduce to two (2) month’s Base Rent to be held for the remainder of the Lease Term; or (iii) in the event Tenant has received the Tenant Funding, Landlord has approved same and Tenant has not been in default at any time under this Lease, on the thirty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sixth (36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month of the Lease Term the Security Deposit shall reduce to one (1) month’s Base Rent to be held for the remainder of the Lease Term.</w:t>
      </w:r>
    </w:p>
    <w:p>
      <w:pPr>
        <w:spacing w:after="0" w:line="17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17.18 </w:t>
      </w:r>
      <w:r>
        <w:rPr>
          <w:rFonts w:ascii="Times New Roman" w:cs="Times New Roman" w:eastAsia="Times New Roman" w:hAnsi="Times New Roman"/>
          <w:sz w:val="22"/>
          <w:szCs w:val="22"/>
          <w:b w:val="1"/>
          <w:bCs w:val="1"/>
          <w:color w:val="auto"/>
        </w:rPr>
        <w:t>Limitation of Warranties</w:t>
      </w:r>
      <w:r>
        <w:rPr>
          <w:rFonts w:ascii="Times New Roman" w:cs="Times New Roman" w:eastAsia="Times New Roman" w:hAnsi="Times New Roman"/>
          <w:sz w:val="22"/>
          <w:szCs w:val="22"/>
          <w:color w:val="auto"/>
        </w:rPr>
        <w:t>. Landlord and Tenant expressly agree that there are and shall be no implied warranties of merchantability, habitability, suitability, fitness for a particular purpose or of any other kind arising out of this Lease, and there are no warranties which extend beyond those expressly set forth in this Lease. Without limiting the generality of the foregoing, Tenant expressly acknowledges that Landlord has made no warranties or representations concerning any hazardous materials or other environmental matters affecting any part of the Property and Landlord hereby expressly disclaims and Tenant waives any express or implied warranties with respect to any such matters.</w:t>
      </w:r>
    </w:p>
    <w:p>
      <w:pPr>
        <w:spacing w:after="0" w:line="17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17.19 </w:t>
      </w:r>
      <w:r>
        <w:rPr>
          <w:rFonts w:ascii="Times New Roman" w:cs="Times New Roman" w:eastAsia="Times New Roman" w:hAnsi="Times New Roman"/>
          <w:sz w:val="22"/>
          <w:szCs w:val="22"/>
          <w:b w:val="1"/>
          <w:bCs w:val="1"/>
          <w:color w:val="auto"/>
        </w:rPr>
        <w:t>No Other Brokers</w:t>
      </w:r>
      <w:r>
        <w:rPr>
          <w:rFonts w:ascii="Times New Roman" w:cs="Times New Roman" w:eastAsia="Times New Roman" w:hAnsi="Times New Roman"/>
          <w:sz w:val="22"/>
          <w:szCs w:val="22"/>
          <w:color w:val="auto"/>
        </w:rPr>
        <w:t>. Tenant represents and warrants to Landlord that the Brokers are the only agents, brokers, finders or other parties with whom Tenant has dealt who may be entitled to any commission or fee with respect to this Lease or the Premises or the Property. Tenant agrees to indemnify and hold Landlord harmless from any claim, demand, cost or liability, including, without limitation, attorneys’ fees and expenses, asserted by any party other than the Brokers based upon dealings of that party with Tenant. Landlord agrees to indemnify and hold Tenant harmless from any claim, demand, cost or liability, including, without limitation, attorneys’ fees and expenses, asserted by any party other than the Brokers based upon dealings of that party with Landlord.</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 xml:space="preserve">17.20 </w:t>
      </w:r>
      <w:r>
        <w:rPr>
          <w:rFonts w:ascii="Times New Roman" w:cs="Times New Roman" w:eastAsia="Times New Roman" w:hAnsi="Times New Roman"/>
          <w:sz w:val="22"/>
          <w:szCs w:val="22"/>
          <w:b w:val="1"/>
          <w:bCs w:val="1"/>
          <w:color w:val="auto"/>
        </w:rPr>
        <w:t>Radon Gas</w:t>
      </w:r>
      <w:r>
        <w:rPr>
          <w:rFonts w:ascii="Times New Roman" w:cs="Times New Roman" w:eastAsia="Times New Roman" w:hAnsi="Times New Roman"/>
          <w:sz w:val="22"/>
          <w:szCs w:val="22"/>
          <w:color w:val="auto"/>
        </w:rPr>
        <w:t>. Radon is a naturally occurring radioactive gas that, when it has accumulated in a building in sufficient quantities, may present health risks to persons who are exposed to it over time. Levels of radon that exceed Federal and State guidelines have been found in buildings in Florida. Additional information regarding radon and radon testing may be obtained from your county public health unit.</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17.21 </w:t>
      </w:r>
      <w:r>
        <w:rPr>
          <w:rFonts w:ascii="Times New Roman" w:cs="Times New Roman" w:eastAsia="Times New Roman" w:hAnsi="Times New Roman"/>
          <w:sz w:val="22"/>
          <w:szCs w:val="22"/>
          <w:b w:val="1"/>
          <w:bCs w:val="1"/>
          <w:color w:val="auto"/>
        </w:rPr>
        <w:t>Central Florida Research Park</w:t>
      </w:r>
      <w:r>
        <w:rPr>
          <w:rFonts w:ascii="Times New Roman" w:cs="Times New Roman" w:eastAsia="Times New Roman" w:hAnsi="Times New Roman"/>
          <w:sz w:val="22"/>
          <w:szCs w:val="22"/>
          <w:color w:val="auto"/>
        </w:rPr>
        <w:t>. Tenant hereby acknowledges that (i) the Building is located in the Central Florida Research Park (the “</w:t>
      </w:r>
      <w:r>
        <w:rPr>
          <w:rFonts w:ascii="Times New Roman" w:cs="Times New Roman" w:eastAsia="Times New Roman" w:hAnsi="Times New Roman"/>
          <w:sz w:val="22"/>
          <w:szCs w:val="22"/>
          <w:b w:val="1"/>
          <w:bCs w:val="1"/>
          <w:color w:val="auto"/>
        </w:rPr>
        <w:t>Research Park</w:t>
      </w:r>
      <w:r>
        <w:rPr>
          <w:rFonts w:ascii="Times New Roman" w:cs="Times New Roman" w:eastAsia="Times New Roman" w:hAnsi="Times New Roman"/>
          <w:sz w:val="22"/>
          <w:szCs w:val="22"/>
          <w:color w:val="auto"/>
        </w:rPr>
        <w:t>”) and (ii) this Lease is subject to the deed restrictions (the “</w:t>
      </w:r>
      <w:r>
        <w:rPr>
          <w:rFonts w:ascii="Times New Roman" w:cs="Times New Roman" w:eastAsia="Times New Roman" w:hAnsi="Times New Roman"/>
          <w:sz w:val="22"/>
          <w:szCs w:val="22"/>
          <w:b w:val="1"/>
          <w:bCs w:val="1"/>
          <w:color w:val="auto"/>
        </w:rPr>
        <w:t>Deed Restrictions</w:t>
      </w:r>
      <w:r>
        <w:rPr>
          <w:rFonts w:ascii="Times New Roman" w:cs="Times New Roman" w:eastAsia="Times New Roman" w:hAnsi="Times New Roman"/>
          <w:sz w:val="22"/>
          <w:szCs w:val="22"/>
          <w:color w:val="auto"/>
        </w:rPr>
        <w:t>”) affecting the Research Park. Tenant hereby agrees to (a) obtain any necessary approvals required by the Research Park in connection with Tenant’s business in the Premises, (b) complete, execute and deliver any applicable forms or documents requested or required by the Research Park to comply with the Deed Restrictions and (c) comply with any and all rules and regulations established or modified from time to time by the Research Park.</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18</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RENEWAL OPTION</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Landlord hereby grants to Tenant the option to extend the initial Lease Term on the same terms, conditions and provisions as contained in this Lease, except as otherwise provided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3" w:name="page164"/>
    <w:bookmarkEnd w:id="163"/>
    <w:p>
      <w:pPr>
        <w:spacing w:after="0" w:line="262" w:lineRule="auto"/>
        <w:rPr>
          <w:sz w:val="20"/>
          <w:szCs w:val="20"/>
          <w:color w:val="auto"/>
        </w:rPr>
      </w:pPr>
      <w:r>
        <w:rPr>
          <w:rFonts w:ascii="Times New Roman" w:cs="Times New Roman" w:eastAsia="Times New Roman" w:hAnsi="Times New Roman"/>
          <w:sz w:val="22"/>
          <w:szCs w:val="22"/>
          <w:color w:val="auto"/>
        </w:rPr>
        <w:t>herein, for one (1) period of five (5) years, the option (the “</w:t>
      </w:r>
      <w:r>
        <w:rPr>
          <w:rFonts w:ascii="Times New Roman" w:cs="Times New Roman" w:eastAsia="Times New Roman" w:hAnsi="Times New Roman"/>
          <w:sz w:val="22"/>
          <w:szCs w:val="22"/>
          <w:b w:val="1"/>
          <w:bCs w:val="1"/>
          <w:color w:val="auto"/>
        </w:rPr>
        <w:t>Option Period</w:t>
      </w:r>
      <w:r>
        <w:rPr>
          <w:rFonts w:ascii="Times New Roman" w:cs="Times New Roman" w:eastAsia="Times New Roman" w:hAnsi="Times New Roman"/>
          <w:sz w:val="22"/>
          <w:szCs w:val="22"/>
          <w:color w:val="auto"/>
        </w:rPr>
        <w:t>”) commencing on the day following the expiration date of this Lease.</w:t>
      </w:r>
    </w:p>
    <w:p>
      <w:pPr>
        <w:spacing w:after="0" w:line="154" w:lineRule="exact"/>
        <w:rPr>
          <w:sz w:val="20"/>
          <w:szCs w:val="20"/>
          <w:color w:val="auto"/>
        </w:rPr>
      </w:pPr>
    </w:p>
    <w:p>
      <w:pPr>
        <w:jc w:val="both"/>
        <w:ind w:left="760" w:firstLine="745"/>
        <w:spacing w:after="0" w:line="244" w:lineRule="auto"/>
        <w:tabs>
          <w:tab w:leader="none" w:pos="194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option to extend shall be exercisable by written notice from Tenant to Landlord given no earlier than twelve (12) months, and no later than nine (9) months, prior to the expiration of the initial Lease Term, time being of the essence.</w:t>
      </w:r>
    </w:p>
    <w:p>
      <w:pPr>
        <w:spacing w:after="0" w:line="17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Rent per square foot of Rentable Area of the Premises payable during the Option Period shall be at the Fair Market Rental Rate (as hereinafter defined).</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8" w:lineRule="auto"/>
        <w:tabs>
          <w:tab w:leader="none" w:pos="1941"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may only exercise its option to extend, and an exercise thereof shall only be effective, if at the time of Tenant’s exercise and on the Option Period commencement date, this Lease is in full force and effect and no uncured default has occurred under this Lease. In addition to the condition set forth in the first sentence of this subparagraph (c), if Tenant is in default under this Lease within thirty (30) days prior to the Option Period commencement date, and has not cured or is not in the process of diligently curing such default prior to said commencement date, then, at Landlord’s option, Tenant’s right to exercise its option may be terminated and rendered null and void by notice thereof from Landlord to Tenant. No sublessee or assignee (other than an Affiliate) shall be entitled to exercise such option.</w:t>
      </w:r>
    </w:p>
    <w:p>
      <w:pPr>
        <w:spacing w:after="0" w:line="170" w:lineRule="exact"/>
        <w:rPr>
          <w:rFonts w:ascii="Times New Roman" w:cs="Times New Roman" w:eastAsia="Times New Roman" w:hAnsi="Times New Roman"/>
          <w:sz w:val="21"/>
          <w:szCs w:val="21"/>
          <w:color w:val="auto"/>
        </w:rPr>
      </w:pPr>
    </w:p>
    <w:p>
      <w:pPr>
        <w:jc w:val="both"/>
        <w:ind w:left="760" w:firstLine="745"/>
        <w:spacing w:after="0" w:line="235" w:lineRule="auto"/>
        <w:tabs>
          <w:tab w:leader="none" w:pos="194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valid exercise by Tenant of its option to extend. Landlord and Tenant shall enter into a written amendment to this Lease confirming the terms, conditions and provisions applicable to the Option Period as determined in accordance with the provisions of this Section, with such revisions to the Base Rent provisions of this Lease as may be necessary to conform those provisions to the rental rate applicable to the Option Period. No new options to extend shall be deemed to be created by a valid exercise of the extension option and no other provisions inapplicable to the Option Period such as, but not limited to, an obligation to construct or pay for construction or improvements or to grant rent abatements, shall be construed to govern the Option Period.</w:t>
      </w:r>
    </w:p>
    <w:p>
      <w:pPr>
        <w:spacing w:after="0" w:line="179" w:lineRule="exact"/>
        <w:rPr>
          <w:rFonts w:ascii="Times New Roman" w:cs="Times New Roman" w:eastAsia="Times New Roman" w:hAnsi="Times New Roman"/>
          <w:sz w:val="22"/>
          <w:szCs w:val="22"/>
          <w:color w:val="auto"/>
        </w:rPr>
      </w:pPr>
    </w:p>
    <w:p>
      <w:pPr>
        <w:jc w:val="both"/>
        <w:ind w:left="760" w:firstLine="745"/>
        <w:spacing w:after="0" w:line="233" w:lineRule="auto"/>
        <w:tabs>
          <w:tab w:leader="none" w:pos="194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Article 18, the term “</w:t>
      </w:r>
      <w:r>
        <w:rPr>
          <w:rFonts w:ascii="Times New Roman" w:cs="Times New Roman" w:eastAsia="Times New Roman" w:hAnsi="Times New Roman"/>
          <w:sz w:val="22"/>
          <w:szCs w:val="22"/>
          <w:b w:val="1"/>
          <w:bCs w:val="1"/>
          <w:color w:val="auto"/>
        </w:rPr>
        <w:t>Fair Market Rental Rate</w:t>
      </w:r>
      <w:r>
        <w:rPr>
          <w:rFonts w:ascii="Times New Roman" w:cs="Times New Roman" w:eastAsia="Times New Roman" w:hAnsi="Times New Roman"/>
          <w:sz w:val="22"/>
          <w:szCs w:val="22"/>
          <w:color w:val="auto"/>
        </w:rPr>
        <w:t>” shall mean a rate comprised of (i) the prevailing base rental rate per square foot of rentable area available in the Pertinent Market (as defined below), and taking into account tenant improvement allowances, other tenant inducements, operating cost stops and tax cost stops, and brokerage commissions, all as determined by Landlord in good faith, and (ii) any escalation of any such base rental rate (based upon a fixed step and/or index) prevailing in the Pertinent Market, as determined by Landlord in good faith, taking into account (A) comparable leases (on the basis of factors such as, but not limited to, size and location of space and commencement date and term of lease), if any, recently executed for improved space in the Building, and (B) leases for comparable (on the basis of factors such as, but not limited to size and location of space and commencement date and term of lease) improved space in “flex” buildings in the Orlando, Florida, area which are comparable to the Building in reputation, quality, age, size, location and level and quality of services provided and which have reached economic stabilization and are not, for any other reason, offering below market rents (the foregoing factors not being exclusive in identifying comparable buildings) (the Building, together with such comparable buildings, if applicable, being herein referred to as the “</w:t>
      </w:r>
      <w:r>
        <w:rPr>
          <w:rFonts w:ascii="Times New Roman" w:cs="Times New Roman" w:eastAsia="Times New Roman" w:hAnsi="Times New Roman"/>
          <w:sz w:val="22"/>
          <w:szCs w:val="22"/>
          <w:b w:val="1"/>
          <w:bCs w:val="1"/>
          <w:color w:val="auto"/>
        </w:rPr>
        <w:t>Pertinent Market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4" w:name="page165"/>
    <w:bookmarkEnd w:id="164"/>
    <w:p>
      <w:pPr>
        <w:jc w:val="both"/>
        <w:ind w:left="760" w:firstLine="745"/>
        <w:spacing w:after="0" w:line="244" w:lineRule="auto"/>
        <w:tabs>
          <w:tab w:leader="none" w:pos="194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provide Tenant with its calculation of the Fair Market Rental Value no more than 60 days after Tenant delivers its notice of exercise to Landlord. Tenant shall have a period of 30 days to accept Landlord’s calculation or deliver notice to Landlord rescinding the notice of exercise.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19</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RIGHT OF FIRST REFUSAL</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During the Lease Term, Tenant shall have a right of first refusal (each a “</w:t>
      </w:r>
      <w:r>
        <w:rPr>
          <w:rFonts w:ascii="Times New Roman" w:cs="Times New Roman" w:eastAsia="Times New Roman" w:hAnsi="Times New Roman"/>
          <w:sz w:val="22"/>
          <w:szCs w:val="22"/>
          <w:b w:val="1"/>
          <w:bCs w:val="1"/>
          <w:color w:val="auto"/>
        </w:rPr>
        <w:t>Right of First Refusal</w:t>
      </w:r>
      <w:r>
        <w:rPr>
          <w:rFonts w:ascii="Times New Roman" w:cs="Times New Roman" w:eastAsia="Times New Roman" w:hAnsi="Times New Roman"/>
          <w:sz w:val="22"/>
          <w:szCs w:val="22"/>
          <w:color w:val="auto"/>
        </w:rPr>
        <w:t>”) to lease rentable area located adjacent to the Premises as portions of it become available from time to time (each such portion being referred to herein as an “</w:t>
      </w:r>
      <w:r>
        <w:rPr>
          <w:rFonts w:ascii="Times New Roman" w:cs="Times New Roman" w:eastAsia="Times New Roman" w:hAnsi="Times New Roman"/>
          <w:sz w:val="22"/>
          <w:szCs w:val="22"/>
          <w:b w:val="1"/>
          <w:bCs w:val="1"/>
          <w:color w:val="auto"/>
        </w:rPr>
        <w:t>Additional Space</w:t>
      </w:r>
      <w:r>
        <w:rPr>
          <w:rFonts w:ascii="Times New Roman" w:cs="Times New Roman" w:eastAsia="Times New Roman" w:hAnsi="Times New Roman"/>
          <w:sz w:val="22"/>
          <w:szCs w:val="22"/>
          <w:color w:val="auto"/>
        </w:rPr>
        <w:t>”), on the same terms and conditions that Landlord is prepared to accept from any third party. When Landlord receives an offer to lease the Additional Space from a third party which Landlord desires to accept, Landlord shall present the same, in writing, to Tenant, and Tenant shall thereafter have ten (10) days in which to accept or reject that offer by notice to Landlord. The Right of First Refusal shall apply only with respect to the entire Additional Space subject of the third party offer, and may not be exercised with respect to only a portion thereof. If Tenant rejects that offer or fails to accept the same in writing within such time period, then Landlord shall be free to lease the Additional Space to the third party on substantially similar terms and conditions to those offered to Tenant in the foregoing manner.</w:t>
      </w:r>
    </w:p>
    <w:p>
      <w:pPr>
        <w:spacing w:after="0" w:line="17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Each Right of First Refusal shall, at Landlord’s election, be null and void if Tenant is in default under the Lease at the date Landlord would otherwise notify Tenant of the offer concerning the Additional Space or at any time thereafter and before commencement of the Lease for the Additional Space. After Tenant validly exercises a Right of First Refusal provided in this Lease, the parties shall execute an amendment to the Lease adding the Additional Space, or a new lease for the Additional Space, or such other documentation as Landlord shall require, promptly after Landlord shall prepare the same, confirm the leasing of such Additional Space to Tenant, but an otherwise valid exercise of the Right of First Refusal contained in this Lease shall be fully effective, whether or not such confirmatory documentation is executed. If the term of an Additional Space lease extends (including by an option timely exercised) beyond the Lease Term, then, (i) the Lease Term shall be extended to coincide with the term of the Additional Space Lease and (ii) Base Rent for the Premises from and after expiration of the Lease Term shall be the higher of the Base Rent per square foot during the last calendar month of the Lease Term or the Base Rent per square foot of the Additional Space for the corresponding time period.</w:t>
      </w:r>
    </w:p>
    <w:p>
      <w:pPr>
        <w:spacing w:after="0" w:line="18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If Tenant shall exercise a Right of First Refusal granted in this Lease. Landlord does not guarantee that the Additional Space will be available on the commencement date for the Lease thereof if the then existing occupants of the Additional Space shall holdover, or for any other reason beyond Landlord’s reasonable control. In that event, Tenant’s sole recourse shall be that the Base Rent with respect to the Additional Space shall be abated until Landlord legally delivers the same to Tenant. Tenant’s exercise of that Right of First Refusal shall not operate to cure any default by Tenant of any of the terms or provisions in this Lease, nor to extinguish or impair any rights or remedies of Landlord arising by virtue of such default. Each and all Rights of First Refusal are personal to Tenant and may not be exercised or enjoyed by any other person. If the Lease or Tenant’s right to possession of the Premises shall terminate in any manner whatsoever before Tenant shall exercise a Right of First Refusal, or if Tenant shall have subleased or assigned its interest in Tenant or its right to possess all or any portion of the Premises, then immediately upon such termination, sublease or assignment, the Right of First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5" w:name="page166"/>
    <w:bookmarkEnd w:id="165"/>
    <w:p>
      <w:pPr>
        <w:jc w:val="both"/>
        <w:spacing w:after="0" w:line="244" w:lineRule="auto"/>
        <w:rPr>
          <w:sz w:val="20"/>
          <w:szCs w:val="20"/>
          <w:color w:val="auto"/>
        </w:rPr>
      </w:pPr>
      <w:r>
        <w:rPr>
          <w:rFonts w:ascii="Times New Roman" w:cs="Times New Roman" w:eastAsia="Times New Roman" w:hAnsi="Times New Roman"/>
          <w:sz w:val="22"/>
          <w:szCs w:val="22"/>
          <w:color w:val="auto"/>
        </w:rPr>
        <w:t>Refusal shall simultaneously terminate and become null and void. Under no circumstances whatsoever shall a subtenant under a sublease of the Premises, or the assignee under a full or a partial assignment of the Lease, have any right to exercise a Right of First Refusal granted in this Lease.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20</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OPTION TO TERMINATE</w:t>
      </w:r>
    </w:p>
    <w:p>
      <w:pPr>
        <w:spacing w:after="0" w:line="21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Provided that Tenant is not then in default under this Lease, Tenant shall have an ongoing option to terminate this Lease (the “</w:t>
      </w:r>
      <w:r>
        <w:rPr>
          <w:rFonts w:ascii="Times New Roman" w:cs="Times New Roman" w:eastAsia="Times New Roman" w:hAnsi="Times New Roman"/>
          <w:sz w:val="21"/>
          <w:szCs w:val="21"/>
          <w:b w:val="1"/>
          <w:bCs w:val="1"/>
          <w:color w:val="auto"/>
        </w:rPr>
        <w:t>Termination Option</w:t>
      </w:r>
      <w:r>
        <w:rPr>
          <w:rFonts w:ascii="Times New Roman" w:cs="Times New Roman" w:eastAsia="Times New Roman" w:hAnsi="Times New Roman"/>
          <w:sz w:val="21"/>
          <w:szCs w:val="21"/>
          <w:color w:val="auto"/>
        </w:rPr>
        <w:t>”). The effective date of this termination shall be the date that is specified in the Termination Notice (defined below) (the “</w:t>
      </w:r>
      <w:r>
        <w:rPr>
          <w:rFonts w:ascii="Times New Roman" w:cs="Times New Roman" w:eastAsia="Times New Roman" w:hAnsi="Times New Roman"/>
          <w:sz w:val="21"/>
          <w:szCs w:val="21"/>
          <w:b w:val="1"/>
          <w:bCs w:val="1"/>
          <w:color w:val="auto"/>
        </w:rPr>
        <w:t>Early Termination Date</w:t>
      </w:r>
      <w:r>
        <w:rPr>
          <w:rFonts w:ascii="Times New Roman" w:cs="Times New Roman" w:eastAsia="Times New Roman" w:hAnsi="Times New Roman"/>
          <w:sz w:val="21"/>
          <w:szCs w:val="21"/>
          <w:color w:val="auto"/>
        </w:rPr>
        <w:t>”). Tenant shall exercise the Termination Option by (i) delivering to Landlord no less than ninety (90) days’ prior written notice (the “</w:t>
      </w:r>
      <w:r>
        <w:rPr>
          <w:rFonts w:ascii="Times New Roman" w:cs="Times New Roman" w:eastAsia="Times New Roman" w:hAnsi="Times New Roman"/>
          <w:sz w:val="21"/>
          <w:szCs w:val="21"/>
          <w:b w:val="1"/>
          <w:bCs w:val="1"/>
          <w:color w:val="auto"/>
        </w:rPr>
        <w:t>Termination Notice</w:t>
      </w:r>
      <w:r>
        <w:rPr>
          <w:rFonts w:ascii="Times New Roman" w:cs="Times New Roman" w:eastAsia="Times New Roman" w:hAnsi="Times New Roman"/>
          <w:sz w:val="21"/>
          <w:szCs w:val="21"/>
          <w:color w:val="auto"/>
        </w:rPr>
        <w:t>”) of such election to terminate this Lease and (ii) paying to Landlord the Termination Payment (as hereinafter defined) concurrently with the Termination Notice. If Tenant properly delivers the Termination Notice and makes the Termination Payment in a timely manner, then this Lease shall be deemed to have expired by lapse of time on the Early Termination Date. Tenant shall return the Premises to Landlord on the Early Termination Date in accordance with the terms of this Lease. If Tenant fails to make the Termination Payment in a timely manner, then the Termination Option shall, at Landlord’s option, be void. Unless Landlord otherwise agrees in writing, Tenant may not exercise the Termination Option, and no exercise thereof shall be effective, if a default shall exist under this Lease as of the date on which the Termination Notice is given or as of the Early Termination Date provided, however, notwithstanding anything in this Lease to the contrary. Landlord’s acceptance of the Termination Payment shall constitute Landlord’s approval of Tenant’s exercise of the Termination Option for all purposes. Upon Tenant’s delivering the Termination Notice, any and all rights of Tenant to extend the Term or to lease additional space in the Building, whether pursuant to a right of first offer, a right of first refusal, an expansion option, or otherwise, shall immediately be void and of no further force or effect. All obligations of either party to the other which accrue under this Lease on or before the Early Termination Date shall survive such termination. As used herein. “</w:t>
      </w:r>
      <w:r>
        <w:rPr>
          <w:rFonts w:ascii="Times New Roman" w:cs="Times New Roman" w:eastAsia="Times New Roman" w:hAnsi="Times New Roman"/>
          <w:sz w:val="21"/>
          <w:szCs w:val="21"/>
          <w:b w:val="1"/>
          <w:bCs w:val="1"/>
          <w:color w:val="auto"/>
        </w:rPr>
        <w:t>Termination Payment</w:t>
      </w:r>
      <w:r>
        <w:rPr>
          <w:rFonts w:ascii="Times New Roman" w:cs="Times New Roman" w:eastAsia="Times New Roman" w:hAnsi="Times New Roman"/>
          <w:sz w:val="21"/>
          <w:szCs w:val="21"/>
          <w:color w:val="auto"/>
        </w:rPr>
        <w:t>” shall mean an amount equal to the remaining Rent due under this Lease for the remainder of the Term as of the Early Termination Date discounted at a rate of five percent (5%). If Tenant leases additional space in the Building, then the Termination Payment shall be increased by the unamortized balance of the leasing costs described in any lease amendment executed by Tenant in connection therewith attributable to the leasing of such additional space (e.g., construction allowances, brokerage commissions, attorneys’ fees and abated rent) as of the Early Termination Date. The amortization of the leasing costs for such additional space shall be from the commencement date of the term of the Lease with respect to such other space through the expiration date on a straight line basis.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86"/>
        </w:trPr>
        <w:tc>
          <w:tcPr>
            <w:tcW w:w="4640" w:type="dxa"/>
            <w:vAlign w:val="bottom"/>
            <w:gridSpan w:val="3"/>
          </w:tcPr>
          <w:p>
            <w:pPr>
              <w:ind w:left="100"/>
              <w:spacing w:after="0"/>
              <w:rPr>
                <w:sz w:val="20"/>
                <w:szCs w:val="20"/>
                <w:color w:val="auto"/>
              </w:rPr>
            </w:pPr>
            <w:r>
              <w:rPr>
                <w:rFonts w:ascii="Times New Roman" w:cs="Times New Roman" w:eastAsia="Times New Roman" w:hAnsi="Times New Roman"/>
                <w:sz w:val="22"/>
                <w:szCs w:val="22"/>
                <w:b w:val="1"/>
                <w:bCs w:val="1"/>
                <w:color w:val="auto"/>
              </w:rPr>
              <w:t>LANDLORD:</w:t>
            </w:r>
          </w:p>
        </w:tc>
        <w:tc>
          <w:tcPr>
            <w:tcW w:w="6600" w:type="dxa"/>
            <w:vAlign w:val="bottom"/>
            <w:gridSpan w:val="6"/>
          </w:tcPr>
          <w:p>
            <w:pPr>
              <w:ind w:left="1080"/>
              <w:spacing w:after="0"/>
              <w:rPr>
                <w:sz w:val="20"/>
                <w:szCs w:val="20"/>
                <w:color w:val="auto"/>
              </w:rPr>
            </w:pPr>
            <w:r>
              <w:rPr>
                <w:rFonts w:ascii="Times New Roman" w:cs="Times New Roman" w:eastAsia="Times New Roman" w:hAnsi="Times New Roman"/>
                <w:sz w:val="22"/>
                <w:szCs w:val="22"/>
                <w:b w:val="1"/>
                <w:bCs w:val="1"/>
                <w:color w:val="auto"/>
              </w:rPr>
              <w:t>WITNESS:</w:t>
            </w:r>
          </w:p>
        </w:tc>
        <w:tc>
          <w:tcPr>
            <w:tcW w:w="0" w:type="dxa"/>
            <w:vAlign w:val="bottom"/>
          </w:tcPr>
          <w:p>
            <w:pPr>
              <w:spacing w:after="0"/>
              <w:rPr>
                <w:sz w:val="1"/>
                <w:szCs w:val="1"/>
                <w:color w:val="auto"/>
              </w:rPr>
            </w:pPr>
          </w:p>
        </w:tc>
      </w:tr>
      <w:tr>
        <w:trPr>
          <w:trHeight w:val="420"/>
        </w:trPr>
        <w:tc>
          <w:tcPr>
            <w:tcW w:w="4640" w:type="dxa"/>
            <w:vAlign w:val="bottom"/>
            <w:gridSpan w:val="3"/>
          </w:tcPr>
          <w:p>
            <w:pPr>
              <w:ind w:left="100"/>
              <w:spacing w:after="0"/>
              <w:rPr>
                <w:sz w:val="20"/>
                <w:szCs w:val="20"/>
                <w:color w:val="auto"/>
              </w:rPr>
            </w:pPr>
            <w:r>
              <w:rPr>
                <w:rFonts w:ascii="Times New Roman" w:cs="Times New Roman" w:eastAsia="Times New Roman" w:hAnsi="Times New Roman"/>
                <w:sz w:val="22"/>
                <w:szCs w:val="22"/>
                <w:b w:val="1"/>
                <w:bCs w:val="1"/>
                <w:color w:val="auto"/>
              </w:rPr>
              <w:t>CHALLENGER-DISCOVERY, LLC</w:t>
            </w:r>
            <w:r>
              <w:rPr>
                <w:rFonts w:ascii="Times New Roman" w:cs="Times New Roman" w:eastAsia="Times New Roman" w:hAnsi="Times New Roman"/>
                <w:sz w:val="22"/>
                <w:szCs w:val="22"/>
                <w:color w:val="auto"/>
              </w:rPr>
              <w:t>, a</w:t>
            </w: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6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Delaware limited liability company</w:t>
            </w: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0"/>
        </w:trPr>
        <w:tc>
          <w:tcPr>
            <w:tcW w:w="46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By: /s/ Kathleen Keller</w:t>
            </w:r>
          </w:p>
        </w:tc>
        <w:tc>
          <w:tcPr>
            <w:tcW w:w="6600" w:type="dxa"/>
            <w:vAlign w:val="bottom"/>
            <w:gridSpan w:val="6"/>
          </w:tcPr>
          <w:p>
            <w:pPr>
              <w:ind w:left="1340"/>
              <w:spacing w:after="0"/>
              <w:rPr>
                <w:sz w:val="20"/>
                <w:szCs w:val="20"/>
                <w:color w:val="auto"/>
              </w:rPr>
            </w:pPr>
            <w:r>
              <w:rPr>
                <w:rFonts w:ascii="Times New Roman" w:cs="Times New Roman" w:eastAsia="Times New Roman" w:hAnsi="Times New Roman"/>
                <w:sz w:val="22"/>
                <w:szCs w:val="22"/>
                <w:color w:val="auto"/>
              </w:rPr>
              <w:t>/s/ Ashley Dederino</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gridSpan w:val="3"/>
          </w:tcPr>
          <w:p>
            <w:pPr>
              <w:ind w:left="260"/>
              <w:spacing w:after="0" w:line="223" w:lineRule="exact"/>
              <w:rPr>
                <w:sz w:val="20"/>
                <w:szCs w:val="20"/>
                <w:color w:val="auto"/>
              </w:rPr>
            </w:pPr>
            <w:r>
              <w:rPr>
                <w:rFonts w:ascii="Times New Roman" w:cs="Times New Roman" w:eastAsia="Times New Roman" w:hAnsi="Times New Roman"/>
                <w:sz w:val="22"/>
                <w:szCs w:val="22"/>
                <w:color w:val="auto"/>
              </w:rPr>
              <w:t>Name: Kathleen Keller</w:t>
            </w:r>
          </w:p>
        </w:tc>
        <w:tc>
          <w:tcPr>
            <w:tcW w:w="6600" w:type="dxa"/>
            <w:vAlign w:val="bottom"/>
            <w:gridSpan w:val="6"/>
          </w:tcPr>
          <w:p>
            <w:pPr>
              <w:ind w:left="1340"/>
              <w:spacing w:after="0" w:line="223" w:lineRule="exact"/>
              <w:rPr>
                <w:sz w:val="20"/>
                <w:szCs w:val="20"/>
                <w:color w:val="auto"/>
              </w:rPr>
            </w:pPr>
            <w:r>
              <w:rPr>
                <w:rFonts w:ascii="Times New Roman" w:cs="Times New Roman" w:eastAsia="Times New Roman" w:hAnsi="Times New Roman"/>
                <w:sz w:val="22"/>
                <w:szCs w:val="22"/>
                <w:color w:val="auto"/>
              </w:rPr>
              <w:t>/s/ Isabel Rachel Lantry</w:t>
            </w:r>
          </w:p>
        </w:tc>
        <w:tc>
          <w:tcPr>
            <w:tcW w:w="0" w:type="dxa"/>
            <w:vAlign w:val="bottom"/>
          </w:tcPr>
          <w:p>
            <w:pPr>
              <w:spacing w:after="0"/>
              <w:rPr>
                <w:sz w:val="1"/>
                <w:szCs w:val="1"/>
                <w:color w:val="auto"/>
              </w:rPr>
            </w:pPr>
          </w:p>
        </w:tc>
      </w:tr>
      <w:tr>
        <w:trPr>
          <w:trHeight w:val="275"/>
        </w:trPr>
        <w:tc>
          <w:tcPr>
            <w:tcW w:w="46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Title: Secretary/Treasurer</w:t>
            </w:r>
          </w:p>
        </w:tc>
        <w:tc>
          <w:tcPr>
            <w:tcW w:w="1340" w:type="dxa"/>
            <w:vAlign w:val="bottom"/>
          </w:tcPr>
          <w:p>
            <w:pPr>
              <w:spacing w:after="0"/>
              <w:rPr>
                <w:sz w:val="23"/>
                <w:szCs w:val="23"/>
                <w:color w:val="auto"/>
              </w:rPr>
            </w:pPr>
          </w:p>
        </w:tc>
        <w:tc>
          <w:tcPr>
            <w:tcW w:w="16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5"/>
        </w:trPr>
        <w:tc>
          <w:tcPr>
            <w:tcW w:w="4640" w:type="dxa"/>
            <w:vAlign w:val="bottom"/>
            <w:gridSpan w:val="3"/>
          </w:tcPr>
          <w:p>
            <w:pPr>
              <w:ind w:left="100"/>
              <w:spacing w:after="0"/>
              <w:rPr>
                <w:sz w:val="20"/>
                <w:szCs w:val="20"/>
                <w:color w:val="auto"/>
              </w:rPr>
            </w:pPr>
            <w:r>
              <w:rPr>
                <w:rFonts w:ascii="Times New Roman" w:cs="Times New Roman" w:eastAsia="Times New Roman" w:hAnsi="Times New Roman"/>
                <w:sz w:val="22"/>
                <w:szCs w:val="22"/>
                <w:b w:val="1"/>
                <w:bCs w:val="1"/>
                <w:color w:val="auto"/>
              </w:rPr>
              <w:t>TENANT:</w:t>
            </w:r>
          </w:p>
        </w:tc>
        <w:tc>
          <w:tcPr>
            <w:tcW w:w="6600" w:type="dxa"/>
            <w:vAlign w:val="bottom"/>
            <w:gridSpan w:val="6"/>
          </w:tcPr>
          <w:p>
            <w:pPr>
              <w:ind w:left="1080"/>
              <w:spacing w:after="0"/>
              <w:rPr>
                <w:sz w:val="20"/>
                <w:szCs w:val="20"/>
                <w:color w:val="auto"/>
              </w:rPr>
            </w:pPr>
            <w:r>
              <w:rPr>
                <w:rFonts w:ascii="Times New Roman" w:cs="Times New Roman" w:eastAsia="Times New Roman" w:hAnsi="Times New Roman"/>
                <w:sz w:val="22"/>
                <w:szCs w:val="22"/>
                <w:b w:val="1"/>
                <w:bCs w:val="1"/>
                <w:color w:val="auto"/>
              </w:rPr>
              <w:t>WITNESS:</w:t>
            </w:r>
          </w:p>
        </w:tc>
        <w:tc>
          <w:tcPr>
            <w:tcW w:w="0" w:type="dxa"/>
            <w:vAlign w:val="bottom"/>
          </w:tcPr>
          <w:p>
            <w:pPr>
              <w:spacing w:after="0"/>
              <w:rPr>
                <w:sz w:val="1"/>
                <w:szCs w:val="1"/>
                <w:color w:val="auto"/>
              </w:rPr>
            </w:pPr>
          </w:p>
        </w:tc>
      </w:tr>
      <w:tr>
        <w:trPr>
          <w:trHeight w:val="459"/>
        </w:trPr>
        <w:tc>
          <w:tcPr>
            <w:tcW w:w="4640" w:type="dxa"/>
            <w:vAlign w:val="bottom"/>
            <w:gridSpan w:val="3"/>
          </w:tcPr>
          <w:p>
            <w:pPr>
              <w:ind w:left="100"/>
              <w:spacing w:after="0"/>
              <w:rPr>
                <w:sz w:val="20"/>
                <w:szCs w:val="20"/>
                <w:color w:val="auto"/>
              </w:rPr>
            </w:pPr>
            <w:r>
              <w:rPr>
                <w:rFonts w:ascii="Times New Roman" w:cs="Times New Roman" w:eastAsia="Times New Roman" w:hAnsi="Times New Roman"/>
                <w:sz w:val="22"/>
                <w:szCs w:val="22"/>
                <w:b w:val="1"/>
                <w:bCs w:val="1"/>
                <w:color w:val="auto"/>
              </w:rPr>
              <w:t>LENSAR, INC.</w:t>
            </w:r>
            <w:r>
              <w:rPr>
                <w:rFonts w:ascii="Times New Roman" w:cs="Times New Roman" w:eastAsia="Times New Roman" w:hAnsi="Times New Roman"/>
                <w:sz w:val="22"/>
                <w:szCs w:val="22"/>
                <w:color w:val="auto"/>
              </w:rPr>
              <w:t>, a Delaware corporation</w:t>
            </w: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1"/>
        </w:trPr>
        <w:tc>
          <w:tcPr>
            <w:tcW w:w="46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By: /s/ Monty K. Allen</w:t>
            </w:r>
          </w:p>
        </w:tc>
        <w:tc>
          <w:tcPr>
            <w:tcW w:w="6600" w:type="dxa"/>
            <w:vAlign w:val="bottom"/>
            <w:gridSpan w:val="6"/>
          </w:tcPr>
          <w:p>
            <w:pPr>
              <w:ind w:left="1340"/>
              <w:spacing w:after="0"/>
              <w:rPr>
                <w:sz w:val="20"/>
                <w:szCs w:val="20"/>
                <w:color w:val="auto"/>
              </w:rPr>
            </w:pPr>
            <w:r>
              <w:rPr>
                <w:rFonts w:ascii="Times New Roman" w:cs="Times New Roman" w:eastAsia="Times New Roman" w:hAnsi="Times New Roman"/>
                <w:sz w:val="22"/>
                <w:szCs w:val="22"/>
                <w:color w:val="auto"/>
              </w:rPr>
              <w:t>/s/ Mary K. Zimmerman</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3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gridSpan w:val="3"/>
          </w:tcPr>
          <w:p>
            <w:pPr>
              <w:ind w:left="260"/>
              <w:spacing w:after="0" w:line="223" w:lineRule="exact"/>
              <w:rPr>
                <w:sz w:val="20"/>
                <w:szCs w:val="20"/>
                <w:color w:val="auto"/>
              </w:rPr>
            </w:pPr>
            <w:r>
              <w:rPr>
                <w:rFonts w:ascii="Times New Roman" w:cs="Times New Roman" w:eastAsia="Times New Roman" w:hAnsi="Times New Roman"/>
                <w:sz w:val="22"/>
                <w:szCs w:val="22"/>
                <w:color w:val="auto"/>
              </w:rPr>
              <w:t>Name: Monty K. Allen</w:t>
            </w:r>
          </w:p>
        </w:tc>
        <w:tc>
          <w:tcPr>
            <w:tcW w:w="1340" w:type="dxa"/>
            <w:vAlign w:val="bottom"/>
            <w:vMerge w:val="continue"/>
          </w:tcPr>
          <w:p>
            <w:pPr>
              <w:spacing w:after="0"/>
              <w:rPr>
                <w:sz w:val="19"/>
                <w:szCs w:val="19"/>
                <w:color w:val="auto"/>
              </w:rPr>
            </w:pPr>
          </w:p>
        </w:tc>
        <w:tc>
          <w:tcPr>
            <w:tcW w:w="2120" w:type="dxa"/>
            <w:vAlign w:val="bottom"/>
            <w:gridSpan w:val="4"/>
          </w:tcPr>
          <w:p>
            <w:pPr>
              <w:spacing w:after="0" w:line="223" w:lineRule="exact"/>
              <w:rPr>
                <w:sz w:val="20"/>
                <w:szCs w:val="20"/>
                <w:color w:val="auto"/>
              </w:rPr>
            </w:pPr>
            <w:r>
              <w:rPr>
                <w:rFonts w:ascii="Times New Roman" w:cs="Times New Roman" w:eastAsia="Times New Roman" w:hAnsi="Times New Roman"/>
                <w:sz w:val="22"/>
                <w:szCs w:val="22"/>
                <w:color w:val="auto"/>
              </w:rPr>
              <w:t>/s/ Amy R. Brooks</w:t>
            </w:r>
          </w:p>
        </w:tc>
        <w:tc>
          <w:tcPr>
            <w:tcW w:w="3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464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Title: Secretary and Treasurer</w:t>
            </w:r>
          </w:p>
        </w:tc>
        <w:tc>
          <w:tcPr>
            <w:tcW w:w="134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rPr>
              <w:t>31</w:t>
            </w:r>
          </w:p>
        </w:tc>
        <w:tc>
          <w:tcPr>
            <w:tcW w:w="16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8"/>
        </w:trPr>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0"/>
        </w:trPr>
        <w:tc>
          <w:tcPr>
            <w:tcW w:w="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 TO LEASE</w:t>
      </w:r>
    </w:p>
    <w:p>
      <w:pPr>
        <w:spacing w:after="0" w:line="206" w:lineRule="exact"/>
        <w:rPr>
          <w:sz w:val="20"/>
          <w:szCs w:val="20"/>
          <w:color w:val="auto"/>
        </w:rPr>
      </w:pPr>
    </w:p>
    <w:p>
      <w:pPr>
        <w:jc w:val="both"/>
        <w:ind w:firstLine="749"/>
        <w:spacing w:after="0" w:line="262" w:lineRule="exact"/>
        <w:rPr>
          <w:sz w:val="20"/>
          <w:szCs w:val="20"/>
          <w:color w:val="auto"/>
        </w:rPr>
      </w:pPr>
      <w:r>
        <w:rPr>
          <w:rFonts w:ascii="Times New Roman" w:cs="Times New Roman" w:eastAsia="Times New Roman" w:hAnsi="Times New Roman"/>
          <w:sz w:val="22"/>
          <w:szCs w:val="22"/>
          <w:b w:val="1"/>
          <w:bCs w:val="1"/>
          <w:color w:val="auto"/>
        </w:rPr>
        <w:t xml:space="preserve">THIS FIRST AMENDMENT TO LEASE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is entered into as of March 15, 2016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by and between</w:t>
      </w:r>
      <w:r>
        <w:rPr>
          <w:rFonts w:ascii="Times New Roman" w:cs="Times New Roman" w:eastAsia="Times New Roman" w:hAnsi="Times New Roman"/>
          <w:sz w:val="22"/>
          <w:szCs w:val="22"/>
          <w:b w:val="1"/>
          <w:bCs w:val="1"/>
          <w:color w:val="auto"/>
        </w:rPr>
        <w:t xml:space="preserve"> CHALLENGER</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 DISCOVERY, LLC</w:t>
      </w:r>
      <w:r>
        <w:rPr>
          <w:rFonts w:ascii="Times New Roman" w:cs="Times New Roman" w:eastAsia="Times New Roman" w:hAnsi="Times New Roman"/>
          <w:sz w:val="22"/>
          <w:szCs w:val="22"/>
          <w:color w:val="auto"/>
        </w:rPr>
        <w:t>, a Delaware limited liability company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LENSAR, LLC</w:t>
      </w:r>
      <w:r>
        <w:rPr>
          <w:rFonts w:ascii="Times New Roman" w:cs="Times New Roman" w:eastAsia="Times New Roman" w:hAnsi="Times New Roman"/>
          <w:sz w:val="22"/>
          <w:szCs w:val="22"/>
          <w:color w:val="auto"/>
        </w:rPr>
        <w:t>, a Delaware limited liability company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 E C I T A L S:</w:t>
      </w:r>
    </w:p>
    <w:p>
      <w:pPr>
        <w:spacing w:after="0" w:line="210" w:lineRule="exact"/>
        <w:rPr>
          <w:sz w:val="20"/>
          <w:szCs w:val="20"/>
          <w:color w:val="auto"/>
        </w:rPr>
      </w:pPr>
    </w:p>
    <w:p>
      <w:pPr>
        <w:jc w:val="both"/>
        <w:ind w:firstLine="757"/>
        <w:spacing w:after="0" w:line="238" w:lineRule="auto"/>
        <w:tabs>
          <w:tab w:leader="none" w:pos="118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Lensar, Inc., a Delaware corporation, entered into that certain Industrial Real Estate Lease dated July 30, 2010, as assigned to Tenant by that certain Assignment and Assumption of Lease dated December 15, 2015 (collectively, 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pursuant to which Tenant leases from Landlord that certain premises known as Suite 100, consisting of approximately 34,758 square feet of rentable area (the “</w:t>
      </w:r>
      <w:r>
        <w:rPr>
          <w:rFonts w:ascii="Times New Roman" w:cs="Times New Roman" w:eastAsia="Times New Roman" w:hAnsi="Times New Roman"/>
          <w:sz w:val="22"/>
          <w:szCs w:val="22"/>
          <w:b w:val="1"/>
          <w:bCs w:val="1"/>
          <w:color w:val="auto"/>
        </w:rPr>
        <w:t>Original Premises</w:t>
      </w:r>
      <w:r>
        <w:rPr>
          <w:rFonts w:ascii="Times New Roman" w:cs="Times New Roman" w:eastAsia="Times New Roman" w:hAnsi="Times New Roman"/>
          <w:sz w:val="22"/>
          <w:szCs w:val="22"/>
          <w:color w:val="auto"/>
        </w:rPr>
        <w:t>”) in the building located at 2800 Discovery Dive, Orlando, Florida (the “</w:t>
      </w:r>
      <w:r>
        <w:rPr>
          <w:rFonts w:ascii="Times New Roman" w:cs="Times New Roman" w:eastAsia="Times New Roman" w:hAnsi="Times New Roman"/>
          <w:sz w:val="22"/>
          <w:szCs w:val="22"/>
          <w:b w:val="1"/>
          <w:bCs w:val="1"/>
          <w:color w:val="auto"/>
        </w:rPr>
        <w:t>Building</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have agreed that Tenant shall reduce the size of the Original Premises by approximately 812 square feet of rentable area by eliminating the common restrooms located on the north end of the Premises (the “</w:t>
      </w:r>
      <w:r>
        <w:rPr>
          <w:rFonts w:ascii="Times New Roman" w:cs="Times New Roman" w:eastAsia="Times New Roman" w:hAnsi="Times New Roman"/>
          <w:sz w:val="22"/>
          <w:szCs w:val="22"/>
          <w:b w:val="1"/>
          <w:bCs w:val="1"/>
          <w:color w:val="auto"/>
        </w:rPr>
        <w:t>Terminated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Space</w:t>
      </w:r>
      <w:r>
        <w:rPr>
          <w:rFonts w:ascii="Times New Roman" w:cs="Times New Roman" w:eastAsia="Times New Roman" w:hAnsi="Times New Roman"/>
          <w:sz w:val="22"/>
          <w:szCs w:val="22"/>
          <w:color w:val="auto"/>
        </w:rPr>
        <w:t>”) as more fully depicted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hereto. The Original Premises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Terminated Space shall total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approximately 33,946 rentable square feet (subject to verification upon final measurement by Landlord) and shall be known, collectively, as the “</w:t>
      </w:r>
      <w:r>
        <w:rPr>
          <w:rFonts w:ascii="Times New Roman" w:cs="Times New Roman" w:eastAsia="Times New Roman" w:hAnsi="Times New Roman"/>
          <w:sz w:val="22"/>
          <w:szCs w:val="22"/>
          <w:b w:val="1"/>
          <w:bCs w:val="1"/>
          <w:color w:val="auto"/>
        </w:rPr>
        <w:t>Premises</w:t>
      </w:r>
      <w:r>
        <w:rPr>
          <w:rFonts w:ascii="Times New Roman" w:cs="Times New Roman" w:eastAsia="Times New Roman" w:hAnsi="Times New Roman"/>
          <w:sz w:val="22"/>
          <w:szCs w:val="22"/>
          <w:color w:val="auto"/>
        </w:rPr>
        <w:t xml:space="preserve">”. The Premises is more fully depicted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current term of the Lease is scheduled to expire on April 30, 2016.</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hereof, Landlord and Tenant have agreed to extend the term of the Lease to July 31, 2021.</w:t>
      </w:r>
    </w:p>
    <w:p>
      <w:pPr>
        <w:spacing w:after="0" w:line="20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herein and for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of which are hereby acknowledged, Landlord and Tenant agree to amend the Lease as follows:</w:t>
      </w:r>
    </w:p>
    <w:p>
      <w:pPr>
        <w:spacing w:after="0" w:line="167" w:lineRule="exact"/>
        <w:rPr>
          <w:sz w:val="20"/>
          <w:szCs w:val="20"/>
          <w:color w:val="auto"/>
        </w:rPr>
      </w:pPr>
    </w:p>
    <w:p>
      <w:pPr>
        <w:ind w:left="1180" w:hanging="423"/>
        <w:spacing w:after="0"/>
        <w:tabs>
          <w:tab w:leader="none" w:pos="118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Extension of the Term of the Lease</w:t>
      </w:r>
      <w:r>
        <w:rPr>
          <w:rFonts w:ascii="Times New Roman" w:cs="Times New Roman" w:eastAsia="Times New Roman" w:hAnsi="Times New Roman"/>
          <w:sz w:val="22"/>
          <w:szCs w:val="22"/>
          <w:color w:val="auto"/>
        </w:rPr>
        <w:t>. The term of the Lease is hereby extended for a period of sixty-three months</w:t>
      </w:r>
    </w:p>
    <w:p>
      <w:pPr>
        <w:spacing w:after="0" w:line="18" w:lineRule="exact"/>
        <w:rPr>
          <w:rFonts w:ascii="Times New Roman" w:cs="Times New Roman" w:eastAsia="Times New Roman" w:hAnsi="Times New Roman"/>
          <w:sz w:val="22"/>
          <w:szCs w:val="22"/>
          <w:color w:val="auto"/>
        </w:rPr>
      </w:pPr>
    </w:p>
    <w:p>
      <w:pPr>
        <w:jc w:val="both"/>
        <w:ind w:firstLine="8"/>
        <w:spacing w:after="0" w:line="234" w:lineRule="auto"/>
        <w:tabs>
          <w:tab w:leader="none" w:pos="42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on May 1, 2016 (the “</w:t>
      </w:r>
      <w:r>
        <w:rPr>
          <w:rFonts w:ascii="Times New Roman" w:cs="Times New Roman" w:eastAsia="Times New Roman" w:hAnsi="Times New Roman"/>
          <w:sz w:val="22"/>
          <w:szCs w:val="22"/>
          <w:b w:val="1"/>
          <w:bCs w:val="1"/>
          <w:color w:val="auto"/>
        </w:rPr>
        <w:t>Commencement Date</w:t>
      </w:r>
      <w:r>
        <w:rPr>
          <w:rFonts w:ascii="Times New Roman" w:cs="Times New Roman" w:eastAsia="Times New Roman" w:hAnsi="Times New Roman"/>
          <w:sz w:val="22"/>
          <w:szCs w:val="22"/>
          <w:color w:val="auto"/>
        </w:rPr>
        <w:t>”) and expiring on July 31, 2021 (the “</w:t>
      </w:r>
      <w:r>
        <w:rPr>
          <w:rFonts w:ascii="Times New Roman" w:cs="Times New Roman" w:eastAsia="Times New Roman" w:hAnsi="Times New Roman"/>
          <w:sz w:val="22"/>
          <w:szCs w:val="22"/>
          <w:b w:val="1"/>
          <w:bCs w:val="1"/>
          <w:color w:val="auto"/>
        </w:rPr>
        <w:t>Extension Term</w:t>
      </w:r>
      <w:r>
        <w:rPr>
          <w:rFonts w:ascii="Times New Roman" w:cs="Times New Roman" w:eastAsia="Times New Roman" w:hAnsi="Times New Roman"/>
          <w:sz w:val="22"/>
          <w:szCs w:val="22"/>
          <w:color w:val="auto"/>
        </w:rPr>
        <w:t>”). All of the terms and provisions of the Lease shall continue to apply with respect to the Extension Term, except as specifically modified herein. Except as provided in Section 7 of this Amendment entitled “Renewal Option”, Tenant acknowledges that Tenant has no further right or option to extend the term of the Lease.</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Terminated Space</w:t>
      </w:r>
      <w:r>
        <w:rPr>
          <w:rFonts w:ascii="Times New Roman" w:cs="Times New Roman" w:eastAsia="Times New Roman" w:hAnsi="Times New Roman"/>
          <w:sz w:val="22"/>
          <w:szCs w:val="22"/>
          <w:color w:val="auto"/>
        </w:rPr>
        <w:t>. Effective on the Commencement Date, the Premises shall be reduced to approximately 33,946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rentable square feet of space in the Building as shown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Upon the later to occur of the Commencement Date or the Restroom Completion Date (as defined below), Tenant shall vacate and deliver full possession of the Terminated Space in the condition required by the Lease, including, without limitation, performance of Tenant’s restoration obligations. Tenant shall not have any rights, liabilities, or obligations under this Lease with respect to the Terminated Space for the period first accruing after the Commencement Date, except those that, by the provisions of the Lease, are intended to survive the expiration or termination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8" w:name="page169"/>
    <w:bookmarkEnd w:id="168"/>
    <w:p>
      <w:pPr>
        <w:ind w:right="20"/>
        <w:spacing w:after="0" w:line="258" w:lineRule="auto"/>
        <w:rPr>
          <w:sz w:val="20"/>
          <w:szCs w:val="20"/>
          <w:color w:val="auto"/>
        </w:rPr>
      </w:pPr>
      <w:r>
        <w:rPr>
          <w:rFonts w:ascii="Times New Roman" w:cs="Times New Roman" w:eastAsia="Times New Roman" w:hAnsi="Times New Roman"/>
          <w:sz w:val="22"/>
          <w:szCs w:val="22"/>
          <w:color w:val="auto"/>
        </w:rPr>
        <w:t>the Lease (specifically including, without limitation, the obligation to make a final reconciliation of Additional Rent owing for the Terminated Space, as required by the Lease).</w:t>
      </w:r>
    </w:p>
    <w:p>
      <w:pPr>
        <w:spacing w:after="0" w:line="154" w:lineRule="exact"/>
        <w:rPr>
          <w:sz w:val="20"/>
          <w:szCs w:val="20"/>
          <w:color w:val="auto"/>
        </w:rPr>
      </w:pPr>
    </w:p>
    <w:p>
      <w:pPr>
        <w:jc w:val="both"/>
        <w:ind w:firstLine="757"/>
        <w:spacing w:after="0" w:line="246" w:lineRule="auto"/>
        <w:tabs>
          <w:tab w:leader="none" w:pos="118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Base Rent</w:t>
      </w:r>
      <w:r>
        <w:rPr>
          <w:rFonts w:ascii="Times New Roman" w:cs="Times New Roman" w:eastAsia="Times New Roman" w:hAnsi="Times New Roman"/>
          <w:sz w:val="22"/>
          <w:szCs w:val="22"/>
          <w:color w:val="auto"/>
        </w:rPr>
        <w:t>. From and after the Commencement Date, Tenant shall pay to Landlord Base Rent in the manner and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times set forth in Article 4 of the Lease and in an amount hereinafter provided, without demand, deduction or setoff, except as expressly provided in the Lease. From and after the Commencement Date, Base Rent shall be as follows: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w w:val="98"/>
              </w:rPr>
              <w:t>Period Installment</w:t>
            </w:r>
          </w:p>
        </w:tc>
        <w:tc>
          <w:tcPr>
            <w:tcW w:w="236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3"/>
              </w:rPr>
              <w:t>RSF</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8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w w:val="97"/>
              </w:rPr>
              <w:t>Annual Base Rent</w:t>
            </w:r>
          </w:p>
        </w:tc>
        <w:tc>
          <w:tcPr>
            <w:tcW w:w="14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w w:val="96"/>
              </w:rPr>
              <w:t>Monthly</w:t>
            </w:r>
          </w:p>
        </w:tc>
      </w:tr>
      <w:tr>
        <w:trPr>
          <w:trHeight w:val="20"/>
        </w:trPr>
        <w:tc>
          <w:tcPr>
            <w:tcW w:w="1200" w:type="dxa"/>
            <w:vAlign w:val="bottom"/>
            <w:gridSpan w:val="2"/>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1"/>
        </w:trPr>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Commencement Date –</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October 31, 2016*</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$7.375</w:t>
            </w:r>
          </w:p>
        </w:tc>
        <w:tc>
          <w:tcPr>
            <w:tcW w:w="310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$250,351.75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$20,862.65</w:t>
            </w:r>
          </w:p>
        </w:tc>
      </w:tr>
      <w:tr>
        <w:trPr>
          <w:trHeight w:val="441"/>
        </w:trPr>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November 1, 2016 – April 30, 2017</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$14.75</w:t>
            </w:r>
          </w:p>
        </w:tc>
        <w:tc>
          <w:tcPr>
            <w:tcW w:w="310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$500,703.50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$41,725.29</w:t>
            </w:r>
          </w:p>
        </w:tc>
      </w:tr>
      <w:tr>
        <w:trPr>
          <w:trHeight w:val="216"/>
        </w:trPr>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May 1, 2017 – April 30, 2018</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$15.19</w:t>
            </w:r>
          </w:p>
        </w:tc>
        <w:tc>
          <w:tcPr>
            <w:tcW w:w="310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$515,639.74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$42,969.98</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May 1, 2018</w:t>
            </w: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April 30, 2019</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$15.65</w:t>
            </w:r>
          </w:p>
        </w:tc>
        <w:tc>
          <w:tcPr>
            <w:tcW w:w="310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$531,254.90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$44,271.24</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May 1, 2019</w:t>
            </w: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April 30, 2020</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$16.12</w:t>
            </w:r>
          </w:p>
        </w:tc>
        <w:tc>
          <w:tcPr>
            <w:tcW w:w="310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$547,209.52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$45,600.79</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May 1, 2020</w:t>
            </w: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April 30, 2021</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$16.60</w:t>
            </w:r>
          </w:p>
        </w:tc>
        <w:tc>
          <w:tcPr>
            <w:tcW w:w="310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$563,503.60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$46,958.63</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May 1, 2021</w:t>
            </w: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July 31, 2021</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$17.10</w:t>
            </w:r>
          </w:p>
        </w:tc>
        <w:tc>
          <w:tcPr>
            <w:tcW w:w="310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$580,476.60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$48,373.05</w:t>
            </w:r>
          </w:p>
        </w:tc>
      </w:tr>
    </w:tbl>
    <w:p>
      <w:pPr>
        <w:spacing w:after="0" w:line="21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*Notwithstanding anything to the contrary contained herein, so long as Tenant is not in default under the Lease, Tenant’s obligation to pay fifty percent (50%) of the Base Rent otherwise due for the Premises for the Commencement Date – October 31, 2016 (the “</w:t>
      </w:r>
      <w:r>
        <w:rPr>
          <w:rFonts w:ascii="Times New Roman" w:cs="Times New Roman" w:eastAsia="Times New Roman" w:hAnsi="Times New Roman"/>
          <w:sz w:val="22"/>
          <w:szCs w:val="22"/>
          <w:b w:val="1"/>
          <w:bCs w:val="1"/>
          <w:color w:val="auto"/>
        </w:rPr>
        <w:t>Abatement Period</w:t>
      </w:r>
      <w:r>
        <w:rPr>
          <w:rFonts w:ascii="Times New Roman" w:cs="Times New Roman" w:eastAsia="Times New Roman" w:hAnsi="Times New Roman"/>
          <w:sz w:val="22"/>
          <w:szCs w:val="22"/>
          <w:color w:val="auto"/>
        </w:rPr>
        <w:t>”) shall be abated. Accordingly, the total amount of Base Rent abated during the Abatement Period shall equal $125,175.87 (the “</w:t>
      </w:r>
      <w:r>
        <w:rPr>
          <w:rFonts w:ascii="Times New Roman" w:cs="Times New Roman" w:eastAsia="Times New Roman" w:hAnsi="Times New Roman"/>
          <w:sz w:val="22"/>
          <w:szCs w:val="22"/>
          <w:b w:val="1"/>
          <w:bCs w:val="1"/>
          <w:color w:val="auto"/>
        </w:rPr>
        <w:t>Abated Base Rent</w:t>
      </w:r>
      <w:r>
        <w:rPr>
          <w:rFonts w:ascii="Times New Roman" w:cs="Times New Roman" w:eastAsia="Times New Roman" w:hAnsi="Times New Roman"/>
          <w:sz w:val="22"/>
          <w:szCs w:val="22"/>
          <w:color w:val="auto"/>
        </w:rPr>
        <w:t>”). If Landlord elects to terminate the Lease or Tenant’s right to possession of the Premises due to a default by Tenant not cured during any applicable grace or curative period, then (i) the portion of the Abated Base Rent unamortized as of the date of such default, shall immediately become due and payable; and (ii) Tenant shall not be entitled to any further abatement of Base Rent pursuant to this paragraph. The payment by Tenant of the Abated Base Rent in the event of a default shall not limit or affect any of Landlord’s other rights or remedies, in the event of a default by Tenant, pursuant to the Lease or at law or in equity.</w:t>
      </w:r>
    </w:p>
    <w:p>
      <w:pPr>
        <w:spacing w:after="0" w:line="179" w:lineRule="exact"/>
        <w:rPr>
          <w:sz w:val="20"/>
          <w:szCs w:val="20"/>
          <w:color w:val="auto"/>
        </w:rPr>
      </w:pPr>
    </w:p>
    <w:p>
      <w:pPr>
        <w:jc w:val="both"/>
        <w:ind w:firstLine="757"/>
        <w:spacing w:after="0" w:line="235" w:lineRule="auto"/>
        <w:tabs>
          <w:tab w:leader="none" w:pos="118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Additional Rent</w:t>
      </w:r>
      <w:r>
        <w:rPr>
          <w:rFonts w:ascii="Times New Roman" w:cs="Times New Roman" w:eastAsia="Times New Roman" w:hAnsi="Times New Roman"/>
          <w:sz w:val="22"/>
          <w:szCs w:val="22"/>
          <w:color w:val="auto"/>
        </w:rPr>
        <w:t>. Tenant shall continue to pay, in accordance with the Lease, Tenant’s proportionate share of Total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Operating Costs for each year on a net basis, and without regard to any base year. As of the Commencement Date, Tenant’s proportionate share of Total Operating Costs (or Pro Rata Share as defined in the Lease) shall be 75.83%. The Total Operating Costs for 2016 are </w:t>
      </w:r>
      <w:r>
        <w:rPr>
          <w:rFonts w:ascii="Times New Roman" w:cs="Times New Roman" w:eastAsia="Times New Roman" w:hAnsi="Times New Roman"/>
          <w:sz w:val="22"/>
          <w:szCs w:val="22"/>
          <w:i w:val="1"/>
          <w:iCs w:val="1"/>
          <w:u w:val="single" w:color="auto"/>
          <w:color w:val="auto"/>
        </w:rPr>
        <w:t>estimated</w:t>
      </w:r>
      <w:r>
        <w:rPr>
          <w:rFonts w:ascii="Times New Roman" w:cs="Times New Roman" w:eastAsia="Times New Roman" w:hAnsi="Times New Roman"/>
          <w:sz w:val="22"/>
          <w:szCs w:val="22"/>
          <w:color w:val="auto"/>
        </w:rPr>
        <w:t xml:space="preserve"> to be approximately $5.22 per square foot. For purposes of calculating Total Operating Costs, Controllable Operating Costs (as hereinafter defined) shall be deemed to have increased by the actual amount of such increase over the preceding year, but not to exceed six percent (6%) (on a cumulative basis) of such actual (i.e. following end of year reconciliation) costs in each year of this Amendment commencing on the Commencement Date. The term “</w:t>
      </w:r>
      <w:r>
        <w:rPr>
          <w:rFonts w:ascii="Times New Roman" w:cs="Times New Roman" w:eastAsia="Times New Roman" w:hAnsi="Times New Roman"/>
          <w:sz w:val="22"/>
          <w:szCs w:val="22"/>
          <w:b w:val="1"/>
          <w:bCs w:val="1"/>
          <w:color w:val="auto"/>
        </w:rPr>
        <w:t>Controllable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Operating Costs</w:t>
      </w:r>
      <w:r>
        <w:rPr>
          <w:rFonts w:ascii="Times New Roman" w:cs="Times New Roman" w:eastAsia="Times New Roman" w:hAnsi="Times New Roman"/>
          <w:sz w:val="22"/>
          <w:szCs w:val="22"/>
          <w:color w:val="auto"/>
        </w:rPr>
        <w:t>” shall include all Total Operating Costs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u w:val="single" w:color="auto"/>
          <w:color w:val="auto"/>
        </w:rPr>
        <w:t>with the exception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 Property Taxes, Building insurance costs,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utilities, management fees not to exceed five percent (5%) and any research park fees.</w:t>
      </w:r>
    </w:p>
    <w:p>
      <w:pPr>
        <w:spacing w:after="0" w:line="173" w:lineRule="exact"/>
        <w:rPr>
          <w:rFonts w:ascii="Times New Roman" w:cs="Times New Roman" w:eastAsia="Times New Roman" w:hAnsi="Times New Roman"/>
          <w:sz w:val="22"/>
          <w:szCs w:val="22"/>
          <w:color w:val="auto"/>
        </w:rPr>
      </w:pPr>
    </w:p>
    <w:p>
      <w:pPr>
        <w:ind w:firstLine="757"/>
        <w:spacing w:after="0" w:line="262" w:lineRule="auto"/>
        <w:tabs>
          <w:tab w:leader="none" w:pos="118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Florida State Sales Tax</w:t>
      </w:r>
      <w:r>
        <w:rPr>
          <w:rFonts w:ascii="Times New Roman" w:cs="Times New Roman" w:eastAsia="Times New Roman" w:hAnsi="Times New Roman"/>
          <w:sz w:val="22"/>
          <w:szCs w:val="22"/>
          <w:color w:val="auto"/>
        </w:rPr>
        <w:t>. Tenant shall continue pay all applicable Florida State Sales Taxes concurrently with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installment of Base Rent for the Premises.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9" w:name="page170"/>
    <w:bookmarkEnd w:id="169"/>
    <w:p>
      <w:pPr>
        <w:jc w:val="both"/>
        <w:ind w:firstLine="757"/>
        <w:spacing w:after="0" w:line="234" w:lineRule="auto"/>
        <w:tabs>
          <w:tab w:leader="none" w:pos="122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Tenant Improvements</w:t>
      </w:r>
      <w:r>
        <w:rPr>
          <w:rFonts w:ascii="Times New Roman" w:cs="Times New Roman" w:eastAsia="Times New Roman" w:hAnsi="Times New Roman"/>
          <w:sz w:val="22"/>
          <w:szCs w:val="22"/>
          <w:color w:val="auto"/>
        </w:rPr>
        <w:t>. All improvements described in this Amendment to be constructed in and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Premises are described in the Work Letter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Work Letter</w:t>
      </w:r>
      <w:r>
        <w:rPr>
          <w:rFonts w:ascii="Times New Roman" w:cs="Times New Roman" w:eastAsia="Times New Roman" w:hAnsi="Times New Roman"/>
          <w:sz w:val="22"/>
          <w:szCs w:val="22"/>
          <w:color w:val="auto"/>
        </w:rPr>
        <w:t>”). In addition to Landlord’s Work, Landlord, at Landlord’s sole cost and expense and not as part of Landlord’s Work, will construct one single unisex stall restroom within the Premises (the “</w:t>
      </w:r>
      <w:r>
        <w:rPr>
          <w:rFonts w:ascii="Times New Roman" w:cs="Times New Roman" w:eastAsia="Times New Roman" w:hAnsi="Times New Roman"/>
          <w:sz w:val="22"/>
          <w:szCs w:val="22"/>
          <w:b w:val="1"/>
          <w:bCs w:val="1"/>
          <w:color w:val="auto"/>
        </w:rPr>
        <w:t>New Restroom</w:t>
      </w:r>
      <w:r>
        <w:rPr>
          <w:rFonts w:ascii="Times New Roman" w:cs="Times New Roman" w:eastAsia="Times New Roman" w:hAnsi="Times New Roman"/>
          <w:sz w:val="22"/>
          <w:szCs w:val="22"/>
          <w:color w:val="auto"/>
        </w:rPr>
        <w:t xml:space="preserve">”) as more fully depicted on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attached hereto. Landlord shall complete the construction of the New Restroom within ninety (90) days following the execution of this Amendment (the “</w:t>
      </w:r>
      <w:r>
        <w:rPr>
          <w:rFonts w:ascii="Times New Roman" w:cs="Times New Roman" w:eastAsia="Times New Roman" w:hAnsi="Times New Roman"/>
          <w:sz w:val="22"/>
          <w:szCs w:val="22"/>
          <w:b w:val="1"/>
          <w:bCs w:val="1"/>
          <w:color w:val="auto"/>
        </w:rPr>
        <w:t>Restroom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Completion Date</w:t>
      </w:r>
      <w:r>
        <w:rPr>
          <w:rFonts w:ascii="Times New Roman" w:cs="Times New Roman" w:eastAsia="Times New Roman" w:hAnsi="Times New Roman"/>
          <w:sz w:val="22"/>
          <w:szCs w:val="22"/>
          <w:color w:val="auto"/>
        </w:rPr>
        <w:t>”). Tenant and its employees, agents and invitees shall not disturb Landlord and its contractors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construction of the New Restroom and shall fully cooperate with Landlord’s process to ensure expediency in the completion of the New Restroom. Other than with respect to Landlord’s Work (as defined in the Work Letter), or as otherwise provided in the Lease, including construction of the New Restroom, Tenant accepts the Premises in its “as-is” condition and Landlord shall have no obligation to perform any work at the Premises. Landlord agrees to provide Tenant with full access to and use of the Terminated Space (i.e., the existing north restrooms) until the Restroom Completion Date.</w:t>
      </w:r>
    </w:p>
    <w:p>
      <w:pPr>
        <w:spacing w:after="0" w:line="175" w:lineRule="exact"/>
        <w:rPr>
          <w:rFonts w:ascii="Times New Roman" w:cs="Times New Roman" w:eastAsia="Times New Roman" w:hAnsi="Times New Roman"/>
          <w:sz w:val="22"/>
          <w:szCs w:val="22"/>
          <w:color w:val="auto"/>
        </w:rPr>
      </w:pPr>
    </w:p>
    <w:p>
      <w:pPr>
        <w:jc w:val="both"/>
        <w:ind w:firstLine="757"/>
        <w:spacing w:after="0" w:line="246" w:lineRule="auto"/>
        <w:tabs>
          <w:tab w:leader="none" w:pos="119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Renewal Option</w:t>
      </w:r>
      <w:r>
        <w:rPr>
          <w:rFonts w:ascii="Times New Roman" w:cs="Times New Roman" w:eastAsia="Times New Roman" w:hAnsi="Times New Roman"/>
          <w:sz w:val="22"/>
          <w:szCs w:val="22"/>
          <w:color w:val="auto"/>
        </w:rPr>
        <w:t>. Landlord hereby grants to Tenant the option to extend the Extension Term on the same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and provisions as contained in the Lease, as modified and except as otherwise provided herein, for one (1) period of five (5) years (the “</w:t>
      </w:r>
      <w:r>
        <w:rPr>
          <w:rFonts w:ascii="Times New Roman" w:cs="Times New Roman" w:eastAsia="Times New Roman" w:hAnsi="Times New Roman"/>
          <w:sz w:val="22"/>
          <w:szCs w:val="22"/>
          <w:b w:val="1"/>
          <w:bCs w:val="1"/>
          <w:color w:val="auto"/>
        </w:rPr>
        <w:t>Option Period</w:t>
      </w:r>
      <w:r>
        <w:rPr>
          <w:rFonts w:ascii="Times New Roman" w:cs="Times New Roman" w:eastAsia="Times New Roman" w:hAnsi="Times New Roman"/>
          <w:sz w:val="22"/>
          <w:szCs w:val="22"/>
          <w:color w:val="auto"/>
        </w:rPr>
        <w:t>”) commencing on the day following the expiration of the Extension Term.</w:t>
      </w:r>
    </w:p>
    <w:p>
      <w:pPr>
        <w:spacing w:after="0" w:line="171"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option to extend shall be exercisable by written notice from Tenant to Landlord given no more than twelve (12) months and no less than nine (9) months prior to the expiration of the Extension Term, time being of the essence.</w:t>
      </w:r>
    </w:p>
    <w:p>
      <w:pPr>
        <w:spacing w:after="0" w:line="173"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Rent per rentable square foot of the Premises payable during the Option Period shall be at one hundred percent (100%) of the Fair Market Rental Rate (as hereinafter defined).</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may only exercise its option to extend, and an exercise thereof shall only be effective, if at the time of Tenant’s exercise and on the Option Period commencement date, the Lease is in full force and effect and no event of default by Tenant has occurred under the Lease which remains uncured after the giving of any applicable notice and the expiration of any applicable cure period. In addition to the condition set forth in the first sentence of this subparagraph (c), if Tenant is in default under the Lease (after the giving of any applicable notice and the expiration of any applicable cure period) within thirty (30) days prior to the Option Period commencement date, then, at Landlord’s option, Tenant’s right to exercise its option may be terminated and rendered null and void by written notice thereof from Landlord to Tenant.</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valid exercise by Tenant of its option to extend, Landlord and Tenant shall enter into a written amendment to the Lease confirming the terms, conditions and provisions applicable to the Option Period as determined in accordance with the provisions of this Section, with such revisions to the rent provisions of the Lease as may be necessary to conform those provisions to the rental rate applicable to the Option Period. No new options to extend shall be deemed to be created by a valid exercise of the extension option and no other provisions inapplicable to the Option Period such as, but not limited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0" w:name="page171"/>
    <w:bookmarkEnd w:id="170"/>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to, an obligation to construct or pay for construction or improvements or to grant rent abatements, shall be construed to govern the Option Period.</w:t>
      </w:r>
    </w:p>
    <w:p>
      <w:pPr>
        <w:spacing w:after="0" w:line="154" w:lineRule="exact"/>
        <w:rPr>
          <w:sz w:val="20"/>
          <w:szCs w:val="20"/>
          <w:color w:val="auto"/>
        </w:rPr>
      </w:pPr>
    </w:p>
    <w:p>
      <w:pPr>
        <w:jc w:val="both"/>
        <w:ind w:left="760" w:firstLine="749"/>
        <w:spacing w:after="0" w:line="233" w:lineRule="auto"/>
        <w:rPr>
          <w:sz w:val="20"/>
          <w:szCs w:val="20"/>
          <w:color w:val="auto"/>
        </w:rPr>
      </w:pPr>
      <w:r>
        <w:rPr>
          <w:rFonts w:ascii="Times New Roman" w:cs="Times New Roman" w:eastAsia="Times New Roman" w:hAnsi="Times New Roman"/>
          <w:sz w:val="22"/>
          <w:szCs w:val="22"/>
          <w:color w:val="auto"/>
        </w:rPr>
        <w:t>For purposes of this Section, the term “</w:t>
      </w:r>
      <w:r>
        <w:rPr>
          <w:rFonts w:ascii="Times New Roman" w:cs="Times New Roman" w:eastAsia="Times New Roman" w:hAnsi="Times New Roman"/>
          <w:sz w:val="22"/>
          <w:szCs w:val="22"/>
          <w:b w:val="1"/>
          <w:bCs w:val="1"/>
          <w:color w:val="auto"/>
        </w:rPr>
        <w:t>Fair Market Rental Rate</w:t>
      </w:r>
      <w:r>
        <w:rPr>
          <w:rFonts w:ascii="Times New Roman" w:cs="Times New Roman" w:eastAsia="Times New Roman" w:hAnsi="Times New Roman"/>
          <w:sz w:val="22"/>
          <w:szCs w:val="22"/>
          <w:color w:val="auto"/>
        </w:rPr>
        <w:t xml:space="preserve">” shall mean a rate comprised of (i) the prevailing base rental rate per square foot of rentable area available in the Pertinent Market (as defined below), and taking into account tenant improvement allowances, other tenant inducements, operating cost stops and tax cost stops, and brokerage commissions, all as determined by an MAI appraiser mutually acceptable to Landlord and Tenant in their reasonable discretion, and (ii) any escalation of any such base rental rate (based upon a fixed step and/or index) prevailing in the Pertinent Market, as also determined by said appraiser, taking into account (A) comparable lease renewals (on the basis of factors such as, but not limited to, size and location of space and commencement date and term of lease), if any, recently executed for improved space in the Building, and (B) lease renewals for comparable (on the basis of factors such as, but not limited to, size and location of space and commencement date and term of lease) improved space in “flex” buildings in the Research Park which are comparable to the Building in reputation, quality, condition, age, size, location and level and quality of services provided and which have reached economic stabilization and are not, for any other reason, offering below market rents (the foregoing factors not being exclusive in identifying comparable buildings) (the Building, together with such comparable buildings, if applicable, being herein referred to as the </w:t>
      </w:r>
      <w:r>
        <w:rPr>
          <w:rFonts w:ascii="Times New Roman" w:cs="Times New Roman" w:eastAsia="Times New Roman" w:hAnsi="Times New Roman"/>
          <w:sz w:val="22"/>
          <w:szCs w:val="22"/>
          <w:b w:val="1"/>
          <w:bCs w:val="1"/>
          <w:color w:val="auto"/>
        </w:rPr>
        <w:t>“Pertinent Market”</w:t>
      </w:r>
      <w:r>
        <w:rPr>
          <w:rFonts w:ascii="Times New Roman" w:cs="Times New Roman" w:eastAsia="Times New Roman" w:hAnsi="Times New Roman"/>
          <w:sz w:val="22"/>
          <w:szCs w:val="22"/>
          <w:color w:val="auto"/>
        </w:rPr>
        <w:t>). Tenant may, after the determinations of the appraiser set forth above, elect to withdraw its notice of renewal at no obligation or expense of Tenant and, in such event, the Term shall not be extended and Tenant shall lose its renewal option.</w:t>
      </w:r>
    </w:p>
    <w:p>
      <w:pPr>
        <w:spacing w:after="0" w:line="144" w:lineRule="exact"/>
        <w:rPr>
          <w:sz w:val="20"/>
          <w:szCs w:val="20"/>
          <w:color w:val="auto"/>
        </w:rPr>
      </w:pPr>
    </w:p>
    <w:p>
      <w:pPr>
        <w:jc w:val="both"/>
        <w:ind w:firstLine="757"/>
        <w:spacing w:after="0" w:line="265" w:lineRule="exact"/>
        <w:tabs>
          <w:tab w:leader="none" w:pos="119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Right of First Offer</w:t>
      </w:r>
      <w:r>
        <w:rPr>
          <w:rFonts w:ascii="Times New Roman" w:cs="Times New Roman" w:eastAsia="Times New Roman" w:hAnsi="Times New Roman"/>
          <w:sz w:val="22"/>
          <w:szCs w:val="22"/>
          <w:color w:val="auto"/>
        </w:rPr>
        <w:t>. Landlord hereby grants to Tenant a one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time right (the “</w:t>
      </w:r>
      <w:r>
        <w:rPr>
          <w:rFonts w:ascii="Times New Roman" w:cs="Times New Roman" w:eastAsia="Times New Roman" w:hAnsi="Times New Roman"/>
          <w:sz w:val="22"/>
          <w:szCs w:val="22"/>
          <w:b w:val="1"/>
          <w:bCs w:val="1"/>
          <w:color w:val="auto"/>
        </w:rPr>
        <w:t>Right of First Refusal</w:t>
      </w:r>
      <w:r>
        <w:rPr>
          <w:rFonts w:ascii="Times New Roman" w:cs="Times New Roman" w:eastAsia="Times New Roman" w:hAnsi="Times New Roman"/>
          <w:sz w:val="22"/>
          <w:szCs w:val="22"/>
          <w:color w:val="auto"/>
        </w:rPr>
        <w:t>”) to 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Suite 270 (consisting of approximately 10,819 square feet of rentable space) located contiguous to the Premises (“</w:t>
      </w:r>
      <w:r>
        <w:rPr>
          <w:rFonts w:ascii="Times New Roman" w:cs="Times New Roman" w:eastAsia="Times New Roman" w:hAnsi="Times New Roman"/>
          <w:sz w:val="22"/>
          <w:szCs w:val="22"/>
          <w:b w:val="1"/>
          <w:bCs w:val="1"/>
          <w:color w:val="auto"/>
        </w:rPr>
        <w:t>Expansion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Space</w:t>
      </w:r>
      <w:r>
        <w:rPr>
          <w:rFonts w:ascii="Times New Roman" w:cs="Times New Roman" w:eastAsia="Times New Roman" w:hAnsi="Times New Roman"/>
          <w:sz w:val="22"/>
          <w:szCs w:val="22"/>
          <w:color w:val="auto"/>
        </w:rPr>
        <w:t>”) on the same terms, conditions and provisions as contained in the Lease, as modified and except as otherwise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w:t>
      </w:r>
    </w:p>
    <w:p>
      <w:pPr>
        <w:spacing w:after="0" w:line="177"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Landlord receives a letter of intent to lease the Expansion Space from a third party (an “</w:t>
      </w:r>
      <w:r>
        <w:rPr>
          <w:rFonts w:ascii="Times New Roman" w:cs="Times New Roman" w:eastAsia="Times New Roman" w:hAnsi="Times New Roman"/>
          <w:sz w:val="22"/>
          <w:szCs w:val="22"/>
          <w:b w:val="1"/>
          <w:bCs w:val="1"/>
          <w:color w:val="auto"/>
        </w:rPr>
        <w:t>Offer</w:t>
      </w:r>
      <w:r>
        <w:rPr>
          <w:rFonts w:ascii="Times New Roman" w:cs="Times New Roman" w:eastAsia="Times New Roman" w:hAnsi="Times New Roman"/>
          <w:sz w:val="22"/>
          <w:szCs w:val="22"/>
          <w:color w:val="auto"/>
        </w:rPr>
        <w:t>”), Landlord shall notify Tenant of such Offer. The Right of First Refusal shall be exercisable by Tenant only by written notice given by Tenant to Landlord not later than five (5) business days after Tenant receives the Offer from Landlord.</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48" w:lineRule="auto"/>
        <w:tabs>
          <w:tab w:leader="none" w:pos="1941"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may only exercise its Right of First Refusal, and an exercise thereof shall only be effective, if at the time of Tenant’s exercise, the Lease is in full force and effect and no event of default by Tenant has occurred under the Lease which remains uncured after the giving of any applicable notice and the expiration of any applicable cure period. In addition to the condition set forth in the first sentence of this subparagraph (b), if Tenant is in default under the Lease (after the giving of any applicable notice and the expiration of any applicable cure period) within thirty (30) days prior to Tenant taking occupancy of the Expansion Space, then, at Landlord’s option, Tenant’s right to exercise its Right of First Refusal may be terminated and rendered null and void by written notice thereof from Landlord to Tenant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1" w:name="page172"/>
    <w:bookmarkEnd w:id="171"/>
    <w:p>
      <w:pPr>
        <w:jc w:val="both"/>
        <w:ind w:left="760" w:firstLine="745"/>
        <w:spacing w:after="0" w:line="239" w:lineRule="auto"/>
        <w:tabs>
          <w:tab w:leader="none" w:pos="1941"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valid exercise by Tenant of its Right of First Refusal, Landlord and Tenant shall enter into a written amendment to the Lease confirming the terms, conditions and provisions applicable to the Expansion Space as determined in accordance with the provisions of this Section, with such revisions to the rent provisions of the Lease as may be necessary to conform those provisions to the rental rate applicable to the Expansion Space.</w:t>
      </w:r>
    </w:p>
    <w:p>
      <w:pPr>
        <w:spacing w:after="0" w:line="180"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of First Refusal is not transferable by any assignment or subletting and, in the event of an assignment or subletting, the Right of First Refusal shall be null and void.</w:t>
      </w:r>
    </w:p>
    <w:p>
      <w:pPr>
        <w:spacing w:after="0" w:line="154" w:lineRule="exact"/>
        <w:rPr>
          <w:rFonts w:ascii="Times New Roman" w:cs="Times New Roman" w:eastAsia="Times New Roman" w:hAnsi="Times New Roman"/>
          <w:sz w:val="22"/>
          <w:szCs w:val="22"/>
          <w:color w:val="auto"/>
        </w:rPr>
      </w:pPr>
    </w:p>
    <w:p>
      <w:pPr>
        <w:jc w:val="both"/>
        <w:ind w:firstLine="757"/>
        <w:spacing w:after="0" w:line="237" w:lineRule="auto"/>
        <w:tabs>
          <w:tab w:leader="none" w:pos="118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Brokers</w:t>
      </w:r>
      <w:r>
        <w:rPr>
          <w:rFonts w:ascii="Times New Roman" w:cs="Times New Roman" w:eastAsia="Times New Roman" w:hAnsi="Times New Roman"/>
          <w:sz w:val="22"/>
          <w:szCs w:val="22"/>
          <w:color w:val="auto"/>
        </w:rPr>
        <w:t>. Landlord and Tenant each represent and warrant to the other that the only brokers they have dealt with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this Amendment are Avison Young and Coughlin Commercial whose commissions and fees shall be paid by Landlord pursuant to separate written agreements. Landlord and Tenant each agree to defend, indemnify and hold the other harmless from and against all claims by any other broker for fees, commissions or other compensation to the extent such broker alleges to have been retained by the indemnifying party in connection with the execution of this Amendment. The provisions of this paragraph shall survive the expiration or sooner termination of the Lease.</w:t>
      </w:r>
    </w:p>
    <w:p>
      <w:pPr>
        <w:spacing w:after="0" w:line="175" w:lineRule="exact"/>
        <w:rPr>
          <w:rFonts w:ascii="Times New Roman" w:cs="Times New Roman" w:eastAsia="Times New Roman" w:hAnsi="Times New Roman"/>
          <w:sz w:val="22"/>
          <w:szCs w:val="22"/>
          <w:color w:val="auto"/>
        </w:rPr>
      </w:pPr>
    </w:p>
    <w:p>
      <w:pPr>
        <w:jc w:val="both"/>
        <w:ind w:firstLine="757"/>
        <w:spacing w:after="0" w:line="250" w:lineRule="auto"/>
        <w:tabs>
          <w:tab w:leader="none" w:pos="1208"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color w:val="auto"/>
        </w:rPr>
        <w:t>. Except as modified herein, the Lease and all of the terms and provisions thereof shall remain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unmodified and in full force and effect as originally written. In the event of any conflict or inconsistency between the provisions of the Lease and the provisions of this Amendment, the provisions of this Amendment shall control. All terms used herein but not defined herein which are defined in the Lease shall have the same meaning for purposes hereof as they do for purposes of the Lease. The Recitals set forth above in this Amendment are hereby incorporated by this reference. This Amendment shall be binding upon and shall inure to the benefit of the parties hereto and their respective beneficiaries, successors and assigns.</w:t>
      </w:r>
    </w:p>
    <w:p>
      <w:pPr>
        <w:spacing w:after="0" w:line="164" w:lineRule="exact"/>
        <w:rPr>
          <w:rFonts w:ascii="Times New Roman" w:cs="Times New Roman" w:eastAsia="Times New Roman" w:hAnsi="Times New Roman"/>
          <w:sz w:val="21"/>
          <w:szCs w:val="21"/>
          <w:color w:val="auto"/>
        </w:rPr>
      </w:pPr>
    </w:p>
    <w:p>
      <w:pPr>
        <w:ind w:firstLine="757"/>
        <w:spacing w:after="0" w:line="262" w:lineRule="auto"/>
        <w:tabs>
          <w:tab w:leader="none" w:pos="118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Amendment may be executed in any number of counterparts and by each of the undersigned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separate counterparts, which counterparts taken together shall constitute one and the same instrument.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2" w:name="page173"/>
    <w:bookmarkEnd w:id="172"/>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undersigned have executed this First Amendment to Lease as of the day and year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written.</w:t>
      </w:r>
    </w:p>
    <w:p>
      <w:pPr>
        <w:spacing w:after="0" w:line="150" w:lineRule="exact"/>
        <w:rPr>
          <w:sz w:val="20"/>
          <w:szCs w:val="20"/>
          <w:color w:val="auto"/>
        </w:rPr>
      </w:pPr>
    </w:p>
    <w:p>
      <w:pPr>
        <w:ind w:left="100"/>
        <w:spacing w:after="0"/>
        <w:tabs>
          <w:tab w:leader="none" w:pos="5700" w:val="left"/>
        </w:tabs>
        <w:rPr>
          <w:sz w:val="20"/>
          <w:szCs w:val="20"/>
          <w:color w:val="auto"/>
        </w:rPr>
      </w:pPr>
      <w:r>
        <w:rPr>
          <w:rFonts w:ascii="Times New Roman" w:cs="Times New Roman" w:eastAsia="Times New Roman" w:hAnsi="Times New Roman"/>
          <w:sz w:val="22"/>
          <w:szCs w:val="22"/>
          <w:b w:val="1"/>
          <w:bCs w:val="1"/>
          <w:color w:val="auto"/>
        </w:rPr>
        <w:t>WITNESS/ATTEST</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21"/>
          <w:szCs w:val="21"/>
          <w:b w:val="1"/>
          <w:bCs w:val="1"/>
          <w:u w:val="single" w:color="auto"/>
          <w:color w:val="auto"/>
        </w:rPr>
        <w:t>LANDLORD</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6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By: /s/ Simone DaSilva</w:t>
            </w:r>
          </w:p>
        </w:tc>
        <w:tc>
          <w:tcPr>
            <w:tcW w:w="1660" w:type="dxa"/>
            <w:vAlign w:val="bottom"/>
          </w:tcPr>
          <w:p>
            <w:pPr>
              <w:spacing w:after="0"/>
              <w:rPr>
                <w:sz w:val="22"/>
                <w:szCs w:val="22"/>
                <w:color w:val="auto"/>
              </w:rPr>
            </w:pPr>
          </w:p>
        </w:tc>
        <w:tc>
          <w:tcPr>
            <w:tcW w:w="552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CHALLENGER-DISCOVERY, LLC</w:t>
            </w:r>
            <w:r>
              <w:rPr>
                <w:rFonts w:ascii="Times New Roman" w:cs="Times New Roman" w:eastAsia="Times New Roman" w:hAnsi="Times New Roman"/>
                <w:sz w:val="22"/>
                <w:szCs w:val="22"/>
                <w:color w:val="auto"/>
              </w:rPr>
              <w:t>, a</w:t>
            </w:r>
          </w:p>
        </w:tc>
        <w:tc>
          <w:tcPr>
            <w:tcW w:w="0" w:type="dxa"/>
            <w:vAlign w:val="bottom"/>
          </w:tcPr>
          <w:p>
            <w:pPr>
              <w:spacing w:after="0"/>
              <w:rPr>
                <w:sz w:val="1"/>
                <w:szCs w:val="1"/>
                <w:color w:val="auto"/>
              </w:rPr>
            </w:pPr>
          </w:p>
        </w:tc>
      </w:tr>
      <w:tr>
        <w:trPr>
          <w:trHeight w:val="20"/>
        </w:trPr>
        <w:tc>
          <w:tcPr>
            <w:tcW w:w="480" w:type="dxa"/>
            <w:vAlign w:val="bottom"/>
            <w:tcBorders>
              <w:right w:val="single" w:sz="8" w:color="auto"/>
            </w:tcBorders>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520" w:type="dxa"/>
            <w:vAlign w:val="bottom"/>
            <w:gridSpan w:val="5"/>
            <w:vMerge w:val="restart"/>
          </w:tcPr>
          <w:p>
            <w:pPr>
              <w:spacing w:after="0"/>
              <w:rPr>
                <w:sz w:val="20"/>
                <w:szCs w:val="20"/>
                <w:color w:val="auto"/>
              </w:rPr>
            </w:pPr>
            <w:r>
              <w:rPr>
                <w:rFonts w:ascii="Times New Roman" w:cs="Times New Roman" w:eastAsia="Times New Roman" w:hAnsi="Times New Roman"/>
                <w:sz w:val="22"/>
                <w:szCs w:val="22"/>
                <w:color w:val="auto"/>
              </w:rPr>
              <w:t>Delaware limited liability company</w:t>
            </w:r>
          </w:p>
        </w:tc>
        <w:tc>
          <w:tcPr>
            <w:tcW w:w="0" w:type="dxa"/>
            <w:vAlign w:val="bottom"/>
          </w:tcPr>
          <w:p>
            <w:pPr>
              <w:spacing w:after="0" w:line="20" w:lineRule="exact"/>
              <w:rPr>
                <w:sz w:val="1"/>
                <w:szCs w:val="1"/>
                <w:color w:val="auto"/>
              </w:rPr>
            </w:pPr>
          </w:p>
        </w:tc>
      </w:tr>
      <w:tr>
        <w:trPr>
          <w:trHeight w:val="276"/>
        </w:trPr>
        <w:tc>
          <w:tcPr>
            <w:tcW w:w="210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w w:val="86"/>
              </w:rPr>
              <w:t>Name: Simone DaSilva</w:t>
            </w:r>
          </w:p>
        </w:tc>
        <w:tc>
          <w:tcPr>
            <w:tcW w:w="2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520" w:type="dxa"/>
            <w:vAlign w:val="bottom"/>
            <w:gridSpan w:val="5"/>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730"/>
        </w:trPr>
        <w:tc>
          <w:tcPr>
            <w:tcW w:w="406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By: /s/ Bret Anderson</w:t>
            </w:r>
          </w:p>
        </w:tc>
        <w:tc>
          <w:tcPr>
            <w:tcW w:w="1660" w:type="dxa"/>
            <w:vAlign w:val="bottom"/>
          </w:tcPr>
          <w:p>
            <w:pPr>
              <w:spacing w:after="0"/>
              <w:rPr>
                <w:sz w:val="24"/>
                <w:szCs w:val="24"/>
                <w:color w:val="auto"/>
              </w:rPr>
            </w:pPr>
          </w:p>
        </w:tc>
        <w:tc>
          <w:tcPr>
            <w:tcW w:w="55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/s/ Kathleen Keller</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00" w:type="dxa"/>
            <w:vAlign w:val="bottom"/>
            <w:gridSpan w:val="2"/>
          </w:tcPr>
          <w:p>
            <w:pPr>
              <w:ind w:left="260"/>
              <w:spacing w:after="0" w:line="236" w:lineRule="exact"/>
              <w:rPr>
                <w:sz w:val="20"/>
                <w:szCs w:val="20"/>
                <w:color w:val="auto"/>
              </w:rPr>
            </w:pPr>
            <w:r>
              <w:rPr>
                <w:rFonts w:ascii="Times New Roman" w:cs="Times New Roman" w:eastAsia="Times New Roman" w:hAnsi="Times New Roman"/>
                <w:sz w:val="22"/>
                <w:szCs w:val="22"/>
                <w:color w:val="auto"/>
                <w:w w:val="89"/>
              </w:rPr>
              <w:t>Name: Bret Anderson</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520" w:type="dxa"/>
            <w:vAlign w:val="bottom"/>
            <w:gridSpan w:val="5"/>
          </w:tcPr>
          <w:p>
            <w:pPr>
              <w:ind w:left="160"/>
              <w:spacing w:after="0" w:line="236" w:lineRule="exact"/>
              <w:rPr>
                <w:sz w:val="20"/>
                <w:szCs w:val="20"/>
                <w:color w:val="auto"/>
              </w:rPr>
            </w:pPr>
            <w:r>
              <w:rPr>
                <w:rFonts w:ascii="Times New Roman" w:cs="Times New Roman" w:eastAsia="Times New Roman" w:hAnsi="Times New Roman"/>
                <w:sz w:val="22"/>
                <w:szCs w:val="22"/>
                <w:color w:val="auto"/>
              </w:rPr>
              <w:t>Name: Kathleen Keller</w:t>
            </w:r>
          </w:p>
        </w:tc>
        <w:tc>
          <w:tcPr>
            <w:tcW w:w="0" w:type="dxa"/>
            <w:vAlign w:val="bottom"/>
          </w:tcPr>
          <w:p>
            <w:pPr>
              <w:spacing w:after="0"/>
              <w:rPr>
                <w:sz w:val="1"/>
                <w:szCs w:val="1"/>
                <w:color w:val="auto"/>
              </w:rPr>
            </w:pPr>
          </w:p>
        </w:tc>
      </w:tr>
      <w:tr>
        <w:trPr>
          <w:trHeight w:val="282"/>
        </w:trPr>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52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Title: Secretary/Treasurer</w:t>
            </w:r>
          </w:p>
        </w:tc>
        <w:tc>
          <w:tcPr>
            <w:tcW w:w="0" w:type="dxa"/>
            <w:vAlign w:val="bottom"/>
          </w:tcPr>
          <w:p>
            <w:pPr>
              <w:spacing w:after="0"/>
              <w:rPr>
                <w:sz w:val="1"/>
                <w:szCs w:val="1"/>
                <w:color w:val="auto"/>
              </w:rPr>
            </w:pPr>
          </w:p>
        </w:tc>
      </w:tr>
      <w:tr>
        <w:trPr>
          <w:trHeight w:val="623"/>
        </w:trPr>
        <w:tc>
          <w:tcPr>
            <w:tcW w:w="4060" w:type="dxa"/>
            <w:vAlign w:val="bottom"/>
            <w:gridSpan w:val="5"/>
          </w:tcPr>
          <w:p>
            <w:pPr>
              <w:ind w:left="100"/>
              <w:spacing w:after="0"/>
              <w:rPr>
                <w:sz w:val="20"/>
                <w:szCs w:val="20"/>
                <w:color w:val="auto"/>
              </w:rPr>
            </w:pPr>
            <w:r>
              <w:rPr>
                <w:rFonts w:ascii="Times New Roman" w:cs="Times New Roman" w:eastAsia="Times New Roman" w:hAnsi="Times New Roman"/>
                <w:sz w:val="22"/>
                <w:szCs w:val="22"/>
                <w:b w:val="1"/>
                <w:bCs w:val="1"/>
                <w:color w:val="auto"/>
              </w:rPr>
              <w:t>WITNESS/ATTEST</w:t>
            </w:r>
            <w:r>
              <w:rPr>
                <w:rFonts w:ascii="Times New Roman" w:cs="Times New Roman" w:eastAsia="Times New Roman" w:hAnsi="Times New Roman"/>
                <w:sz w:val="17"/>
                <w:szCs w:val="17"/>
                <w:color w:val="auto"/>
              </w:rPr>
              <w:t>:</w:t>
            </w:r>
          </w:p>
        </w:tc>
        <w:tc>
          <w:tcPr>
            <w:tcW w:w="1660" w:type="dxa"/>
            <w:vAlign w:val="bottom"/>
          </w:tcPr>
          <w:p>
            <w:pPr>
              <w:spacing w:after="0"/>
              <w:rPr>
                <w:sz w:val="24"/>
                <w:szCs w:val="24"/>
                <w:color w:val="auto"/>
              </w:rPr>
            </w:pPr>
          </w:p>
        </w:tc>
        <w:tc>
          <w:tcPr>
            <w:tcW w:w="552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406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By: /s/ Alan Connaughton</w:t>
            </w:r>
          </w:p>
        </w:tc>
        <w:tc>
          <w:tcPr>
            <w:tcW w:w="1660" w:type="dxa"/>
            <w:vAlign w:val="bottom"/>
          </w:tcPr>
          <w:p>
            <w:pPr>
              <w:spacing w:after="0"/>
              <w:rPr>
                <w:sz w:val="24"/>
                <w:szCs w:val="24"/>
                <w:color w:val="auto"/>
              </w:rPr>
            </w:pPr>
          </w:p>
        </w:tc>
        <w:tc>
          <w:tcPr>
            <w:tcW w:w="552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LENSAR, LLC</w:t>
            </w:r>
            <w:r>
              <w:rPr>
                <w:rFonts w:ascii="Times New Roman" w:cs="Times New Roman" w:eastAsia="Times New Roman" w:hAnsi="Times New Roman"/>
                <w:sz w:val="22"/>
                <w:szCs w:val="22"/>
                <w:color w:val="auto"/>
              </w:rPr>
              <w:t>, a Delaware limited liability company</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700" w:type="dxa"/>
            <w:vAlign w:val="bottom"/>
            <w:vMerge w:val="restart"/>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236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w w:val="90"/>
              </w:rPr>
              <w:t>Name: Alan Connaughton</w:t>
            </w:r>
          </w:p>
        </w:tc>
        <w:tc>
          <w:tcPr>
            <w:tcW w:w="1700" w:type="dxa"/>
            <w:vAlign w:val="bottom"/>
            <w:vMerge w:val="continue"/>
          </w:tcPr>
          <w:p>
            <w:pPr>
              <w:spacing w:after="0"/>
              <w:rPr>
                <w:sz w:val="23"/>
                <w:szCs w:val="23"/>
                <w:color w:val="auto"/>
              </w:rPr>
            </w:pPr>
          </w:p>
        </w:tc>
        <w:tc>
          <w:tcPr>
            <w:tcW w:w="1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0"/>
        </w:trPr>
        <w:tc>
          <w:tcPr>
            <w:tcW w:w="406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By: /s/ Monty K. Allen</w:t>
            </w:r>
          </w:p>
        </w:tc>
        <w:tc>
          <w:tcPr>
            <w:tcW w:w="1660" w:type="dxa"/>
            <w:vAlign w:val="bottom"/>
          </w:tcPr>
          <w:p>
            <w:pPr>
              <w:spacing w:after="0"/>
              <w:rPr>
                <w:sz w:val="24"/>
                <w:szCs w:val="24"/>
                <w:color w:val="auto"/>
              </w:rPr>
            </w:pPr>
          </w:p>
        </w:tc>
        <w:tc>
          <w:tcPr>
            <w:tcW w:w="55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/s/ Nick T. Curtis</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6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rPr>
              <w:t>Name: Monty K. Allen</w:t>
            </w:r>
          </w:p>
        </w:tc>
        <w:tc>
          <w:tcPr>
            <w:tcW w:w="1660" w:type="dxa"/>
            <w:vAlign w:val="bottom"/>
          </w:tcPr>
          <w:p>
            <w:pPr>
              <w:spacing w:after="0"/>
              <w:rPr>
                <w:sz w:val="20"/>
                <w:szCs w:val="20"/>
                <w:color w:val="auto"/>
              </w:rPr>
            </w:pPr>
          </w:p>
        </w:tc>
        <w:tc>
          <w:tcPr>
            <w:tcW w:w="5520" w:type="dxa"/>
            <w:vAlign w:val="bottom"/>
            <w:gridSpan w:val="5"/>
          </w:tcPr>
          <w:p>
            <w:pPr>
              <w:ind w:left="160"/>
              <w:spacing w:after="0" w:line="236" w:lineRule="exact"/>
              <w:rPr>
                <w:sz w:val="20"/>
                <w:szCs w:val="20"/>
                <w:color w:val="auto"/>
              </w:rPr>
            </w:pPr>
            <w:r>
              <w:rPr>
                <w:rFonts w:ascii="Times New Roman" w:cs="Times New Roman" w:eastAsia="Times New Roman" w:hAnsi="Times New Roman"/>
                <w:sz w:val="22"/>
                <w:szCs w:val="22"/>
                <w:color w:val="auto"/>
              </w:rPr>
              <w:t>Name: Nick T. Curtis</w:t>
            </w:r>
          </w:p>
        </w:tc>
        <w:tc>
          <w:tcPr>
            <w:tcW w:w="0" w:type="dxa"/>
            <w:vAlign w:val="bottom"/>
          </w:tcPr>
          <w:p>
            <w:pPr>
              <w:spacing w:after="0"/>
              <w:rPr>
                <w:sz w:val="1"/>
                <w:szCs w:val="1"/>
                <w:color w:val="auto"/>
              </w:rPr>
            </w:pPr>
          </w:p>
        </w:tc>
      </w:tr>
      <w:tr>
        <w:trPr>
          <w:trHeight w:val="282"/>
        </w:trPr>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52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Title: CEO</w:t>
            </w:r>
          </w:p>
        </w:tc>
        <w:tc>
          <w:tcPr>
            <w:tcW w:w="0" w:type="dxa"/>
            <w:vAlign w:val="bottom"/>
          </w:tcPr>
          <w:p>
            <w:pPr>
              <w:spacing w:after="0"/>
              <w:rPr>
                <w:sz w:val="1"/>
                <w:szCs w:val="1"/>
                <w:color w:val="auto"/>
              </w:rPr>
            </w:pPr>
          </w:p>
        </w:tc>
      </w:tr>
      <w:tr>
        <w:trPr>
          <w:trHeight w:val="715"/>
        </w:trPr>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0"/>
        </w:trPr>
        <w:tc>
          <w:tcPr>
            <w:tcW w:w="4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AMENDMENT TO LEASE</w:t>
      </w:r>
    </w:p>
    <w:p>
      <w:pPr>
        <w:spacing w:after="0" w:line="206"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THIS SECOND AMENDMENT TO LEASE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is entered into as of December 16, 2016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xml:space="preserve">”), by and between </w:t>
      </w:r>
      <w:r>
        <w:rPr>
          <w:rFonts w:ascii="Times New Roman" w:cs="Times New Roman" w:eastAsia="Times New Roman" w:hAnsi="Times New Roman"/>
          <w:sz w:val="21"/>
          <w:szCs w:val="21"/>
          <w:b w:val="1"/>
          <w:bCs w:val="1"/>
          <w:color w:val="auto"/>
        </w:rPr>
        <w:t>CHALLENGER-DISCOVERY, LLC</w:t>
      </w:r>
      <w:r>
        <w:rPr>
          <w:rFonts w:ascii="Times New Roman" w:cs="Times New Roman" w:eastAsia="Times New Roman" w:hAnsi="Times New Roman"/>
          <w:sz w:val="21"/>
          <w:szCs w:val="21"/>
          <w:color w:val="auto"/>
        </w:rPr>
        <w:t>, a Delaware limited liability company (“</w:t>
      </w:r>
      <w:r>
        <w:rPr>
          <w:rFonts w:ascii="Times New Roman" w:cs="Times New Roman" w:eastAsia="Times New Roman" w:hAnsi="Times New Roman"/>
          <w:sz w:val="21"/>
          <w:szCs w:val="21"/>
          <w:b w:val="1"/>
          <w:bCs w:val="1"/>
          <w:color w:val="auto"/>
        </w:rPr>
        <w:t>Landlord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LENSAR, INC.</w:t>
      </w:r>
      <w:r>
        <w:rPr>
          <w:rFonts w:ascii="Times New Roman" w:cs="Times New Roman" w:eastAsia="Times New Roman" w:hAnsi="Times New Roman"/>
          <w:sz w:val="21"/>
          <w:szCs w:val="21"/>
          <w:color w:val="auto"/>
        </w:rPr>
        <w:t>, a Delaware corporation (f/k/a Lensar, LLC, a Delaware limited liability company) (“</w:t>
      </w:r>
      <w:r>
        <w:rPr>
          <w:rFonts w:ascii="Times New Roman" w:cs="Times New Roman" w:eastAsia="Times New Roman" w:hAnsi="Times New Roman"/>
          <w:sz w:val="21"/>
          <w:szCs w:val="21"/>
          <w:b w:val="1"/>
          <w:bCs w:val="1"/>
          <w:color w:val="auto"/>
        </w:rPr>
        <w:t>Tenant</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 E C I T A L S:</w:t>
      </w:r>
    </w:p>
    <w:p>
      <w:pPr>
        <w:spacing w:after="0" w:line="210" w:lineRule="exact"/>
        <w:rPr>
          <w:sz w:val="20"/>
          <w:szCs w:val="20"/>
          <w:color w:val="auto"/>
        </w:rPr>
      </w:pPr>
    </w:p>
    <w:p>
      <w:pPr>
        <w:jc w:val="both"/>
        <w:ind w:firstLine="757"/>
        <w:spacing w:after="0" w:line="238" w:lineRule="auto"/>
        <w:tabs>
          <w:tab w:leader="none" w:pos="118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Lensar, Inc., a Delaware corporation, entered into that certain Industrial Real Estate Lease dated July 30, 2010, as assigned to Tenant by that certain Assignment and Assumption of Lease dated December 15, 2015, and as amended by that certain First Amendment to Lease dated March 15, 2016 (collectively, 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pursuant to which Tenant leases from Landlord that certain premises known as Suite 100, consisting of approximately 33,946 square feet of rentable area in the building located at 2800 Discovery Dive, Orlando, Florida.</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agree to modify the terms of the Lease as set forth herein.</w:t>
      </w:r>
    </w:p>
    <w:p>
      <w:pPr>
        <w:spacing w:after="0" w:line="20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herein and for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of which are hereby acknowledged, Landlord and Tenant agree to amend the Lease as follows:</w:t>
      </w:r>
    </w:p>
    <w:p>
      <w:pPr>
        <w:spacing w:after="0" w:line="167" w:lineRule="exact"/>
        <w:rPr>
          <w:sz w:val="20"/>
          <w:szCs w:val="20"/>
          <w:color w:val="auto"/>
        </w:rPr>
      </w:pPr>
    </w:p>
    <w:p>
      <w:pPr>
        <w:jc w:val="both"/>
        <w:ind w:firstLine="757"/>
        <w:spacing w:after="0" w:line="241" w:lineRule="auto"/>
        <w:tabs>
          <w:tab w:leader="none" w:pos="120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Corporate Name</w:t>
      </w:r>
      <w:r>
        <w:rPr>
          <w:rFonts w:ascii="Times New Roman" w:cs="Times New Roman" w:eastAsia="Times New Roman" w:hAnsi="Times New Roman"/>
          <w:sz w:val="22"/>
          <w:szCs w:val="22"/>
          <w:color w:val="auto"/>
        </w:rPr>
        <w:t>. Pursuant to a certain corporate reorganization of Tenant as evidenced in that certain Asset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Agreement dated as of the Effective Date between Tenant and Alphaeon Corporation, Tenant changed its name back to Lensar, Inc., a Delaware corporation effective as of the Effective Date. Such entity shall be responsible as “Tenant” under all Lease provisions.</w:t>
      </w:r>
    </w:p>
    <w:p>
      <w:pPr>
        <w:spacing w:after="0" w:line="171"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Brokers</w:t>
      </w:r>
      <w:r>
        <w:rPr>
          <w:rFonts w:ascii="Times New Roman" w:cs="Times New Roman" w:eastAsia="Times New Roman" w:hAnsi="Times New Roman"/>
          <w:sz w:val="22"/>
          <w:szCs w:val="22"/>
          <w:color w:val="auto"/>
        </w:rPr>
        <w:t>. Landlord and Tenant each represent and warrant to the other that they have not dealt with any brokers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this Amendment. Landlord and Tenant each agree to defend, indemnify and hold the other harmless from and against all claims by any other broker for fees, commissions or other compensation to the extent such broker alleges to have been retained by the indemnifying party in connection with the execution of this Amendment. The provisions of this paragraph shall survive the expiration or sooner termination of the Lease.</w:t>
      </w:r>
    </w:p>
    <w:p>
      <w:pPr>
        <w:spacing w:after="0" w:line="176" w:lineRule="exact"/>
        <w:rPr>
          <w:rFonts w:ascii="Times New Roman" w:cs="Times New Roman" w:eastAsia="Times New Roman" w:hAnsi="Times New Roman"/>
          <w:sz w:val="22"/>
          <w:szCs w:val="22"/>
          <w:color w:val="auto"/>
        </w:rPr>
      </w:pPr>
    </w:p>
    <w:p>
      <w:pPr>
        <w:jc w:val="both"/>
        <w:ind w:firstLine="757"/>
        <w:spacing w:after="0" w:line="250" w:lineRule="auto"/>
        <w:tabs>
          <w:tab w:leader="none" w:pos="1208"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color w:val="auto"/>
        </w:rPr>
        <w:t>. Except as modified herein, the Lease and all of the terms and provisions thereof shall remain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unmodified and in full force and effect as originally written. In the event of any conflict or inconsistency between the provisions of the Lease and the provisions of this Amendment, the provisions of this Amendment shall control. All terms used herein but not defined herein which are defined in the Lease shall have the same meaning for purposes hereof as they do for purposes of the Lease. The Recitals set forth above in this Amendment are hereby incorporated by this reference. This Amendment shall be binding upon and shall inure to the benefit of the parties hereto and their respective beneficiaries, successors and assigns.</w:t>
      </w:r>
    </w:p>
    <w:p>
      <w:pPr>
        <w:spacing w:after="0" w:line="164" w:lineRule="exact"/>
        <w:rPr>
          <w:rFonts w:ascii="Times New Roman" w:cs="Times New Roman" w:eastAsia="Times New Roman" w:hAnsi="Times New Roman"/>
          <w:sz w:val="21"/>
          <w:szCs w:val="21"/>
          <w:color w:val="auto"/>
        </w:rPr>
      </w:pPr>
    </w:p>
    <w:p>
      <w:pPr>
        <w:ind w:firstLine="757"/>
        <w:spacing w:after="0" w:line="262" w:lineRule="auto"/>
        <w:tabs>
          <w:tab w:leader="none" w:pos="118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Amendment may be executed in any number of counterparts and by each of the undersigned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separate counterparts, which counterparts taken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4" w:name="page175"/>
    <w:bookmarkEnd w:id="174"/>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 undersigned have executed this Second Amendment to Lease as of the day and year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written.</w:t>
      </w:r>
    </w:p>
    <w:p>
      <w:pPr>
        <w:spacing w:after="0" w:line="150" w:lineRule="exact"/>
        <w:rPr>
          <w:sz w:val="20"/>
          <w:szCs w:val="20"/>
          <w:color w:val="auto"/>
        </w:rPr>
      </w:pPr>
    </w:p>
    <w:p>
      <w:pPr>
        <w:ind w:left="100"/>
        <w:spacing w:after="0"/>
        <w:tabs>
          <w:tab w:leader="none" w:pos="5700" w:val="left"/>
        </w:tabs>
        <w:rPr>
          <w:sz w:val="20"/>
          <w:szCs w:val="20"/>
          <w:color w:val="auto"/>
        </w:rPr>
      </w:pPr>
      <w:r>
        <w:rPr>
          <w:rFonts w:ascii="Times New Roman" w:cs="Times New Roman" w:eastAsia="Times New Roman" w:hAnsi="Times New Roman"/>
          <w:sz w:val="22"/>
          <w:szCs w:val="22"/>
          <w:b w:val="1"/>
          <w:bCs w:val="1"/>
          <w:color w:val="auto"/>
        </w:rPr>
        <w:t>WITNESS/ATTEST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b w:val="1"/>
          <w:bCs w:val="1"/>
          <w:u w:val="single" w:color="auto"/>
          <w:color w:val="auto"/>
        </w:rPr>
        <w:t>LANDLORD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2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By: /s/ Brett Anderson</w:t>
            </w:r>
          </w:p>
        </w:tc>
        <w:tc>
          <w:tcPr>
            <w:tcW w:w="552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CHALLENGER-DISCOVERY, LLC</w:t>
            </w:r>
            <w:r>
              <w:rPr>
                <w:rFonts w:ascii="Times New Roman" w:cs="Times New Roman" w:eastAsia="Times New Roman" w:hAnsi="Times New Roman"/>
                <w:sz w:val="22"/>
                <w:szCs w:val="22"/>
                <w:color w:val="auto"/>
              </w:rPr>
              <w:t>, a</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520" w:type="dxa"/>
            <w:vAlign w:val="bottom"/>
            <w:gridSpan w:val="5"/>
            <w:vMerge w:val="restart"/>
          </w:tcPr>
          <w:p>
            <w:pPr>
              <w:spacing w:after="0"/>
              <w:rPr>
                <w:sz w:val="20"/>
                <w:szCs w:val="20"/>
                <w:color w:val="auto"/>
              </w:rPr>
            </w:pPr>
            <w:r>
              <w:rPr>
                <w:rFonts w:ascii="Times New Roman" w:cs="Times New Roman" w:eastAsia="Times New Roman" w:hAnsi="Times New Roman"/>
                <w:sz w:val="22"/>
                <w:szCs w:val="22"/>
                <w:color w:val="auto"/>
              </w:rPr>
              <w:t>Delaware limited liability company</w:t>
            </w:r>
          </w:p>
        </w:tc>
        <w:tc>
          <w:tcPr>
            <w:tcW w:w="0" w:type="dxa"/>
            <w:vAlign w:val="bottom"/>
          </w:tcPr>
          <w:p>
            <w:pPr>
              <w:spacing w:after="0" w:line="20" w:lineRule="exact"/>
              <w:rPr>
                <w:sz w:val="1"/>
                <w:szCs w:val="1"/>
                <w:color w:val="auto"/>
              </w:rPr>
            </w:pPr>
          </w:p>
        </w:tc>
      </w:tr>
      <w:tr>
        <w:trPr>
          <w:trHeight w:val="276"/>
        </w:trPr>
        <w:tc>
          <w:tcPr>
            <w:tcW w:w="206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w w:val="89"/>
              </w:rPr>
              <w:t>Name: Brett Anderson</w:t>
            </w:r>
          </w:p>
        </w:tc>
        <w:tc>
          <w:tcPr>
            <w:tcW w:w="34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5520" w:type="dxa"/>
            <w:vAlign w:val="bottom"/>
            <w:gridSpan w:val="5"/>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730"/>
        </w:trPr>
        <w:tc>
          <w:tcPr>
            <w:tcW w:w="572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By: /s/ Steven C. Heetland</w:t>
            </w:r>
          </w:p>
        </w:tc>
        <w:tc>
          <w:tcPr>
            <w:tcW w:w="55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/s/ Kathleen Keller</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32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400" w:type="dxa"/>
            <w:vAlign w:val="bottom"/>
            <w:gridSpan w:val="5"/>
          </w:tcPr>
          <w:p>
            <w:pPr>
              <w:ind w:left="260"/>
              <w:spacing w:after="0" w:line="236" w:lineRule="exact"/>
              <w:rPr>
                <w:sz w:val="20"/>
                <w:szCs w:val="20"/>
                <w:color w:val="auto"/>
              </w:rPr>
            </w:pPr>
            <w:r>
              <w:rPr>
                <w:rFonts w:ascii="Times New Roman" w:cs="Times New Roman" w:eastAsia="Times New Roman" w:hAnsi="Times New Roman"/>
                <w:sz w:val="22"/>
                <w:szCs w:val="22"/>
                <w:color w:val="auto"/>
                <w:w w:val="90"/>
              </w:rPr>
              <w:t>Name: Steven C. Heetland</w:t>
            </w:r>
          </w:p>
        </w:tc>
        <w:tc>
          <w:tcPr>
            <w:tcW w:w="3320" w:type="dxa"/>
            <w:vAlign w:val="bottom"/>
            <w:vMerge w:val="continue"/>
          </w:tcPr>
          <w:p>
            <w:pPr>
              <w:spacing w:after="0"/>
              <w:rPr>
                <w:sz w:val="20"/>
                <w:szCs w:val="20"/>
                <w:color w:val="auto"/>
              </w:rPr>
            </w:pPr>
          </w:p>
        </w:tc>
        <w:tc>
          <w:tcPr>
            <w:tcW w:w="5520" w:type="dxa"/>
            <w:vAlign w:val="bottom"/>
            <w:gridSpan w:val="5"/>
          </w:tcPr>
          <w:p>
            <w:pPr>
              <w:ind w:left="160"/>
              <w:spacing w:after="0" w:line="236" w:lineRule="exact"/>
              <w:rPr>
                <w:sz w:val="20"/>
                <w:szCs w:val="20"/>
                <w:color w:val="auto"/>
              </w:rPr>
            </w:pPr>
            <w:r>
              <w:rPr>
                <w:rFonts w:ascii="Times New Roman" w:cs="Times New Roman" w:eastAsia="Times New Roman" w:hAnsi="Times New Roman"/>
                <w:sz w:val="22"/>
                <w:szCs w:val="22"/>
                <w:color w:val="auto"/>
              </w:rPr>
              <w:t>Name: Kathleen Keller</w:t>
            </w:r>
          </w:p>
        </w:tc>
        <w:tc>
          <w:tcPr>
            <w:tcW w:w="0" w:type="dxa"/>
            <w:vAlign w:val="bottom"/>
          </w:tcPr>
          <w:p>
            <w:pPr>
              <w:spacing w:after="0"/>
              <w:rPr>
                <w:sz w:val="1"/>
                <w:szCs w:val="1"/>
                <w:color w:val="auto"/>
              </w:rPr>
            </w:pPr>
          </w:p>
        </w:tc>
      </w:tr>
      <w:tr>
        <w:trPr>
          <w:trHeight w:val="282"/>
        </w:trPr>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52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Title: Secretary/Treasurer</w:t>
            </w:r>
          </w:p>
        </w:tc>
        <w:tc>
          <w:tcPr>
            <w:tcW w:w="0" w:type="dxa"/>
            <w:vAlign w:val="bottom"/>
          </w:tcPr>
          <w:p>
            <w:pPr>
              <w:spacing w:after="0"/>
              <w:rPr>
                <w:sz w:val="1"/>
                <w:szCs w:val="1"/>
                <w:color w:val="auto"/>
              </w:rPr>
            </w:pPr>
          </w:p>
        </w:tc>
      </w:tr>
      <w:tr>
        <w:trPr>
          <w:trHeight w:val="623"/>
        </w:trPr>
        <w:tc>
          <w:tcPr>
            <w:tcW w:w="5720" w:type="dxa"/>
            <w:vAlign w:val="bottom"/>
            <w:gridSpan w:val="6"/>
          </w:tcPr>
          <w:p>
            <w:pPr>
              <w:ind w:left="100"/>
              <w:spacing w:after="0"/>
              <w:rPr>
                <w:sz w:val="20"/>
                <w:szCs w:val="20"/>
                <w:color w:val="auto"/>
              </w:rPr>
            </w:pPr>
            <w:r>
              <w:rPr>
                <w:rFonts w:ascii="Times New Roman" w:cs="Times New Roman" w:eastAsia="Times New Roman" w:hAnsi="Times New Roman"/>
                <w:sz w:val="22"/>
                <w:szCs w:val="22"/>
                <w:b w:val="1"/>
                <w:bCs w:val="1"/>
                <w:color w:val="auto"/>
              </w:rPr>
              <w:t>WITNESS/ATTEST</w:t>
            </w:r>
            <w:r>
              <w:rPr>
                <w:rFonts w:ascii="Times New Roman" w:cs="Times New Roman" w:eastAsia="Times New Roman" w:hAnsi="Times New Roman"/>
                <w:sz w:val="22"/>
                <w:szCs w:val="22"/>
                <w:color w:val="auto"/>
              </w:rPr>
              <w:t>:</w:t>
            </w:r>
          </w:p>
        </w:tc>
        <w:tc>
          <w:tcPr>
            <w:tcW w:w="552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
        </w:trPr>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572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By: /s/ Greg S. Lipsit</w:t>
            </w:r>
          </w:p>
        </w:tc>
        <w:tc>
          <w:tcPr>
            <w:tcW w:w="552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LENSAR, INC.</w:t>
            </w:r>
            <w:r>
              <w:rPr>
                <w:rFonts w:ascii="Times New Roman" w:cs="Times New Roman" w:eastAsia="Times New Roman" w:hAnsi="Times New Roman"/>
                <w:sz w:val="22"/>
                <w:szCs w:val="22"/>
                <w:color w:val="auto"/>
              </w:rPr>
              <w:t>, a Delaware corporation</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720" w:type="dxa"/>
            <w:vAlign w:val="bottom"/>
            <w:gridSpan w:val="6"/>
          </w:tcPr>
          <w:p>
            <w:pPr>
              <w:ind w:left="260"/>
              <w:spacing w:after="0"/>
              <w:rPr>
                <w:sz w:val="20"/>
                <w:szCs w:val="20"/>
                <w:color w:val="auto"/>
              </w:rPr>
            </w:pPr>
            <w:r>
              <w:rPr>
                <w:rFonts w:ascii="Times New Roman" w:cs="Times New Roman" w:eastAsia="Times New Roman" w:hAnsi="Times New Roman"/>
                <w:sz w:val="22"/>
                <w:szCs w:val="22"/>
                <w:color w:val="auto"/>
              </w:rPr>
              <w:t>Name: Greg S. Lipsit</w:t>
            </w: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0"/>
        </w:trPr>
        <w:tc>
          <w:tcPr>
            <w:tcW w:w="572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By: /s/ Adriana Bentz</w:t>
            </w:r>
          </w:p>
        </w:tc>
        <w:tc>
          <w:tcPr>
            <w:tcW w:w="55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By: /s/ Alan Connaughton</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3"/>
            <w:shd w:val="clear" w:color="auto" w:fill="000000"/>
          </w:tcPr>
          <w:p>
            <w:pPr>
              <w:spacing w:after="0" w:line="20" w:lineRule="exact"/>
              <w:rPr>
                <w:sz w:val="1"/>
                <w:szCs w:val="1"/>
                <w:color w:val="auto"/>
              </w:rPr>
            </w:pPr>
          </w:p>
        </w:tc>
        <w:tc>
          <w:tcPr>
            <w:tcW w:w="32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20" w:type="dxa"/>
            <w:vAlign w:val="bottom"/>
            <w:gridSpan w:val="6"/>
          </w:tcPr>
          <w:p>
            <w:pPr>
              <w:ind w:left="260"/>
              <w:spacing w:after="0" w:line="236" w:lineRule="exact"/>
              <w:rPr>
                <w:sz w:val="20"/>
                <w:szCs w:val="20"/>
                <w:color w:val="auto"/>
              </w:rPr>
            </w:pPr>
            <w:r>
              <w:rPr>
                <w:rFonts w:ascii="Times New Roman" w:cs="Times New Roman" w:eastAsia="Times New Roman" w:hAnsi="Times New Roman"/>
                <w:sz w:val="22"/>
                <w:szCs w:val="22"/>
                <w:color w:val="auto"/>
              </w:rPr>
              <w:t>Name: Adriana Bentz</w:t>
            </w:r>
          </w:p>
        </w:tc>
        <w:tc>
          <w:tcPr>
            <w:tcW w:w="2260" w:type="dxa"/>
            <w:vAlign w:val="bottom"/>
            <w:gridSpan w:val="4"/>
          </w:tcPr>
          <w:p>
            <w:pPr>
              <w:ind w:left="160"/>
              <w:spacing w:after="0" w:line="236" w:lineRule="exact"/>
              <w:rPr>
                <w:sz w:val="20"/>
                <w:szCs w:val="20"/>
                <w:color w:val="auto"/>
              </w:rPr>
            </w:pPr>
            <w:r>
              <w:rPr>
                <w:rFonts w:ascii="Times New Roman" w:cs="Times New Roman" w:eastAsia="Times New Roman" w:hAnsi="Times New Roman"/>
                <w:sz w:val="22"/>
                <w:szCs w:val="22"/>
                <w:color w:val="auto"/>
                <w:w w:val="90"/>
              </w:rPr>
              <w:t>Name: Alan Connaughton</w:t>
            </w:r>
          </w:p>
        </w:tc>
        <w:tc>
          <w:tcPr>
            <w:tcW w:w="3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52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Title: COO</w:t>
            </w:r>
          </w:p>
        </w:tc>
        <w:tc>
          <w:tcPr>
            <w:tcW w:w="0" w:type="dxa"/>
            <w:vAlign w:val="bottom"/>
          </w:tcPr>
          <w:p>
            <w:pPr>
              <w:spacing w:after="0"/>
              <w:rPr>
                <w:sz w:val="1"/>
                <w:szCs w:val="1"/>
                <w:color w:val="auto"/>
              </w:rPr>
            </w:pPr>
          </w:p>
        </w:tc>
      </w:tr>
      <w:tr>
        <w:trPr>
          <w:trHeight w:val="1858"/>
        </w:trPr>
        <w:tc>
          <w:tcPr>
            <w:tcW w:w="4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5" w:name="page176"/>
    <w:bookmarkEnd w:id="175"/>
    <w:p>
      <w:pPr>
        <w:ind w:left="3220"/>
        <w:spacing w:after="0"/>
        <w:rPr>
          <w:sz w:val="20"/>
          <w:szCs w:val="20"/>
          <w:color w:val="auto"/>
        </w:rPr>
      </w:pPr>
      <w:r>
        <w:rPr>
          <w:rFonts w:ascii="Times New Roman" w:cs="Times New Roman" w:eastAsia="Times New Roman" w:hAnsi="Times New Roman"/>
          <w:sz w:val="22"/>
          <w:szCs w:val="22"/>
          <w:b w:val="1"/>
          <w:bCs w:val="1"/>
          <w:u w:val="single" w:color="auto"/>
          <w:color w:val="auto"/>
        </w:rPr>
        <w:t>THIRD AMENDMENT TO LEASE</w:t>
      </w:r>
    </w:p>
    <w:p>
      <w:pPr>
        <w:spacing w:after="0" w:line="200" w:lineRule="exact"/>
        <w:rPr>
          <w:sz w:val="20"/>
          <w:szCs w:val="20"/>
          <w:color w:val="auto"/>
        </w:rPr>
      </w:pPr>
    </w:p>
    <w:p>
      <w:pPr>
        <w:spacing w:after="0" w:line="290" w:lineRule="exact"/>
        <w:rPr>
          <w:sz w:val="20"/>
          <w:szCs w:val="20"/>
          <w:color w:val="auto"/>
        </w:rPr>
      </w:pPr>
    </w:p>
    <w:p>
      <w:pPr>
        <w:jc w:val="both"/>
        <w:ind w:left="320" w:right="1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THIS THIRD AMENDMENT TO LEASE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entered into as of August 20, 2020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CHALLENGER-DISCOVERY, LLC</w:t>
      </w:r>
      <w:r>
        <w:rPr>
          <w:rFonts w:ascii="Times New Roman" w:cs="Times New Roman" w:eastAsia="Times New Roman" w:hAnsi="Times New Roman"/>
          <w:sz w:val="22"/>
          <w:szCs w:val="22"/>
          <w:color w:val="auto"/>
        </w:rPr>
        <w:t>, a Delaware limited liability company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LENSAR, INC.</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u w:val="single" w:color="auto"/>
          <w:color w:val="auto"/>
        </w:rPr>
        <w:t>R E C</w:t>
      </w:r>
      <w:r>
        <w:rPr>
          <w:rFonts w:ascii="Times New Roman" w:cs="Times New Roman" w:eastAsia="Times New Roman" w:hAnsi="Times New Roman"/>
          <w:sz w:val="22"/>
          <w:szCs w:val="22"/>
          <w:color w:val="auto"/>
        </w:rPr>
        <w:t xml:space="preserve"> I </w:t>
      </w:r>
      <w:r>
        <w:rPr>
          <w:rFonts w:ascii="Times New Roman" w:cs="Times New Roman" w:eastAsia="Times New Roman" w:hAnsi="Times New Roman"/>
          <w:sz w:val="22"/>
          <w:szCs w:val="22"/>
          <w:u w:val="single" w:color="auto"/>
          <w:color w:val="auto"/>
        </w:rPr>
        <w:t>T A L 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320" w:right="120" w:firstLine="748"/>
        <w:spacing w:after="0" w:line="239" w:lineRule="auto"/>
        <w:tabs>
          <w:tab w:leader="none" w:pos="150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entered into that certain Industrial Real Estate Lease dated July 30, 2010, as amended (the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pursuant to which Tenant leases from Landlord that certain premises known as Suites 100 and 200, consisting of approximately 33,946 square feet of rentable area (the “</w:t>
      </w:r>
      <w:r>
        <w:rPr>
          <w:rFonts w:ascii="Times New Roman" w:cs="Times New Roman" w:eastAsia="Times New Roman" w:hAnsi="Times New Roman"/>
          <w:sz w:val="22"/>
          <w:szCs w:val="22"/>
          <w:b w:val="1"/>
          <w:bCs w:val="1"/>
          <w:color w:val="auto"/>
        </w:rPr>
        <w:t>Premises</w:t>
      </w:r>
      <w:r>
        <w:rPr>
          <w:rFonts w:ascii="Times New Roman" w:cs="Times New Roman" w:eastAsia="Times New Roman" w:hAnsi="Times New Roman"/>
          <w:sz w:val="22"/>
          <w:szCs w:val="22"/>
          <w:color w:val="auto"/>
        </w:rPr>
        <w:t>”) in the building located at 2800 Discovery Dive, Orlando, Florida (the “</w:t>
      </w:r>
      <w:r>
        <w:rPr>
          <w:rFonts w:ascii="Times New Roman" w:cs="Times New Roman" w:eastAsia="Times New Roman" w:hAnsi="Times New Roman"/>
          <w:sz w:val="22"/>
          <w:szCs w:val="22"/>
          <w:b w:val="1"/>
          <w:bCs w:val="1"/>
          <w:color w:val="auto"/>
        </w:rPr>
        <w:t>Building</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2"/>
          <w:szCs w:val="22"/>
          <w:color w:val="auto"/>
        </w:rPr>
      </w:pPr>
    </w:p>
    <w:p>
      <w:pPr>
        <w:ind w:left="1500" w:hanging="432"/>
        <w:spacing w:after="0"/>
        <w:tabs>
          <w:tab w:leader="none" w:pos="150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hereof, Landlord and Tenant have agreed to extend and amend the Lease as set forth</w:t>
      </w:r>
    </w:p>
    <w:p>
      <w:pPr>
        <w:spacing w:after="0" w:line="14" w:lineRule="exact"/>
        <w:rPr>
          <w:rFonts w:ascii="Times New Roman" w:cs="Times New Roman" w:eastAsia="Times New Roman" w:hAnsi="Times New Roman"/>
          <w:sz w:val="22"/>
          <w:szCs w:val="22"/>
          <w:color w:val="auto"/>
        </w:rPr>
      </w:pPr>
    </w:p>
    <w:p>
      <w:pPr>
        <w:ind w:left="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herein.</w:t>
      </w:r>
    </w:p>
    <w:p>
      <w:pPr>
        <w:spacing w:after="0" w:line="205" w:lineRule="exact"/>
        <w:rPr>
          <w:sz w:val="20"/>
          <w:szCs w:val="20"/>
          <w:color w:val="auto"/>
        </w:rPr>
      </w:pPr>
    </w:p>
    <w:p>
      <w:pPr>
        <w:jc w:val="both"/>
        <w:ind w:left="320" w:right="1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mutual covenants contained herein and for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of which are hereby acknowledged, Landlord and Tenant agree to amend the Lease as follows:</w:t>
      </w:r>
    </w:p>
    <w:p>
      <w:pPr>
        <w:spacing w:after="0" w:line="194" w:lineRule="exact"/>
        <w:rPr>
          <w:sz w:val="20"/>
          <w:szCs w:val="20"/>
          <w:color w:val="auto"/>
        </w:rPr>
      </w:pPr>
    </w:p>
    <w:p>
      <w:pPr>
        <w:jc w:val="both"/>
        <w:ind w:left="320" w:right="120" w:firstLine="748"/>
        <w:spacing w:after="0" w:line="238" w:lineRule="auto"/>
        <w:tabs>
          <w:tab w:leader="none" w:pos="1501" w:val="left"/>
        </w:tabs>
        <w:numPr>
          <w:ilvl w:val="0"/>
          <w:numId w:val="92"/>
        </w:numPr>
        <w:rPr>
          <w:rFonts w:ascii="Times New Roman" w:cs="Times New Roman" w:eastAsia="Times New Roman" w:hAnsi="Times New Roman"/>
          <w:sz w:val="22"/>
          <w:szCs w:val="22"/>
          <w:color w:val="0070C0"/>
        </w:rPr>
      </w:pPr>
      <w:r>
        <w:rPr>
          <w:rFonts w:ascii="Times New Roman" w:cs="Times New Roman" w:eastAsia="Times New Roman" w:hAnsi="Times New Roman"/>
          <w:sz w:val="22"/>
          <w:szCs w:val="22"/>
          <w:b w:val="1"/>
          <w:bCs w:val="1"/>
          <w:u w:val="single" w:color="auto"/>
          <w:color w:val="auto"/>
        </w:rPr>
        <w:t>Extension of the Term of the Lease</w:t>
      </w:r>
      <w:r>
        <w:rPr>
          <w:rFonts w:ascii="Times New Roman" w:cs="Times New Roman" w:eastAsia="Times New Roman" w:hAnsi="Times New Roman"/>
          <w:sz w:val="22"/>
          <w:szCs w:val="22"/>
          <w:color w:val="auto"/>
        </w:rPr>
        <w:t>. The term of the Lease is hereby extended for a period of seven (7) years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three (3) months commencing on September 1, 2020 (the “</w:t>
      </w:r>
      <w:r>
        <w:rPr>
          <w:rFonts w:ascii="Times New Roman" w:cs="Times New Roman" w:eastAsia="Times New Roman" w:hAnsi="Times New Roman"/>
          <w:sz w:val="22"/>
          <w:szCs w:val="22"/>
          <w:b w:val="1"/>
          <w:bCs w:val="1"/>
          <w:color w:val="auto"/>
        </w:rPr>
        <w:t>Commencement Date</w:t>
      </w:r>
      <w:r>
        <w:rPr>
          <w:rFonts w:ascii="Times New Roman" w:cs="Times New Roman" w:eastAsia="Times New Roman" w:hAnsi="Times New Roman"/>
          <w:sz w:val="22"/>
          <w:szCs w:val="22"/>
          <w:color w:val="auto"/>
        </w:rPr>
        <w:t>”) and expiring on November 30, 2027 (the “</w:t>
      </w:r>
      <w:r>
        <w:rPr>
          <w:rFonts w:ascii="Times New Roman" w:cs="Times New Roman" w:eastAsia="Times New Roman" w:hAnsi="Times New Roman"/>
          <w:sz w:val="22"/>
          <w:szCs w:val="22"/>
          <w:b w:val="1"/>
          <w:bCs w:val="1"/>
          <w:color w:val="auto"/>
        </w:rPr>
        <w:t>Extension Term</w:t>
      </w:r>
      <w:r>
        <w:rPr>
          <w:rFonts w:ascii="Times New Roman" w:cs="Times New Roman" w:eastAsia="Times New Roman" w:hAnsi="Times New Roman"/>
          <w:sz w:val="22"/>
          <w:szCs w:val="22"/>
          <w:color w:val="auto"/>
        </w:rPr>
        <w:t>”). All of the terms and provisions of the Lease shall continue to apply with respect to the Extension Term, except as specifically modified herein. Except as provided in Section 6 of this Amendment entitled “Renewal Option”, Tenant acknowledges that Tenant has no further right or option to extend the term of the Lease.</w:t>
      </w:r>
    </w:p>
    <w:p>
      <w:pPr>
        <w:spacing w:after="0" w:line="203" w:lineRule="exact"/>
        <w:rPr>
          <w:rFonts w:ascii="Times New Roman" w:cs="Times New Roman" w:eastAsia="Times New Roman" w:hAnsi="Times New Roman"/>
          <w:sz w:val="22"/>
          <w:szCs w:val="22"/>
          <w:color w:val="0070C0"/>
        </w:rPr>
      </w:pPr>
    </w:p>
    <w:p>
      <w:pPr>
        <w:jc w:val="both"/>
        <w:ind w:left="320" w:right="120" w:firstLine="748"/>
        <w:spacing w:after="0" w:line="246" w:lineRule="auto"/>
        <w:tabs>
          <w:tab w:leader="none" w:pos="151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Base Rent</w:t>
      </w:r>
      <w:r>
        <w:rPr>
          <w:rFonts w:ascii="Times New Roman" w:cs="Times New Roman" w:eastAsia="Times New Roman" w:hAnsi="Times New Roman"/>
          <w:sz w:val="22"/>
          <w:szCs w:val="22"/>
          <w:color w:val="auto"/>
        </w:rPr>
        <w:t>. From and after the Commencement Date, Tenant shall pay to Landlord Base Rent in the manner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at the times set forth in Article 4 of the Lease and in an amount hereinafter provided, without demand, deduction or setoff, except as expressly provided in the Lease. From and after the Commencement Date, Base Rent shall be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80" w:type="dxa"/>
            <w:vAlign w:val="bottom"/>
          </w:tcPr>
          <w:p>
            <w:pPr>
              <w:spacing w:after="0"/>
              <w:rPr>
                <w:sz w:val="21"/>
                <w:szCs w:val="21"/>
                <w:color w:val="auto"/>
              </w:rPr>
            </w:pPr>
          </w:p>
        </w:tc>
        <w:tc>
          <w:tcPr>
            <w:tcW w:w="630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Period   RSF Annual Base Rent  Monthly Installment</w:t>
            </w:r>
          </w:p>
        </w:tc>
        <w:tc>
          <w:tcPr>
            <w:tcW w:w="2960" w:type="dxa"/>
            <w:vAlign w:val="bottom"/>
          </w:tcPr>
          <w:p>
            <w:pPr>
              <w:spacing w:after="0"/>
              <w:rPr>
                <w:sz w:val="21"/>
                <w:szCs w:val="21"/>
                <w:color w:val="auto"/>
              </w:rPr>
            </w:pPr>
          </w:p>
        </w:tc>
      </w:tr>
      <w:tr>
        <w:trPr>
          <w:trHeight w:val="20"/>
        </w:trPr>
        <w:tc>
          <w:tcPr>
            <w:tcW w:w="19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493"/>
        </w:trPr>
        <w:tc>
          <w:tcPr>
            <w:tcW w:w="3240" w:type="dxa"/>
            <w:vAlign w:val="bottom"/>
            <w:gridSpan w:val="4"/>
          </w:tcPr>
          <w:p>
            <w:pPr>
              <w:ind w:left="1060"/>
              <w:spacing w:after="0"/>
              <w:rPr>
                <w:sz w:val="20"/>
                <w:szCs w:val="20"/>
                <w:color w:val="auto"/>
              </w:rPr>
            </w:pPr>
            <w:r>
              <w:rPr>
                <w:rFonts w:ascii="Times New Roman" w:cs="Times New Roman" w:eastAsia="Times New Roman" w:hAnsi="Times New Roman"/>
                <w:sz w:val="22"/>
                <w:szCs w:val="22"/>
                <w:color w:val="auto"/>
              </w:rPr>
              <w:t>*9/1/2020 – 11/30/2020</w:t>
            </w:r>
          </w:p>
        </w:tc>
        <w:tc>
          <w:tcPr>
            <w:tcW w:w="2520" w:type="dxa"/>
            <w:vAlign w:val="bottom"/>
            <w:gridSpan w:val="4"/>
          </w:tcPr>
          <w:p>
            <w:pPr>
              <w:ind w:left="1380"/>
              <w:spacing w:after="0"/>
              <w:rPr>
                <w:sz w:val="20"/>
                <w:szCs w:val="20"/>
                <w:color w:val="auto"/>
              </w:rPr>
            </w:pPr>
            <w:r>
              <w:rPr>
                <w:rFonts w:ascii="Times New Roman" w:cs="Times New Roman" w:eastAsia="Times New Roman" w:hAnsi="Times New Roman"/>
                <w:sz w:val="22"/>
                <w:szCs w:val="22"/>
                <w:color w:val="auto"/>
              </w:rPr>
              <w:t>$0.00</w:t>
            </w:r>
          </w:p>
        </w:tc>
        <w:tc>
          <w:tcPr>
            <w:tcW w:w="60" w:type="dxa"/>
            <w:vAlign w:val="bottom"/>
          </w:tcPr>
          <w:p>
            <w:pPr>
              <w:spacing w:after="0"/>
              <w:rPr>
                <w:sz w:val="24"/>
                <w:szCs w:val="24"/>
                <w:color w:val="auto"/>
              </w:rPr>
            </w:pPr>
          </w:p>
        </w:tc>
        <w:tc>
          <w:tcPr>
            <w:tcW w:w="246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rPr>
              <w:t>N/A</w:t>
            </w:r>
          </w:p>
        </w:tc>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N/A</w:t>
            </w:r>
          </w:p>
        </w:tc>
      </w:tr>
      <w:tr>
        <w:trPr>
          <w:trHeight w:val="243"/>
        </w:trPr>
        <w:tc>
          <w:tcPr>
            <w:tcW w:w="3240" w:type="dxa"/>
            <w:vAlign w:val="bottom"/>
            <w:gridSpan w:val="4"/>
          </w:tcPr>
          <w:p>
            <w:pPr>
              <w:ind w:left="1060"/>
              <w:spacing w:after="0" w:line="243" w:lineRule="exact"/>
              <w:rPr>
                <w:sz w:val="20"/>
                <w:szCs w:val="20"/>
                <w:color w:val="auto"/>
              </w:rPr>
            </w:pPr>
            <w:r>
              <w:rPr>
                <w:rFonts w:ascii="Times New Roman" w:cs="Times New Roman" w:eastAsia="Times New Roman" w:hAnsi="Times New Roman"/>
                <w:sz w:val="22"/>
                <w:szCs w:val="22"/>
                <w:color w:val="auto"/>
              </w:rPr>
              <w:t>12/1/2020 - 8/31/2021</w:t>
            </w:r>
          </w:p>
        </w:tc>
        <w:tc>
          <w:tcPr>
            <w:tcW w:w="2520" w:type="dxa"/>
            <w:vAlign w:val="bottom"/>
            <w:gridSpan w:val="4"/>
          </w:tcPr>
          <w:p>
            <w:pPr>
              <w:ind w:left="1380"/>
              <w:spacing w:after="0" w:line="243" w:lineRule="exact"/>
              <w:rPr>
                <w:sz w:val="20"/>
                <w:szCs w:val="20"/>
                <w:color w:val="auto"/>
              </w:rPr>
            </w:pPr>
            <w:r>
              <w:rPr>
                <w:rFonts w:ascii="Times New Roman" w:cs="Times New Roman" w:eastAsia="Times New Roman" w:hAnsi="Times New Roman"/>
                <w:sz w:val="22"/>
                <w:szCs w:val="22"/>
                <w:color w:val="auto"/>
              </w:rPr>
              <w:t>$15.25</w:t>
            </w:r>
          </w:p>
        </w:tc>
        <w:tc>
          <w:tcPr>
            <w:tcW w:w="2520" w:type="dxa"/>
            <w:vAlign w:val="bottom"/>
            <w:gridSpan w:val="3"/>
          </w:tcPr>
          <w:p>
            <w:pPr>
              <w:ind w:left="780"/>
              <w:spacing w:after="0" w:line="243" w:lineRule="exact"/>
              <w:rPr>
                <w:sz w:val="20"/>
                <w:szCs w:val="20"/>
                <w:color w:val="auto"/>
              </w:rPr>
            </w:pPr>
            <w:r>
              <w:rPr>
                <w:rFonts w:ascii="Times New Roman" w:cs="Times New Roman" w:eastAsia="Times New Roman" w:hAnsi="Times New Roman"/>
                <w:sz w:val="22"/>
                <w:szCs w:val="22"/>
                <w:color w:val="auto"/>
              </w:rPr>
              <w:t>$517,676.50</w:t>
            </w:r>
          </w:p>
        </w:tc>
        <w:tc>
          <w:tcPr>
            <w:tcW w:w="29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$43,139.71</w:t>
            </w:r>
          </w:p>
        </w:tc>
      </w:tr>
      <w:tr>
        <w:trPr>
          <w:trHeight w:val="243"/>
        </w:trPr>
        <w:tc>
          <w:tcPr>
            <w:tcW w:w="3240" w:type="dxa"/>
            <w:vAlign w:val="bottom"/>
            <w:gridSpan w:val="4"/>
          </w:tcPr>
          <w:p>
            <w:pPr>
              <w:ind w:left="1060"/>
              <w:spacing w:after="0" w:line="243" w:lineRule="exact"/>
              <w:rPr>
                <w:sz w:val="20"/>
                <w:szCs w:val="20"/>
                <w:color w:val="auto"/>
              </w:rPr>
            </w:pPr>
            <w:r>
              <w:rPr>
                <w:rFonts w:ascii="Times New Roman" w:cs="Times New Roman" w:eastAsia="Times New Roman" w:hAnsi="Times New Roman"/>
                <w:sz w:val="22"/>
                <w:szCs w:val="22"/>
                <w:color w:val="auto"/>
              </w:rPr>
              <w:t>9/1/2021 – 8/31/2022</w:t>
            </w:r>
          </w:p>
        </w:tc>
        <w:tc>
          <w:tcPr>
            <w:tcW w:w="2520" w:type="dxa"/>
            <w:vAlign w:val="bottom"/>
            <w:gridSpan w:val="4"/>
          </w:tcPr>
          <w:p>
            <w:pPr>
              <w:ind w:left="1380"/>
              <w:spacing w:after="0" w:line="243" w:lineRule="exact"/>
              <w:rPr>
                <w:sz w:val="20"/>
                <w:szCs w:val="20"/>
                <w:color w:val="auto"/>
              </w:rPr>
            </w:pPr>
            <w:r>
              <w:rPr>
                <w:rFonts w:ascii="Times New Roman" w:cs="Times New Roman" w:eastAsia="Times New Roman" w:hAnsi="Times New Roman"/>
                <w:sz w:val="22"/>
                <w:szCs w:val="22"/>
                <w:color w:val="auto"/>
              </w:rPr>
              <w:t>$15.67</w:t>
            </w:r>
          </w:p>
        </w:tc>
        <w:tc>
          <w:tcPr>
            <w:tcW w:w="2520" w:type="dxa"/>
            <w:vAlign w:val="bottom"/>
            <w:gridSpan w:val="3"/>
          </w:tcPr>
          <w:p>
            <w:pPr>
              <w:ind w:left="780"/>
              <w:spacing w:after="0" w:line="243" w:lineRule="exact"/>
              <w:rPr>
                <w:sz w:val="20"/>
                <w:szCs w:val="20"/>
                <w:color w:val="auto"/>
              </w:rPr>
            </w:pPr>
            <w:r>
              <w:rPr>
                <w:rFonts w:ascii="Times New Roman" w:cs="Times New Roman" w:eastAsia="Times New Roman" w:hAnsi="Times New Roman"/>
                <w:sz w:val="22"/>
                <w:szCs w:val="22"/>
                <w:color w:val="auto"/>
              </w:rPr>
              <w:t>$531,933.82</w:t>
            </w:r>
          </w:p>
        </w:tc>
        <w:tc>
          <w:tcPr>
            <w:tcW w:w="29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$44,327.82</w:t>
            </w:r>
          </w:p>
        </w:tc>
      </w:tr>
      <w:tr>
        <w:trPr>
          <w:trHeight w:val="243"/>
        </w:trPr>
        <w:tc>
          <w:tcPr>
            <w:tcW w:w="3240" w:type="dxa"/>
            <w:vAlign w:val="bottom"/>
            <w:gridSpan w:val="4"/>
          </w:tcPr>
          <w:p>
            <w:pPr>
              <w:ind w:left="1060"/>
              <w:spacing w:after="0" w:line="243" w:lineRule="exact"/>
              <w:rPr>
                <w:sz w:val="20"/>
                <w:szCs w:val="20"/>
                <w:color w:val="auto"/>
              </w:rPr>
            </w:pPr>
            <w:r>
              <w:rPr>
                <w:rFonts w:ascii="Times New Roman" w:cs="Times New Roman" w:eastAsia="Times New Roman" w:hAnsi="Times New Roman"/>
                <w:sz w:val="22"/>
                <w:szCs w:val="22"/>
                <w:color w:val="auto"/>
              </w:rPr>
              <w:t>9/1/2022 – 8/31/2023</w:t>
            </w:r>
          </w:p>
        </w:tc>
        <w:tc>
          <w:tcPr>
            <w:tcW w:w="2520" w:type="dxa"/>
            <w:vAlign w:val="bottom"/>
            <w:gridSpan w:val="4"/>
          </w:tcPr>
          <w:p>
            <w:pPr>
              <w:ind w:left="1380"/>
              <w:spacing w:after="0" w:line="243" w:lineRule="exact"/>
              <w:rPr>
                <w:sz w:val="20"/>
                <w:szCs w:val="20"/>
                <w:color w:val="auto"/>
              </w:rPr>
            </w:pPr>
            <w:r>
              <w:rPr>
                <w:rFonts w:ascii="Times New Roman" w:cs="Times New Roman" w:eastAsia="Times New Roman" w:hAnsi="Times New Roman"/>
                <w:sz w:val="22"/>
                <w:szCs w:val="22"/>
                <w:color w:val="auto"/>
              </w:rPr>
              <w:t>$16.10</w:t>
            </w:r>
          </w:p>
        </w:tc>
        <w:tc>
          <w:tcPr>
            <w:tcW w:w="2520" w:type="dxa"/>
            <w:vAlign w:val="bottom"/>
            <w:gridSpan w:val="3"/>
          </w:tcPr>
          <w:p>
            <w:pPr>
              <w:ind w:left="780"/>
              <w:spacing w:after="0" w:line="243" w:lineRule="exact"/>
              <w:rPr>
                <w:sz w:val="20"/>
                <w:szCs w:val="20"/>
                <w:color w:val="auto"/>
              </w:rPr>
            </w:pPr>
            <w:r>
              <w:rPr>
                <w:rFonts w:ascii="Times New Roman" w:cs="Times New Roman" w:eastAsia="Times New Roman" w:hAnsi="Times New Roman"/>
                <w:sz w:val="22"/>
                <w:szCs w:val="22"/>
                <w:color w:val="auto"/>
              </w:rPr>
              <w:t>$546,530.60</w:t>
            </w:r>
          </w:p>
        </w:tc>
        <w:tc>
          <w:tcPr>
            <w:tcW w:w="29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$45,544.22</w:t>
            </w:r>
          </w:p>
        </w:tc>
      </w:tr>
      <w:tr>
        <w:trPr>
          <w:trHeight w:val="243"/>
        </w:trPr>
        <w:tc>
          <w:tcPr>
            <w:tcW w:w="3240" w:type="dxa"/>
            <w:vAlign w:val="bottom"/>
            <w:gridSpan w:val="4"/>
          </w:tcPr>
          <w:p>
            <w:pPr>
              <w:ind w:left="1060"/>
              <w:spacing w:after="0" w:line="243" w:lineRule="exact"/>
              <w:rPr>
                <w:sz w:val="20"/>
                <w:szCs w:val="20"/>
                <w:color w:val="auto"/>
              </w:rPr>
            </w:pPr>
            <w:r>
              <w:rPr>
                <w:rFonts w:ascii="Times New Roman" w:cs="Times New Roman" w:eastAsia="Times New Roman" w:hAnsi="Times New Roman"/>
                <w:sz w:val="22"/>
                <w:szCs w:val="22"/>
                <w:color w:val="auto"/>
              </w:rPr>
              <w:t>9/1/2023 – 8/31/2024</w:t>
            </w:r>
          </w:p>
        </w:tc>
        <w:tc>
          <w:tcPr>
            <w:tcW w:w="2520" w:type="dxa"/>
            <w:vAlign w:val="bottom"/>
            <w:gridSpan w:val="4"/>
          </w:tcPr>
          <w:p>
            <w:pPr>
              <w:ind w:left="1380"/>
              <w:spacing w:after="0" w:line="243" w:lineRule="exact"/>
              <w:rPr>
                <w:sz w:val="20"/>
                <w:szCs w:val="20"/>
                <w:color w:val="auto"/>
              </w:rPr>
            </w:pPr>
            <w:r>
              <w:rPr>
                <w:rFonts w:ascii="Times New Roman" w:cs="Times New Roman" w:eastAsia="Times New Roman" w:hAnsi="Times New Roman"/>
                <w:sz w:val="22"/>
                <w:szCs w:val="22"/>
                <w:color w:val="auto"/>
              </w:rPr>
              <w:t>$16.54</w:t>
            </w:r>
          </w:p>
        </w:tc>
        <w:tc>
          <w:tcPr>
            <w:tcW w:w="2520" w:type="dxa"/>
            <w:vAlign w:val="bottom"/>
            <w:gridSpan w:val="3"/>
          </w:tcPr>
          <w:p>
            <w:pPr>
              <w:ind w:left="780"/>
              <w:spacing w:after="0" w:line="243" w:lineRule="exact"/>
              <w:rPr>
                <w:sz w:val="20"/>
                <w:szCs w:val="20"/>
                <w:color w:val="auto"/>
              </w:rPr>
            </w:pPr>
            <w:r>
              <w:rPr>
                <w:rFonts w:ascii="Times New Roman" w:cs="Times New Roman" w:eastAsia="Times New Roman" w:hAnsi="Times New Roman"/>
                <w:sz w:val="22"/>
                <w:szCs w:val="22"/>
                <w:color w:val="auto"/>
              </w:rPr>
              <w:t>$561,466.84</w:t>
            </w:r>
          </w:p>
        </w:tc>
        <w:tc>
          <w:tcPr>
            <w:tcW w:w="29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$46,788.90</w:t>
            </w:r>
          </w:p>
        </w:tc>
      </w:tr>
      <w:tr>
        <w:trPr>
          <w:trHeight w:val="243"/>
        </w:trPr>
        <w:tc>
          <w:tcPr>
            <w:tcW w:w="3240" w:type="dxa"/>
            <w:vAlign w:val="bottom"/>
            <w:gridSpan w:val="4"/>
          </w:tcPr>
          <w:p>
            <w:pPr>
              <w:ind w:left="1060"/>
              <w:spacing w:after="0" w:line="243" w:lineRule="exact"/>
              <w:rPr>
                <w:sz w:val="20"/>
                <w:szCs w:val="20"/>
                <w:color w:val="auto"/>
              </w:rPr>
            </w:pPr>
            <w:r>
              <w:rPr>
                <w:rFonts w:ascii="Times New Roman" w:cs="Times New Roman" w:eastAsia="Times New Roman" w:hAnsi="Times New Roman"/>
                <w:sz w:val="22"/>
                <w:szCs w:val="22"/>
                <w:color w:val="auto"/>
              </w:rPr>
              <w:t>9/1/2024 – 8/31/2025</w:t>
            </w:r>
          </w:p>
        </w:tc>
        <w:tc>
          <w:tcPr>
            <w:tcW w:w="2520" w:type="dxa"/>
            <w:vAlign w:val="bottom"/>
            <w:gridSpan w:val="4"/>
          </w:tcPr>
          <w:p>
            <w:pPr>
              <w:ind w:left="1380"/>
              <w:spacing w:after="0" w:line="243" w:lineRule="exact"/>
              <w:rPr>
                <w:sz w:val="20"/>
                <w:szCs w:val="20"/>
                <w:color w:val="auto"/>
              </w:rPr>
            </w:pPr>
            <w:r>
              <w:rPr>
                <w:rFonts w:ascii="Times New Roman" w:cs="Times New Roman" w:eastAsia="Times New Roman" w:hAnsi="Times New Roman"/>
                <w:sz w:val="22"/>
                <w:szCs w:val="22"/>
                <w:color w:val="auto"/>
              </w:rPr>
              <w:t>$16.99</w:t>
            </w:r>
          </w:p>
        </w:tc>
        <w:tc>
          <w:tcPr>
            <w:tcW w:w="2520" w:type="dxa"/>
            <w:vAlign w:val="bottom"/>
            <w:gridSpan w:val="3"/>
          </w:tcPr>
          <w:p>
            <w:pPr>
              <w:ind w:left="780"/>
              <w:spacing w:after="0" w:line="243" w:lineRule="exact"/>
              <w:rPr>
                <w:sz w:val="20"/>
                <w:szCs w:val="20"/>
                <w:color w:val="auto"/>
              </w:rPr>
            </w:pPr>
            <w:r>
              <w:rPr>
                <w:rFonts w:ascii="Times New Roman" w:cs="Times New Roman" w:eastAsia="Times New Roman" w:hAnsi="Times New Roman"/>
                <w:sz w:val="22"/>
                <w:szCs w:val="22"/>
                <w:color w:val="auto"/>
              </w:rPr>
              <w:t>$576,742.54</w:t>
            </w:r>
          </w:p>
        </w:tc>
        <w:tc>
          <w:tcPr>
            <w:tcW w:w="29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$48,061.88</w:t>
            </w:r>
          </w:p>
        </w:tc>
      </w:tr>
      <w:tr>
        <w:trPr>
          <w:trHeight w:val="243"/>
        </w:trPr>
        <w:tc>
          <w:tcPr>
            <w:tcW w:w="3240" w:type="dxa"/>
            <w:vAlign w:val="bottom"/>
            <w:gridSpan w:val="4"/>
          </w:tcPr>
          <w:p>
            <w:pPr>
              <w:ind w:left="1060"/>
              <w:spacing w:after="0" w:line="243" w:lineRule="exact"/>
              <w:rPr>
                <w:sz w:val="20"/>
                <w:szCs w:val="20"/>
                <w:color w:val="auto"/>
              </w:rPr>
            </w:pPr>
            <w:r>
              <w:rPr>
                <w:rFonts w:ascii="Times New Roman" w:cs="Times New Roman" w:eastAsia="Times New Roman" w:hAnsi="Times New Roman"/>
                <w:sz w:val="22"/>
                <w:szCs w:val="22"/>
                <w:color w:val="auto"/>
              </w:rPr>
              <w:t>9/1/2025 – 8/31/2026</w:t>
            </w:r>
          </w:p>
        </w:tc>
        <w:tc>
          <w:tcPr>
            <w:tcW w:w="2520" w:type="dxa"/>
            <w:vAlign w:val="bottom"/>
            <w:gridSpan w:val="4"/>
          </w:tcPr>
          <w:p>
            <w:pPr>
              <w:ind w:left="1380"/>
              <w:spacing w:after="0" w:line="243" w:lineRule="exact"/>
              <w:rPr>
                <w:sz w:val="20"/>
                <w:szCs w:val="20"/>
                <w:color w:val="auto"/>
              </w:rPr>
            </w:pPr>
            <w:r>
              <w:rPr>
                <w:rFonts w:ascii="Times New Roman" w:cs="Times New Roman" w:eastAsia="Times New Roman" w:hAnsi="Times New Roman"/>
                <w:sz w:val="22"/>
                <w:szCs w:val="22"/>
                <w:color w:val="auto"/>
              </w:rPr>
              <w:t>$17.46</w:t>
            </w:r>
          </w:p>
        </w:tc>
        <w:tc>
          <w:tcPr>
            <w:tcW w:w="2520" w:type="dxa"/>
            <w:vAlign w:val="bottom"/>
            <w:gridSpan w:val="3"/>
          </w:tcPr>
          <w:p>
            <w:pPr>
              <w:ind w:left="780"/>
              <w:spacing w:after="0" w:line="243" w:lineRule="exact"/>
              <w:rPr>
                <w:sz w:val="20"/>
                <w:szCs w:val="20"/>
                <w:color w:val="auto"/>
              </w:rPr>
            </w:pPr>
            <w:r>
              <w:rPr>
                <w:rFonts w:ascii="Times New Roman" w:cs="Times New Roman" w:eastAsia="Times New Roman" w:hAnsi="Times New Roman"/>
                <w:sz w:val="22"/>
                <w:szCs w:val="22"/>
                <w:color w:val="auto"/>
              </w:rPr>
              <w:t>$592,697.16</w:t>
            </w:r>
          </w:p>
        </w:tc>
        <w:tc>
          <w:tcPr>
            <w:tcW w:w="29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$49,391.43</w:t>
            </w:r>
          </w:p>
        </w:tc>
      </w:tr>
      <w:tr>
        <w:trPr>
          <w:trHeight w:val="282"/>
        </w:trPr>
        <w:tc>
          <w:tcPr>
            <w:tcW w:w="3240" w:type="dxa"/>
            <w:vAlign w:val="bottom"/>
            <w:gridSpan w:val="4"/>
          </w:tcPr>
          <w:p>
            <w:pPr>
              <w:ind w:left="1060"/>
              <w:spacing w:after="0"/>
              <w:rPr>
                <w:sz w:val="20"/>
                <w:szCs w:val="20"/>
                <w:color w:val="auto"/>
              </w:rPr>
            </w:pPr>
            <w:r>
              <w:rPr>
                <w:rFonts w:ascii="Times New Roman" w:cs="Times New Roman" w:eastAsia="Times New Roman" w:hAnsi="Times New Roman"/>
                <w:sz w:val="22"/>
                <w:szCs w:val="22"/>
                <w:color w:val="auto"/>
              </w:rPr>
              <w:t>9/1/2027 – 11/30/2027</w:t>
            </w:r>
          </w:p>
        </w:tc>
        <w:tc>
          <w:tcPr>
            <w:tcW w:w="2520" w:type="dxa"/>
            <w:vAlign w:val="bottom"/>
            <w:gridSpan w:val="4"/>
          </w:tcPr>
          <w:p>
            <w:pPr>
              <w:ind w:left="1380"/>
              <w:spacing w:after="0"/>
              <w:rPr>
                <w:sz w:val="20"/>
                <w:szCs w:val="20"/>
                <w:color w:val="auto"/>
              </w:rPr>
            </w:pPr>
            <w:r>
              <w:rPr>
                <w:rFonts w:ascii="Times New Roman" w:cs="Times New Roman" w:eastAsia="Times New Roman" w:hAnsi="Times New Roman"/>
                <w:sz w:val="22"/>
                <w:szCs w:val="22"/>
                <w:color w:val="auto"/>
              </w:rPr>
              <w:t>$17.94</w:t>
            </w:r>
          </w:p>
        </w:tc>
        <w:tc>
          <w:tcPr>
            <w:tcW w:w="2520" w:type="dxa"/>
            <w:vAlign w:val="bottom"/>
            <w:gridSpan w:val="3"/>
          </w:tcPr>
          <w:p>
            <w:pPr>
              <w:ind w:left="780"/>
              <w:spacing w:after="0"/>
              <w:rPr>
                <w:sz w:val="20"/>
                <w:szCs w:val="20"/>
                <w:color w:val="auto"/>
              </w:rPr>
            </w:pPr>
            <w:r>
              <w:rPr>
                <w:rFonts w:ascii="Times New Roman" w:cs="Times New Roman" w:eastAsia="Times New Roman" w:hAnsi="Times New Roman"/>
                <w:sz w:val="22"/>
                <w:szCs w:val="22"/>
                <w:color w:val="auto"/>
              </w:rPr>
              <w:t>$608,991.24</w:t>
            </w:r>
          </w:p>
        </w:tc>
        <w:tc>
          <w:tcPr>
            <w:tcW w:w="29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$50,749.27</w:t>
            </w:r>
          </w:p>
        </w:tc>
      </w:tr>
      <w:tr>
        <w:trPr>
          <w:trHeight w:val="1116"/>
        </w:trPr>
        <w:tc>
          <w:tcPr>
            <w:tcW w:w="1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6" w:name="page177"/>
    <w:bookmarkEnd w:id="176"/>
    <w:p>
      <w:pPr>
        <w:spacing w:after="0" w:line="200" w:lineRule="exact"/>
        <w:rPr>
          <w:sz w:val="20"/>
          <w:szCs w:val="20"/>
          <w:color w:val="auto"/>
        </w:rPr>
      </w:pPr>
    </w:p>
    <w:p>
      <w:pPr>
        <w:spacing w:after="0" w:line="268" w:lineRule="exact"/>
        <w:rPr>
          <w:sz w:val="20"/>
          <w:szCs w:val="20"/>
          <w:color w:val="auto"/>
        </w:rPr>
      </w:pPr>
    </w:p>
    <w:p>
      <w:pPr>
        <w:jc w:val="both"/>
        <w:ind w:left="1" w:firstLine="749"/>
        <w:spacing w:after="0" w:line="235" w:lineRule="auto"/>
        <w:rPr>
          <w:sz w:val="20"/>
          <w:szCs w:val="20"/>
          <w:color w:val="auto"/>
        </w:rPr>
      </w:pPr>
      <w:r>
        <w:rPr>
          <w:rFonts w:ascii="Times New Roman" w:cs="Times New Roman" w:eastAsia="Times New Roman" w:hAnsi="Times New Roman"/>
          <w:sz w:val="22"/>
          <w:szCs w:val="22"/>
          <w:color w:val="auto"/>
        </w:rPr>
        <w:t>*Notwithstanding anything to the contrary contained herein, so long as Tenant is not in default under the Lease, Tenant’s obligation to pay the Base Rent otherwise due for the Premises for the first three (3) months (the “</w:t>
      </w:r>
      <w:r>
        <w:rPr>
          <w:rFonts w:ascii="Times New Roman" w:cs="Times New Roman" w:eastAsia="Times New Roman" w:hAnsi="Times New Roman"/>
          <w:sz w:val="22"/>
          <w:szCs w:val="22"/>
          <w:b w:val="1"/>
          <w:bCs w:val="1"/>
          <w:color w:val="auto"/>
        </w:rPr>
        <w:t>Abatement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Period</w:t>
      </w:r>
      <w:r>
        <w:rPr>
          <w:rFonts w:ascii="Times New Roman" w:cs="Times New Roman" w:eastAsia="Times New Roman" w:hAnsi="Times New Roman"/>
          <w:sz w:val="22"/>
          <w:szCs w:val="22"/>
          <w:color w:val="auto"/>
        </w:rPr>
        <w:t>”) shall be abated. Accordingly, the total amount of Base Rent abated during the Abatement Period shall equal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$129,419.13 (the “</w:t>
      </w:r>
      <w:r>
        <w:rPr>
          <w:rFonts w:ascii="Times New Roman" w:cs="Times New Roman" w:eastAsia="Times New Roman" w:hAnsi="Times New Roman"/>
          <w:sz w:val="22"/>
          <w:szCs w:val="22"/>
          <w:b w:val="1"/>
          <w:bCs w:val="1"/>
          <w:color w:val="auto"/>
        </w:rPr>
        <w:t>Abated Base Rent</w:t>
      </w:r>
      <w:r>
        <w:rPr>
          <w:rFonts w:ascii="Times New Roman" w:cs="Times New Roman" w:eastAsia="Times New Roman" w:hAnsi="Times New Roman"/>
          <w:sz w:val="22"/>
          <w:szCs w:val="22"/>
          <w:color w:val="auto"/>
        </w:rPr>
        <w:t>”). If Landlord elects to terminate the Lease or Tenant’s right to possession of the Premises due to default by Tenant not cured during any applicable grace or curative period, then</w:t>
      </w:r>
    </w:p>
    <w:p>
      <w:pPr>
        <w:jc w:val="both"/>
        <w:ind w:left="1" w:hanging="1"/>
        <w:spacing w:after="0" w:line="234" w:lineRule="auto"/>
        <w:tabs>
          <w:tab w:leader="none" w:pos="29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the Abated Base Rent unamortized as of the date of such default, shall immediately become due and payable; and (ii) Tenant shall not be entitled to any further abatement of Base Rent pursuant to this paragraph. The payment by Tenant of the Abated Base Rent in the event of a default shall not limit or affect any of Landlord’s other rights or remedies, in the event of a default by Tenant, pursuant to the Lease or at law or in equity.</w:t>
      </w:r>
    </w:p>
    <w:p>
      <w:pPr>
        <w:spacing w:after="0" w:line="200" w:lineRule="exact"/>
        <w:rPr>
          <w:rFonts w:ascii="Times New Roman" w:cs="Times New Roman" w:eastAsia="Times New Roman" w:hAnsi="Times New Roman"/>
          <w:sz w:val="22"/>
          <w:szCs w:val="22"/>
          <w:color w:val="auto"/>
        </w:rPr>
      </w:pPr>
    </w:p>
    <w:p>
      <w:pPr>
        <w:jc w:val="both"/>
        <w:ind w:left="1" w:firstLine="748"/>
        <w:spacing w:after="0" w:line="247" w:lineRule="auto"/>
        <w:tabs>
          <w:tab w:leader="none" w:pos="1181"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Additional Rent</w:t>
      </w:r>
      <w:r>
        <w:rPr>
          <w:rFonts w:ascii="Times New Roman" w:cs="Times New Roman" w:eastAsia="Times New Roman" w:hAnsi="Times New Roman"/>
          <w:sz w:val="21"/>
          <w:szCs w:val="21"/>
          <w:color w:val="auto"/>
        </w:rPr>
        <w:t>. Tenant shall continue to pay, in accordance with the Lease, Tenant’s proportionate share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Total Operating Costs for each year on a net basis, and without regard to any base year. As of the Commencement Date, Tenant’s proportionate share of Total Operating Costs (or Pro Rata Share as defined in the Lease) shall be 75.83%. The Total Operating Costs for 2020 are estimated to be approximately $5.91 per square foot. For purposes of calculating Total Operating Costs, Controllable Operating Costs (as hereinafter defined) shall be deemed to have increased by the actual amount of such increase over the preceding year, but not to exceed five percent (5%) (on a cumulative basis) of such actual (i.e. following end of year reconciliation) costs in each year of this Amendment commencing on the Commencement Date. The term "</w:t>
      </w:r>
      <w:r>
        <w:rPr>
          <w:rFonts w:ascii="Times New Roman" w:cs="Times New Roman" w:eastAsia="Times New Roman" w:hAnsi="Times New Roman"/>
          <w:sz w:val="21"/>
          <w:szCs w:val="21"/>
          <w:b w:val="1"/>
          <w:bCs w:val="1"/>
          <w:color w:val="auto"/>
        </w:rPr>
        <w:t>Controllable Operating Costs</w:t>
      </w:r>
      <w:r>
        <w:rPr>
          <w:rFonts w:ascii="Times New Roman" w:cs="Times New Roman" w:eastAsia="Times New Roman" w:hAnsi="Times New Roman"/>
          <w:sz w:val="21"/>
          <w:szCs w:val="21"/>
          <w:color w:val="auto"/>
        </w:rPr>
        <w:t>" shall include all Total Operating Costs with the exception of Real Property Taxes, Building insurance costs, utilities, management fees not to exceed five percent (5%) and any research park fees.</w:t>
      </w:r>
    </w:p>
    <w:p>
      <w:pPr>
        <w:spacing w:after="0" w:line="193" w:lineRule="exact"/>
        <w:rPr>
          <w:rFonts w:ascii="Times New Roman" w:cs="Times New Roman" w:eastAsia="Times New Roman" w:hAnsi="Times New Roman"/>
          <w:sz w:val="21"/>
          <w:szCs w:val="21"/>
          <w:color w:val="auto"/>
        </w:rPr>
      </w:pPr>
    </w:p>
    <w:p>
      <w:pPr>
        <w:ind w:left="1" w:right="20" w:firstLine="748"/>
        <w:spacing w:after="0" w:line="262" w:lineRule="auto"/>
        <w:tabs>
          <w:tab w:leader="none" w:pos="1181"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Florida State Sales Tax</w:t>
      </w:r>
      <w:r>
        <w:rPr>
          <w:rFonts w:ascii="Times New Roman" w:cs="Times New Roman" w:eastAsia="Times New Roman" w:hAnsi="Times New Roman"/>
          <w:sz w:val="22"/>
          <w:szCs w:val="22"/>
          <w:color w:val="auto"/>
        </w:rPr>
        <w:t>. Tenant shall continue pay all applicable Florida State Sales Taxes concurrently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installment of Base Rent for the Premises.</w:t>
      </w:r>
    </w:p>
    <w:p>
      <w:pPr>
        <w:spacing w:after="0" w:line="176" w:lineRule="exact"/>
        <w:rPr>
          <w:rFonts w:ascii="Times New Roman" w:cs="Times New Roman" w:eastAsia="Times New Roman" w:hAnsi="Times New Roman"/>
          <w:sz w:val="22"/>
          <w:szCs w:val="22"/>
          <w:color w:val="auto"/>
        </w:rPr>
      </w:pPr>
    </w:p>
    <w:p>
      <w:pPr>
        <w:jc w:val="both"/>
        <w:ind w:left="1" w:firstLine="748"/>
        <w:spacing w:after="0" w:line="241" w:lineRule="auto"/>
        <w:tabs>
          <w:tab w:leader="none" w:pos="1195"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Tenant Improvements</w:t>
      </w:r>
      <w:r>
        <w:rPr>
          <w:rFonts w:ascii="Times New Roman" w:cs="Times New Roman" w:eastAsia="Times New Roman" w:hAnsi="Times New Roman"/>
          <w:sz w:val="22"/>
          <w:szCs w:val="22"/>
          <w:color w:val="auto"/>
        </w:rPr>
        <w:t>. All improvements described in this Amendment to be constructed in and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Premises are described in the Work Letter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Work Letter</w:t>
      </w:r>
      <w:r>
        <w:rPr>
          <w:rFonts w:ascii="Times New Roman" w:cs="Times New Roman" w:eastAsia="Times New Roman" w:hAnsi="Times New Roman"/>
          <w:sz w:val="22"/>
          <w:szCs w:val="22"/>
          <w:color w:val="auto"/>
        </w:rPr>
        <w:t>”). Other than with respect to Landlord’s Work (as defined in the Work Letter), Tenant accepts the Premises in its “as-is” condition and Landlord shall have no obligation to perform any work at the Premises.</w:t>
      </w:r>
    </w:p>
    <w:p>
      <w:pPr>
        <w:spacing w:after="0" w:line="198" w:lineRule="exact"/>
        <w:rPr>
          <w:rFonts w:ascii="Times New Roman" w:cs="Times New Roman" w:eastAsia="Times New Roman" w:hAnsi="Times New Roman"/>
          <w:sz w:val="22"/>
          <w:szCs w:val="22"/>
          <w:color w:val="auto"/>
        </w:rPr>
      </w:pPr>
    </w:p>
    <w:p>
      <w:pPr>
        <w:jc w:val="both"/>
        <w:ind w:left="1" w:firstLine="748"/>
        <w:spacing w:after="0" w:line="263" w:lineRule="auto"/>
        <w:tabs>
          <w:tab w:leader="none" w:pos="1208"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Renewal Option</w:t>
      </w:r>
      <w:r>
        <w:rPr>
          <w:rFonts w:ascii="Times New Roman" w:cs="Times New Roman" w:eastAsia="Times New Roman" w:hAnsi="Times New Roman"/>
          <w:sz w:val="21"/>
          <w:szCs w:val="21"/>
          <w:color w:val="auto"/>
        </w:rPr>
        <w:t>. Landlord hereby grants to Tenant the option to extend the Extension Term on the same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conditions and provisions as contained in the Lease, as modified and except as otherwise provided herein, for one (1) period of five (5) years (the “</w:t>
      </w:r>
      <w:r>
        <w:rPr>
          <w:rFonts w:ascii="Times New Roman" w:cs="Times New Roman" w:eastAsia="Times New Roman" w:hAnsi="Times New Roman"/>
          <w:sz w:val="21"/>
          <w:szCs w:val="21"/>
          <w:b w:val="1"/>
          <w:bCs w:val="1"/>
          <w:color w:val="auto"/>
        </w:rPr>
        <w:t>Option Period</w:t>
      </w:r>
      <w:r>
        <w:rPr>
          <w:rFonts w:ascii="Times New Roman" w:cs="Times New Roman" w:eastAsia="Times New Roman" w:hAnsi="Times New Roman"/>
          <w:sz w:val="21"/>
          <w:szCs w:val="21"/>
          <w:color w:val="auto"/>
        </w:rPr>
        <w:t>”) commencing on the day following the expiration of the Extension Term.</w:t>
      </w:r>
    </w:p>
    <w:p>
      <w:pPr>
        <w:spacing w:after="0" w:line="182" w:lineRule="exact"/>
        <w:rPr>
          <w:rFonts w:ascii="Times New Roman" w:cs="Times New Roman" w:eastAsia="Times New Roman" w:hAnsi="Times New Roman"/>
          <w:sz w:val="21"/>
          <w:szCs w:val="21"/>
          <w:color w:val="auto"/>
        </w:rPr>
      </w:pPr>
    </w:p>
    <w:p>
      <w:pPr>
        <w:jc w:val="both"/>
        <w:ind w:left="741" w:firstLine="757"/>
        <w:spacing w:after="0" w:line="244" w:lineRule="auto"/>
        <w:tabs>
          <w:tab w:leader="none" w:pos="1935"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option to extend shall be exercisable by written notice from Tenant to Landlord given no more than twelve (12) months and no less than nine (9) months prior to the expiration of the Extension Term, time being of the essence.</w:t>
      </w:r>
    </w:p>
    <w:p>
      <w:pPr>
        <w:spacing w:after="0" w:line="200" w:lineRule="exact"/>
        <w:rPr>
          <w:sz w:val="20"/>
          <w:szCs w:val="20"/>
          <w:color w:val="auto"/>
        </w:rPr>
      </w:pPr>
    </w:p>
    <w:p>
      <w:pPr>
        <w:spacing w:after="0" w:line="230" w:lineRule="exact"/>
        <w:rPr>
          <w:sz w:val="20"/>
          <w:szCs w:val="20"/>
          <w:color w:val="auto"/>
        </w:rPr>
      </w:pPr>
    </w:p>
    <w:p>
      <w:pPr>
        <w:ind w:left="5661"/>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761365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1"/>
          </w:cols>
          <w:pgMar w:left="639" w:top="1440" w:right="459" w:bottom="1440" w:gutter="0" w:footer="0" w:header="0"/>
        </w:sectPr>
      </w:pPr>
    </w:p>
    <w:bookmarkStart w:id="177" w:name="page178"/>
    <w:bookmarkEnd w:id="177"/>
    <w:p>
      <w:pPr>
        <w:ind w:firstLine="757"/>
        <w:spacing w:after="0" w:line="258" w:lineRule="auto"/>
        <w:tabs>
          <w:tab w:leader="none" w:pos="119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Rent per rentable square foot of the Premises payable during the Option Period shall be at one hundred percent (100%) of the Fair Market Rental Rate (as hereinafter defined).</w:t>
      </w:r>
    </w:p>
    <w:p>
      <w:pPr>
        <w:spacing w:after="0" w:line="185"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may only exercise its option to extend, and an exercise thereof shall only be effective, if at the time of Tenant’s exercise and on the Option Period commencement date, the Lease is in full force and effect and no event of default by Tenant has occurred under the Lease which remains uncured after the giving of any applicable notice and the expiration of any applicable cure period. In addition to the condition set forth in the first sentence of this subparagraph (c), if Tenant is in default under the Lease (after the giving of any applicable notice and the expiration of any applicable cure period) within thirty (30) days prior to the Option Period commencement date, then, at Landlord’s option, Tenant’s right to exercise its option may be terminated and rendered null and void by written notice thereof from Landlord to Tenant.</w:t>
      </w:r>
    </w:p>
    <w:p>
      <w:pPr>
        <w:spacing w:after="0" w:line="205" w:lineRule="exact"/>
        <w:rPr>
          <w:rFonts w:ascii="Times New Roman" w:cs="Times New Roman" w:eastAsia="Times New Roman" w:hAnsi="Times New Roman"/>
          <w:sz w:val="22"/>
          <w:szCs w:val="22"/>
          <w:color w:val="auto"/>
        </w:rPr>
      </w:pPr>
    </w:p>
    <w:p>
      <w:pPr>
        <w:jc w:val="both"/>
        <w:ind w:firstLine="757"/>
        <w:spacing w:after="0" w:line="235" w:lineRule="auto"/>
        <w:tabs>
          <w:tab w:leader="none" w:pos="120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valid exercise by Tenant of its option to extend, Landlord and Tenant shall enter into a written amendment to the Lease confirming the terms, conditions and provisions applicable to the Option Period as determined in accordance with the provisions of this Section, with such revisions to the rent provisions of the Lease as may be necessary to conform those provisions to the rental rate applicable to the Option Period. No new options to extend shall be deemed to be created by a valid exercise of the extension option and no other provisions inapplicable to the Option Period such as, but not limited to, an obligation to construct or pay for construction or improvements or to grant rent abatements, shall be construed to govern the Option Period.</w:t>
      </w:r>
    </w:p>
    <w:p>
      <w:pPr>
        <w:spacing w:after="0" w:line="20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For purposes of this Section, the term “</w:t>
      </w:r>
      <w:r>
        <w:rPr>
          <w:rFonts w:ascii="Times New Roman" w:cs="Times New Roman" w:eastAsia="Times New Roman" w:hAnsi="Times New Roman"/>
          <w:sz w:val="22"/>
          <w:szCs w:val="22"/>
          <w:b w:val="1"/>
          <w:bCs w:val="1"/>
          <w:color w:val="auto"/>
        </w:rPr>
        <w:t>Fair Market Rental Rate</w:t>
      </w:r>
      <w:r>
        <w:rPr>
          <w:rFonts w:ascii="Times New Roman" w:cs="Times New Roman" w:eastAsia="Times New Roman" w:hAnsi="Times New Roman"/>
          <w:sz w:val="22"/>
          <w:szCs w:val="22"/>
          <w:color w:val="auto"/>
        </w:rPr>
        <w:t>” shall mean a rate comprised of (i) the prevailing base rental rate per square foot of rentable area available in the Pertinent Market (as defined below), and taking into account tenant improvement allowances, other tenant inducements, operating cost stops and tax cost stops, and brokerage commissions, all as determined by an MAI appraiser mutually acceptable to Landlord and Tenant in their reasonable discretion, and (ii) any escalation of any such base rental rate (based upon a fixed step and/or index) prevailing in the Pertinent Market, as also determined by said appraiser, taking into account</w:t>
      </w:r>
    </w:p>
    <w:p>
      <w:pPr>
        <w:spacing w:after="0" w:line="211" w:lineRule="exact"/>
        <w:rPr>
          <w:sz w:val="20"/>
          <w:szCs w:val="20"/>
          <w:color w:val="auto"/>
        </w:rPr>
      </w:pPr>
    </w:p>
    <w:p>
      <w:pPr>
        <w:jc w:val="both"/>
        <w:ind w:firstLine="8"/>
        <w:spacing w:after="0" w:line="232" w:lineRule="auto"/>
        <w:tabs>
          <w:tab w:leader="none" w:pos="37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comparable lease renewals (on the basis of factors such as, but not limited to, size and location of space and commencement date and term of lease), if any, recently executed for improved space in the Building, and (B) lease renewals for comparable (on the basis of factors such as, but not limited to, size and location of space and commencement date and term of lease) improved space in “flex” buildings in the Research Park which are comparable to the Building in reputation, quality, condition, age, size, location and level and quality of services provided and which have reached economic stabilization and are not, for any other reason, offering below market rents (the foregoing factors not being exclusive in identifying comparable buildings) (the Building, together with such comparable buildings, if applicable, being herein referred to as the “</w:t>
      </w:r>
      <w:r>
        <w:rPr>
          <w:rFonts w:ascii="Times New Roman" w:cs="Times New Roman" w:eastAsia="Times New Roman" w:hAnsi="Times New Roman"/>
          <w:sz w:val="22"/>
          <w:szCs w:val="22"/>
          <w:b w:val="1"/>
          <w:bCs w:val="1"/>
          <w:color w:val="auto"/>
        </w:rPr>
        <w:t>Pertinent Market</w:t>
      </w:r>
      <w:r>
        <w:rPr>
          <w:rFonts w:ascii="Times New Roman" w:cs="Times New Roman" w:eastAsia="Times New Roman" w:hAnsi="Times New Roman"/>
          <w:sz w:val="22"/>
          <w:szCs w:val="22"/>
          <w:color w:val="auto"/>
        </w:rPr>
        <w:t>”). Tenant may, after the determinations of the appraiser set forth</w:t>
      </w:r>
    </w:p>
    <w:p>
      <w:pPr>
        <w:spacing w:after="0" w:line="200" w:lineRule="exact"/>
        <w:rPr>
          <w:sz w:val="20"/>
          <w:szCs w:val="20"/>
          <w:color w:val="auto"/>
        </w:rPr>
      </w:pPr>
    </w:p>
    <w:p>
      <w:pPr>
        <w:spacing w:after="0" w:line="23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761365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1380" w:top="1395" w:right="459" w:bottom="1440" w:gutter="0" w:footer="0" w:header="0"/>
        </w:sectPr>
      </w:pPr>
    </w:p>
    <w:bookmarkStart w:id="178" w:name="page179"/>
    <w:bookmarkEnd w:id="178"/>
    <w:p>
      <w:pPr>
        <w:ind w:right="320"/>
        <w:spacing w:after="0" w:line="258" w:lineRule="auto"/>
        <w:rPr>
          <w:sz w:val="20"/>
          <w:szCs w:val="20"/>
          <w:color w:val="auto"/>
        </w:rPr>
      </w:pPr>
      <w:r>
        <w:rPr>
          <w:rFonts w:ascii="Times New Roman" w:cs="Times New Roman" w:eastAsia="Times New Roman" w:hAnsi="Times New Roman"/>
          <w:sz w:val="22"/>
          <w:szCs w:val="22"/>
          <w:color w:val="auto"/>
        </w:rPr>
        <w:t>above, elect to withdraw its notice of renewal at no obligation or expense of Tenant and, in such event, the Term shall not be extended and Tenant shall lose its renewal option.</w:t>
      </w:r>
    </w:p>
    <w:p>
      <w:pPr>
        <w:spacing w:after="0" w:line="181" w:lineRule="exact"/>
        <w:rPr>
          <w:sz w:val="20"/>
          <w:szCs w:val="20"/>
          <w:color w:val="auto"/>
        </w:rPr>
      </w:pPr>
    </w:p>
    <w:p>
      <w:pPr>
        <w:jc w:val="both"/>
        <w:ind w:left="-740" w:right="20" w:firstLine="748"/>
        <w:spacing w:after="0" w:line="246" w:lineRule="auto"/>
        <w:tabs>
          <w:tab w:leader="none" w:pos="44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Right of First Refusal</w:t>
      </w:r>
      <w:r>
        <w:rPr>
          <w:rFonts w:ascii="Times New Roman" w:cs="Times New Roman" w:eastAsia="Times New Roman" w:hAnsi="Times New Roman"/>
          <w:sz w:val="22"/>
          <w:szCs w:val="22"/>
          <w:color w:val="auto"/>
        </w:rPr>
        <w:t>. Landlord hereby grants to Tenant an ongoing right (the “</w:t>
      </w:r>
      <w:r>
        <w:rPr>
          <w:rFonts w:ascii="Times New Roman" w:cs="Times New Roman" w:eastAsia="Times New Roman" w:hAnsi="Times New Roman"/>
          <w:sz w:val="22"/>
          <w:szCs w:val="22"/>
          <w:b w:val="1"/>
          <w:bCs w:val="1"/>
          <w:color w:val="auto"/>
        </w:rPr>
        <w:t>Right of First Refusal</w:t>
      </w:r>
      <w:r>
        <w:rPr>
          <w:rFonts w:ascii="Times New Roman" w:cs="Times New Roman" w:eastAsia="Times New Roman" w:hAnsi="Times New Roman"/>
          <w:sz w:val="22"/>
          <w:szCs w:val="22"/>
          <w:color w:val="auto"/>
        </w:rPr>
        <w: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lease any premises located contiguous to the Premises (“</w:t>
      </w:r>
      <w:r>
        <w:rPr>
          <w:rFonts w:ascii="Times New Roman" w:cs="Times New Roman" w:eastAsia="Times New Roman" w:hAnsi="Times New Roman"/>
          <w:sz w:val="22"/>
          <w:szCs w:val="22"/>
          <w:b w:val="1"/>
          <w:bCs w:val="1"/>
          <w:color w:val="auto"/>
        </w:rPr>
        <w:t>ROFR Space</w:t>
      </w:r>
      <w:r>
        <w:rPr>
          <w:rFonts w:ascii="Times New Roman" w:cs="Times New Roman" w:eastAsia="Times New Roman" w:hAnsi="Times New Roman"/>
          <w:sz w:val="22"/>
          <w:szCs w:val="22"/>
          <w:color w:val="auto"/>
        </w:rPr>
        <w:t>”) on the same terms, conditions and provisions as contained in the Lease, as modified and except as otherwise provided herein.</w:t>
      </w:r>
    </w:p>
    <w:p>
      <w:pPr>
        <w:spacing w:after="0" w:line="19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Landlord receives a letter of intent to lease any ROFR Space from a third party (the “</w:t>
      </w:r>
      <w:r>
        <w:rPr>
          <w:rFonts w:ascii="Times New Roman" w:cs="Times New Roman" w:eastAsia="Times New Roman" w:hAnsi="Times New Roman"/>
          <w:sz w:val="22"/>
          <w:szCs w:val="22"/>
          <w:b w:val="1"/>
          <w:bCs w:val="1"/>
          <w:color w:val="auto"/>
        </w:rPr>
        <w:t>Offer</w:t>
      </w:r>
      <w:r>
        <w:rPr>
          <w:rFonts w:ascii="Times New Roman" w:cs="Times New Roman" w:eastAsia="Times New Roman" w:hAnsi="Times New Roman"/>
          <w:sz w:val="22"/>
          <w:szCs w:val="22"/>
          <w:color w:val="auto"/>
        </w:rPr>
        <w:t>”), Landlord shall notify Tenant of such Offer. The Right of First Refusal shall be exercisable by Tenant only by written notice given by Tenant to Landlord not later than five (5) business days after Tenant receives the Offer from Landlord.</w:t>
      </w:r>
    </w:p>
    <w:p>
      <w:pPr>
        <w:spacing w:after="0" w:line="207"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may only exercise its Right of First Refusal, and an exercise thereof shall only be effective, if at the time of Tenant’s exercise, the Lease is in full force and effect and no event of default by Tenant has occurred under the Lease which remains uncured after the giving of any applicable notice and the expiration of any applicable cure period. In addition to the condition set forth in the first sentence of this subparagraph (b), if Tenant is in default under the Lease (after the giving of any applicable notice and the expiration of any applicable cure period) within thirty (30) days prior to Tenant taking occupancy of the ROFR Space, then, at Landlord’s option, Tenant’s right to exercise its Right of First Refusal may be terminated and rendered null and void by written notice thereof from Landlord to Tenant</w:t>
      </w:r>
    </w:p>
    <w:p>
      <w:pPr>
        <w:spacing w:after="0" w:line="205"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valid exercise by Tenant of its Right of First Refusal, Landlord and Tenant shall enter into a written amendment to the Lease confirming the terms, conditions and provisions applicable to the ROFR Space as determined in accordance with the provisions of this Section, with such revisions to the rent provisions of the Lease as may be necessary to conform those provisions to the rental rate applicable to the ROFR Space.</w:t>
      </w:r>
    </w:p>
    <w:p>
      <w:pPr>
        <w:spacing w:after="0" w:line="207"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of First Refusal is not transferable by any assignment or subletting and, in the event of an assignment or subletting, the Right of First Refusal shall be null and void.</w:t>
      </w:r>
    </w:p>
    <w:p>
      <w:pPr>
        <w:spacing w:after="0" w:line="181" w:lineRule="exact"/>
        <w:rPr>
          <w:rFonts w:ascii="Times New Roman" w:cs="Times New Roman" w:eastAsia="Times New Roman" w:hAnsi="Times New Roman"/>
          <w:sz w:val="22"/>
          <w:szCs w:val="22"/>
          <w:color w:val="auto"/>
        </w:rPr>
      </w:pPr>
    </w:p>
    <w:p>
      <w:pPr>
        <w:jc w:val="both"/>
        <w:ind w:left="-740" w:firstLine="748"/>
        <w:spacing w:after="0" w:line="241" w:lineRule="auto"/>
        <w:tabs>
          <w:tab w:leader="none" w:pos="46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color w:val="auto"/>
        </w:rPr>
        <w:t>. Notwithstanding anything in Article 13 of the Lease to the contrary, Tenant may assign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Lease or sublet all or any portion of the Premises without prior written consent of Landlord to any entity or person succeeding to Tenant’s business or a substantial part thereof whether by merger, consolidation or acquisition of the stock or assets of Tenant or otherwise.</w:t>
      </w:r>
    </w:p>
    <w:p>
      <w:pPr>
        <w:spacing w:after="0" w:line="198" w:lineRule="exact"/>
        <w:rPr>
          <w:rFonts w:ascii="Times New Roman" w:cs="Times New Roman" w:eastAsia="Times New Roman" w:hAnsi="Times New Roman"/>
          <w:sz w:val="22"/>
          <w:szCs w:val="22"/>
          <w:color w:val="auto"/>
        </w:rPr>
      </w:pPr>
    </w:p>
    <w:p>
      <w:pPr>
        <w:jc w:val="both"/>
        <w:ind w:left="-740" w:firstLine="748"/>
        <w:spacing w:after="0" w:line="241" w:lineRule="auto"/>
        <w:tabs>
          <w:tab w:leader="none" w:pos="45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Brokers</w:t>
      </w:r>
      <w:r>
        <w:rPr>
          <w:rFonts w:ascii="Times New Roman" w:cs="Times New Roman" w:eastAsia="Times New Roman" w:hAnsi="Times New Roman"/>
          <w:sz w:val="22"/>
          <w:szCs w:val="22"/>
          <w:color w:val="auto"/>
        </w:rPr>
        <w:t>. Landlord and Tenant each represent and warrant to the other that the only brokers they have dealt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in connection with this Amendment are Avison Young and Coughlin Commercial whose commissions and fees shall be paid by Landlord pursuant to separate written agreements. Landlord and Tenant each agree to defend, indemnify and hold the other harmless from and against all claims by any other broker for fees, commissions or other compensation to</w:t>
      </w:r>
    </w:p>
    <w:p>
      <w:pPr>
        <w:spacing w:after="0" w:line="200" w:lineRule="exact"/>
        <w:rPr>
          <w:sz w:val="20"/>
          <w:szCs w:val="20"/>
          <w:color w:val="auto"/>
        </w:rPr>
      </w:pPr>
    </w:p>
    <w:p>
      <w:pPr>
        <w:spacing w:after="0" w:line="23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761365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1380" w:top="1395" w:right="459" w:bottom="1440" w:gutter="0" w:footer="0" w:header="0"/>
        </w:sectPr>
      </w:pPr>
    </w:p>
    <w:bookmarkStart w:id="179" w:name="page180"/>
    <w:bookmarkEnd w:id="179"/>
    <w:p>
      <w:pPr>
        <w:spacing w:after="0" w:line="258" w:lineRule="auto"/>
        <w:rPr>
          <w:sz w:val="20"/>
          <w:szCs w:val="20"/>
          <w:color w:val="auto"/>
        </w:rPr>
      </w:pPr>
      <w:r>
        <w:rPr>
          <w:rFonts w:ascii="Times New Roman" w:cs="Times New Roman" w:eastAsia="Times New Roman" w:hAnsi="Times New Roman"/>
          <w:sz w:val="22"/>
          <w:szCs w:val="22"/>
          <w:color w:val="auto"/>
        </w:rPr>
        <w:t>the extent such broker alleges to have been retained by the indemnifying party in connection with the execution of this Amendment. The provisions of this paragraph shall survive the expiration or sooner termination of the Lease.</w:t>
      </w:r>
    </w:p>
    <w:p>
      <w:pPr>
        <w:spacing w:after="0" w:line="181" w:lineRule="exact"/>
        <w:rPr>
          <w:sz w:val="20"/>
          <w:szCs w:val="20"/>
          <w:color w:val="auto"/>
        </w:rPr>
      </w:pPr>
    </w:p>
    <w:p>
      <w:pPr>
        <w:jc w:val="both"/>
        <w:ind w:firstLine="748"/>
        <w:spacing w:after="0" w:line="236" w:lineRule="auto"/>
        <w:tabs>
          <w:tab w:leader="none" w:pos="118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 Except as modified herein, the Lease and all of the terms and provisions thereof shall remain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unmodified and in full force and effect as originally written. In the event of any conflict or inconsistency between the provisions of the Lease and the provisions of this Amendment, the provisions of this Amendment shall control. All terms used herein but not defined herein which are defined in the Lease shall have the same meaning for purposes hereof as they do for purposes of the Lease. The Recitals set forth above in this Amendment are hereby incorporated by this reference. This Amendment shall be binding upon and shall inure to the benefit of the parties hereto and their respective beneficiaries, successors and assigns.</w:t>
      </w:r>
    </w:p>
    <w:p>
      <w:pPr>
        <w:spacing w:after="0" w:line="202" w:lineRule="exact"/>
        <w:rPr>
          <w:rFonts w:ascii="Times New Roman" w:cs="Times New Roman" w:eastAsia="Times New Roman" w:hAnsi="Times New Roman"/>
          <w:sz w:val="22"/>
          <w:szCs w:val="22"/>
          <w:color w:val="auto"/>
        </w:rPr>
      </w:pPr>
    </w:p>
    <w:p>
      <w:pPr>
        <w:ind w:right="20" w:firstLine="748"/>
        <w:spacing w:after="0" w:line="262" w:lineRule="auto"/>
        <w:tabs>
          <w:tab w:leader="none" w:pos="1235"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Amendment may be executed in any number of counterparts and by each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undersigned on separate counterparts, which counterparts taken together shall constitute one and the same instrument.</w:t>
      </w:r>
    </w:p>
    <w:p>
      <w:pPr>
        <w:spacing w:after="0" w:line="19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00" w:lineRule="exact"/>
        <w:rPr>
          <w:sz w:val="20"/>
          <w:szCs w:val="20"/>
          <w:color w:val="auto"/>
        </w:rPr>
      </w:pPr>
    </w:p>
    <w:p>
      <w:pPr>
        <w:spacing w:after="0" w:line="25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761365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640" w:top="1327" w:right="459" w:bottom="1440" w:gutter="0" w:footer="0" w:header="0"/>
        </w:sectPr>
      </w:pPr>
    </w:p>
    <w:bookmarkStart w:id="180" w:name="page181"/>
    <w:bookmarkEnd w:id="180"/>
    <w:p>
      <w:pPr>
        <w:spacing w:after="0" w:line="32" w:lineRule="exact"/>
        <w:rPr>
          <w:sz w:val="20"/>
          <w:szCs w:val="20"/>
          <w:color w:val="auto"/>
        </w:rPr>
      </w:pPr>
    </w:p>
    <w:p>
      <w:pPr>
        <w:ind w:left="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undersigned have executed this Third Amendment to Lease as of the day and year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above written.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LANDLORD</w:t>
      </w:r>
      <w:r>
        <w:rPr>
          <w:rFonts w:ascii="Times New Roman" w:cs="Times New Roman" w:eastAsia="Times New Roman" w:hAnsi="Times New Roman"/>
          <w:sz w:val="22"/>
          <w:szCs w:val="22"/>
          <w:b w:val="1"/>
          <w:bCs w:val="1"/>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CHALLENGER-DISCOVERY, LLC</w:t>
      </w:r>
      <w:r>
        <w:rPr>
          <w:rFonts w:ascii="Times New Roman" w:cs="Times New Roman" w:eastAsia="Times New Roman" w:hAnsi="Times New Roman"/>
          <w:sz w:val="22"/>
          <w:szCs w:val="22"/>
          <w:color w:val="auto"/>
        </w:rPr>
        <w:t>, 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 limited liability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Steven C. Hertland</w:t>
            </w:r>
          </w:p>
        </w:tc>
        <w:tc>
          <w:tcPr>
            <w:tcW w:w="23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7"/>
              </w:rPr>
              <w:t>Name:Steven C. Hertland</w:t>
            </w:r>
          </w:p>
        </w:tc>
      </w:tr>
      <w:tr>
        <w:trPr>
          <w:trHeight w:val="223"/>
        </w:trPr>
        <w:tc>
          <w:tcPr>
            <w:tcW w:w="300" w:type="dxa"/>
            <w:vAlign w:val="bottom"/>
          </w:tcPr>
          <w:p>
            <w:pPr>
              <w:spacing w:after="0"/>
              <w:rPr>
                <w:sz w:val="19"/>
                <w:szCs w:val="19"/>
                <w:color w:val="auto"/>
              </w:rPr>
            </w:pPr>
          </w:p>
        </w:tc>
        <w:tc>
          <w:tcPr>
            <w:tcW w:w="2320" w:type="dxa"/>
            <w:vAlign w:val="bottom"/>
            <w:tcBorders>
              <w:top w:val="single" w:sz="8" w:color="auto"/>
            </w:tcBorders>
            <w:gridSpan w:val="3"/>
          </w:tcPr>
          <w:p>
            <w:pPr>
              <w:spacing w:after="0" w:line="223" w:lineRule="exact"/>
              <w:rPr>
                <w:sz w:val="20"/>
                <w:szCs w:val="20"/>
                <w:color w:val="auto"/>
              </w:rPr>
            </w:pPr>
            <w:r>
              <w:rPr>
                <w:rFonts w:ascii="Times New Roman" w:cs="Times New Roman" w:eastAsia="Times New Roman" w:hAnsi="Times New Roman"/>
                <w:sz w:val="22"/>
                <w:szCs w:val="22"/>
                <w:color w:val="auto"/>
              </w:rPr>
              <w:t>Title: Manager</w:t>
            </w:r>
          </w:p>
        </w:tc>
        <w:tc>
          <w:tcPr>
            <w:tcW w:w="230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TENANT</w:t>
      </w:r>
      <w:r>
        <w:rPr>
          <w:rFonts w:ascii="Times New Roman" w:cs="Times New Roman" w:eastAsia="Times New Roman" w:hAnsi="Times New Roman"/>
          <w:sz w:val="22"/>
          <w:szCs w:val="22"/>
          <w:b w:val="1"/>
          <w:bCs w:val="1"/>
          <w:color w:val="auto"/>
        </w:rPr>
        <w: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LENSAR, INC. </w:t>
      </w:r>
      <w:r>
        <w:rPr>
          <w:rFonts w:ascii="Times New Roman" w:cs="Times New Roman" w:eastAsia="Times New Roman" w:hAnsi="Times New Roman"/>
          <w:sz w:val="22"/>
          <w:szCs w:val="22"/>
          <w:color w:val="auto"/>
        </w:rPr>
        <w:t>a Delaware corporation By: /s/ Nicholas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2459355</wp:posOffset>
            </wp:positionH>
            <wp:positionV relativeFrom="paragraph">
              <wp:posOffset>-13335</wp:posOffset>
            </wp:positionV>
            <wp:extent cx="7200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u w:val="single" w:color="auto"/>
          <w:color w:val="auto"/>
        </w:rPr>
        <w:t>T. Curtis</w:t>
      </w:r>
    </w:p>
    <w:p>
      <w:pPr>
        <w:ind w:left="180"/>
        <w:spacing w:after="0" w:line="230" w:lineRule="auto"/>
        <w:rPr>
          <w:sz w:val="20"/>
          <w:szCs w:val="20"/>
          <w:color w:val="auto"/>
        </w:rPr>
      </w:pPr>
      <w:r>
        <w:rPr>
          <w:rFonts w:ascii="Times New Roman" w:cs="Times New Roman" w:eastAsia="Times New Roman" w:hAnsi="Times New Roman"/>
          <w:sz w:val="22"/>
          <w:szCs w:val="22"/>
          <w:color w:val="auto"/>
        </w:rPr>
        <w:t>Name:Nicholas T. Curtis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1311910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560" w:top="1440" w:right="539" w:bottom="1440" w:gutter="0" w:footer="0" w:header="0"/>
        </w:sectPr>
      </w:pPr>
    </w:p>
    <w:bookmarkStart w:id="181" w:name="page182"/>
    <w:bookmarkEnd w:id="181"/>
    <w:p>
      <w:pPr>
        <w:jc w:val="center"/>
        <w:ind w:right="40"/>
        <w:spacing w:after="0"/>
        <w:rPr>
          <w:sz w:val="20"/>
          <w:szCs w:val="20"/>
          <w:color w:val="auto"/>
        </w:rPr>
      </w:pPr>
      <w:r>
        <w:rPr>
          <w:rFonts w:ascii="Times New Roman" w:cs="Times New Roman" w:eastAsia="Times New Roman" w:hAnsi="Times New Roman"/>
          <w:sz w:val="22"/>
          <w:szCs w:val="22"/>
          <w:b w:val="1"/>
          <w:bCs w:val="1"/>
          <w:u w:val="single" w:color="auto"/>
          <w:color w:val="auto"/>
        </w:rPr>
        <w:t>ADDENDUM TO THIRD AMENDMENT TO LEASE</w:t>
      </w:r>
    </w:p>
    <w:p>
      <w:pPr>
        <w:spacing w:after="0" w:line="210" w:lineRule="exact"/>
        <w:rPr>
          <w:sz w:val="20"/>
          <w:szCs w:val="20"/>
          <w:color w:val="auto"/>
        </w:rPr>
      </w:pPr>
    </w:p>
    <w:p>
      <w:pPr>
        <w:ind w:right="420"/>
        <w:spacing w:after="0" w:line="244" w:lineRule="auto"/>
        <w:rPr>
          <w:sz w:val="20"/>
          <w:szCs w:val="20"/>
          <w:color w:val="auto"/>
        </w:rPr>
      </w:pPr>
      <w:r>
        <w:rPr>
          <w:rFonts w:ascii="Times New Roman" w:cs="Times New Roman" w:eastAsia="Times New Roman" w:hAnsi="Times New Roman"/>
          <w:sz w:val="22"/>
          <w:szCs w:val="22"/>
          <w:color w:val="auto"/>
        </w:rPr>
        <w:t>THIS ADDENDUM TO THIRD AMENDMENT TO LEASE is entered into as of September 9, 2020, by and between CHALLENGER-DISCOVERY, LLC, a Delaware limited liability company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and LENSAR, INC., a Delaware corporation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ind w:left="220" w:hanging="212"/>
        <w:spacing w:after="0"/>
        <w:tabs>
          <w:tab w:leader="none" w:pos="22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and Tenant are parties to that certain Third Amendment to Lease dated August 20, 2020 (the “</w:t>
      </w:r>
      <w:r>
        <w:rPr>
          <w:rFonts w:ascii="Times New Roman" w:cs="Times New Roman" w:eastAsia="Times New Roman" w:hAnsi="Times New Roman"/>
          <w:sz w:val="21"/>
          <w:szCs w:val="21"/>
          <w:b w:val="1"/>
          <w:bCs w:val="1"/>
          <w:color w:val="auto"/>
        </w:rPr>
        <w:t>Third Amendment</w:t>
      </w:r>
      <w:r>
        <w:rPr>
          <w:rFonts w:ascii="Times New Roman" w:cs="Times New Roman" w:eastAsia="Times New Roman" w:hAnsi="Times New Roman"/>
          <w:sz w:val="21"/>
          <w:szCs w:val="21"/>
          <w:color w:val="auto"/>
        </w:rPr>
        <w:t>”).</w:t>
      </w:r>
    </w:p>
    <w:p>
      <w:pPr>
        <w:spacing w:after="0" w:line="221" w:lineRule="exact"/>
        <w:rPr>
          <w:rFonts w:ascii="Times New Roman" w:cs="Times New Roman" w:eastAsia="Times New Roman" w:hAnsi="Times New Roman"/>
          <w:sz w:val="21"/>
          <w:szCs w:val="21"/>
          <w:color w:val="auto"/>
        </w:rPr>
      </w:pPr>
    </w:p>
    <w:p>
      <w:pPr>
        <w:ind w:right="60" w:firstLine="8"/>
        <w:spacing w:after="0" w:line="258" w:lineRule="auto"/>
        <w:tabs>
          <w:tab w:leader="none" w:pos="21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Due to a scrivener’s error in the Third Amendment, the parties agree that the following provision shall replace Section 2 of the Third Amendment in its entirety.</w:t>
      </w:r>
    </w:p>
    <w:p>
      <w:pPr>
        <w:spacing w:after="0" w:line="154"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Base Rent.</w:t>
      </w:r>
      <w:r>
        <w:rPr>
          <w:rFonts w:ascii="Times New Roman" w:cs="Times New Roman" w:eastAsia="Times New Roman" w:hAnsi="Times New Roman"/>
          <w:sz w:val="22"/>
          <w:szCs w:val="22"/>
          <w:color w:val="auto"/>
        </w:rPr>
        <w:t xml:space="preserve"> From and after the Commencement Date, Tenant shall pay to Landlord Base Rent in the manner and at the times set forth in Article 4 of the Lease and in an amount hereinafter provided, without demand, deduction or setoff, except as expressly provided in the Lease. From and after the Commencement Date, Base Rent shall be as follows:</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253"/>
        </w:trPr>
        <w:tc>
          <w:tcPr>
            <w:tcW w:w="4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Annual Base</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70"/>
        </w:trPr>
        <w:tc>
          <w:tcPr>
            <w:tcW w:w="4920" w:type="dxa"/>
            <w:vAlign w:val="bottom"/>
          </w:tcPr>
          <w:p>
            <w:pPr>
              <w:spacing w:after="0"/>
              <w:rPr>
                <w:sz w:val="20"/>
                <w:szCs w:val="20"/>
                <w:color w:val="auto"/>
              </w:rPr>
            </w:pPr>
            <w:r>
              <w:rPr>
                <w:rFonts w:ascii="Times New Roman" w:cs="Times New Roman" w:eastAsia="Times New Roman" w:hAnsi="Times New Roman"/>
                <w:sz w:val="22"/>
                <w:szCs w:val="22"/>
                <w:color w:val="auto"/>
              </w:rPr>
              <w:t>Period Installment</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color w:val="auto"/>
              </w:rPr>
              <w:t>RSF</w:t>
            </w:r>
          </w:p>
        </w:tc>
        <w:tc>
          <w:tcPr>
            <w:tcW w:w="2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22"/>
                <w:szCs w:val="22"/>
                <w:color w:val="auto"/>
              </w:rPr>
              <w:t>Rent</w:t>
            </w: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color w:val="auto"/>
              </w:rPr>
              <w:t>Monthly</w:t>
            </w:r>
          </w:p>
        </w:tc>
        <w:tc>
          <w:tcPr>
            <w:tcW w:w="140" w:type="dxa"/>
            <w:vAlign w:val="bottom"/>
          </w:tcPr>
          <w:p>
            <w:pPr>
              <w:spacing w:after="0"/>
              <w:rPr>
                <w:sz w:val="23"/>
                <w:szCs w:val="23"/>
                <w:color w:val="auto"/>
              </w:rPr>
            </w:pPr>
          </w:p>
        </w:tc>
      </w:tr>
      <w:tr>
        <w:trPr>
          <w:trHeight w:val="237"/>
        </w:trPr>
        <w:tc>
          <w:tcPr>
            <w:tcW w:w="492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22"/>
                <w:szCs w:val="22"/>
                <w:color w:val="auto"/>
              </w:rPr>
              <w:t>*9/1/2020 – 11/30/2020</w:t>
            </w:r>
          </w:p>
        </w:tc>
        <w:tc>
          <w:tcPr>
            <w:tcW w:w="300" w:type="dxa"/>
            <w:vAlign w:val="bottom"/>
            <w:shd w:val="clear" w:color="auto" w:fill="CCEEFF"/>
          </w:tcPr>
          <w:p>
            <w:pPr>
              <w:jc w:val="right"/>
              <w:ind w:right="7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0.00</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line="237" w:lineRule="exact"/>
              <w:rPr>
                <w:sz w:val="20"/>
                <w:szCs w:val="20"/>
                <w:color w:val="auto"/>
              </w:rPr>
            </w:pPr>
            <w:r>
              <w:rPr>
                <w:rFonts w:ascii="Times New Roman" w:cs="Times New Roman" w:eastAsia="Times New Roman" w:hAnsi="Times New Roman"/>
                <w:sz w:val="22"/>
                <w:szCs w:val="22"/>
                <w:color w:val="auto"/>
              </w:rPr>
              <w:t>N/A</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line="237" w:lineRule="exact"/>
              <w:rPr>
                <w:sz w:val="20"/>
                <w:szCs w:val="20"/>
                <w:color w:val="auto"/>
              </w:rPr>
            </w:pPr>
            <w:r>
              <w:rPr>
                <w:rFonts w:ascii="Times New Roman" w:cs="Times New Roman" w:eastAsia="Times New Roman" w:hAnsi="Times New Roman"/>
                <w:sz w:val="22"/>
                <w:szCs w:val="22"/>
                <w:color w:val="auto"/>
              </w:rPr>
              <w:t>N/A</w:t>
            </w:r>
          </w:p>
        </w:tc>
      </w:tr>
      <w:tr>
        <w:trPr>
          <w:trHeight w:val="243"/>
        </w:trPr>
        <w:tc>
          <w:tcPr>
            <w:tcW w:w="4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12/1/2020 – 8/31/2021</w:t>
            </w:r>
          </w:p>
        </w:tc>
        <w:tc>
          <w:tcPr>
            <w:tcW w:w="30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15.25</w:t>
            </w:r>
          </w:p>
        </w:tc>
        <w:tc>
          <w:tcPr>
            <w:tcW w:w="44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517,676.50</w:t>
            </w:r>
          </w:p>
        </w:tc>
        <w:tc>
          <w:tcPr>
            <w:tcW w:w="46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43,139.71</w:t>
            </w:r>
          </w:p>
        </w:tc>
        <w:tc>
          <w:tcPr>
            <w:tcW w:w="140" w:type="dxa"/>
            <w:vAlign w:val="bottom"/>
          </w:tcPr>
          <w:p>
            <w:pPr>
              <w:spacing w:after="0"/>
              <w:rPr>
                <w:sz w:val="21"/>
                <w:szCs w:val="21"/>
                <w:color w:val="auto"/>
              </w:rPr>
            </w:pPr>
          </w:p>
        </w:tc>
      </w:tr>
      <w:tr>
        <w:trPr>
          <w:trHeight w:val="243"/>
        </w:trPr>
        <w:tc>
          <w:tcPr>
            <w:tcW w:w="49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9/112021 – 8/31/2022</w:t>
            </w:r>
          </w:p>
        </w:tc>
        <w:tc>
          <w:tcPr>
            <w:tcW w:w="300" w:type="dxa"/>
            <w:vAlign w:val="bottom"/>
            <w:shd w:val="clear" w:color="auto" w:fill="CCEEFF"/>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15.67</w:t>
            </w:r>
          </w:p>
        </w:tc>
        <w:tc>
          <w:tcPr>
            <w:tcW w:w="44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5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531,933.82</w:t>
            </w:r>
          </w:p>
        </w:tc>
        <w:tc>
          <w:tcPr>
            <w:tcW w:w="46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44,327.82</w:t>
            </w:r>
          </w:p>
        </w:tc>
        <w:tc>
          <w:tcPr>
            <w:tcW w:w="140" w:type="dxa"/>
            <w:vAlign w:val="bottom"/>
            <w:shd w:val="clear" w:color="auto" w:fill="CCEEFF"/>
          </w:tcPr>
          <w:p>
            <w:pPr>
              <w:spacing w:after="0"/>
              <w:rPr>
                <w:sz w:val="21"/>
                <w:szCs w:val="21"/>
                <w:color w:val="auto"/>
              </w:rPr>
            </w:pPr>
          </w:p>
        </w:tc>
      </w:tr>
      <w:tr>
        <w:trPr>
          <w:trHeight w:val="243"/>
        </w:trPr>
        <w:tc>
          <w:tcPr>
            <w:tcW w:w="4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9/1/2022 – 8/31/2023</w:t>
            </w:r>
          </w:p>
        </w:tc>
        <w:tc>
          <w:tcPr>
            <w:tcW w:w="30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16.10</w:t>
            </w:r>
          </w:p>
        </w:tc>
        <w:tc>
          <w:tcPr>
            <w:tcW w:w="44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546,530.60</w:t>
            </w:r>
          </w:p>
        </w:tc>
        <w:tc>
          <w:tcPr>
            <w:tcW w:w="46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45,544.22</w:t>
            </w:r>
          </w:p>
        </w:tc>
        <w:tc>
          <w:tcPr>
            <w:tcW w:w="140" w:type="dxa"/>
            <w:vAlign w:val="bottom"/>
          </w:tcPr>
          <w:p>
            <w:pPr>
              <w:spacing w:after="0"/>
              <w:rPr>
                <w:sz w:val="21"/>
                <w:szCs w:val="21"/>
                <w:color w:val="auto"/>
              </w:rPr>
            </w:pPr>
          </w:p>
        </w:tc>
      </w:tr>
      <w:tr>
        <w:trPr>
          <w:trHeight w:val="243"/>
        </w:trPr>
        <w:tc>
          <w:tcPr>
            <w:tcW w:w="49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9/1/2023 – 8/31/2024</w:t>
            </w:r>
          </w:p>
        </w:tc>
        <w:tc>
          <w:tcPr>
            <w:tcW w:w="300" w:type="dxa"/>
            <w:vAlign w:val="bottom"/>
            <w:shd w:val="clear" w:color="auto" w:fill="CCEEFF"/>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16.54</w:t>
            </w:r>
          </w:p>
        </w:tc>
        <w:tc>
          <w:tcPr>
            <w:tcW w:w="44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5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561,466.84</w:t>
            </w:r>
          </w:p>
        </w:tc>
        <w:tc>
          <w:tcPr>
            <w:tcW w:w="46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46,788.90</w:t>
            </w:r>
          </w:p>
        </w:tc>
        <w:tc>
          <w:tcPr>
            <w:tcW w:w="140" w:type="dxa"/>
            <w:vAlign w:val="bottom"/>
            <w:shd w:val="clear" w:color="auto" w:fill="CCEEFF"/>
          </w:tcPr>
          <w:p>
            <w:pPr>
              <w:spacing w:after="0"/>
              <w:rPr>
                <w:sz w:val="21"/>
                <w:szCs w:val="21"/>
                <w:color w:val="auto"/>
              </w:rPr>
            </w:pPr>
          </w:p>
        </w:tc>
      </w:tr>
      <w:tr>
        <w:trPr>
          <w:trHeight w:val="243"/>
        </w:trPr>
        <w:tc>
          <w:tcPr>
            <w:tcW w:w="4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911/2024 – 8/31/2025</w:t>
            </w:r>
          </w:p>
        </w:tc>
        <w:tc>
          <w:tcPr>
            <w:tcW w:w="30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16.99</w:t>
            </w:r>
          </w:p>
        </w:tc>
        <w:tc>
          <w:tcPr>
            <w:tcW w:w="44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576,742.54</w:t>
            </w:r>
          </w:p>
        </w:tc>
        <w:tc>
          <w:tcPr>
            <w:tcW w:w="46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48,061.88</w:t>
            </w:r>
          </w:p>
        </w:tc>
        <w:tc>
          <w:tcPr>
            <w:tcW w:w="140" w:type="dxa"/>
            <w:vAlign w:val="bottom"/>
          </w:tcPr>
          <w:p>
            <w:pPr>
              <w:spacing w:after="0"/>
              <w:rPr>
                <w:sz w:val="21"/>
                <w:szCs w:val="21"/>
                <w:color w:val="auto"/>
              </w:rPr>
            </w:pPr>
          </w:p>
        </w:tc>
      </w:tr>
      <w:tr>
        <w:trPr>
          <w:trHeight w:val="243"/>
        </w:trPr>
        <w:tc>
          <w:tcPr>
            <w:tcW w:w="49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9/1/2025 – 8/31/2026</w:t>
            </w:r>
          </w:p>
        </w:tc>
        <w:tc>
          <w:tcPr>
            <w:tcW w:w="300" w:type="dxa"/>
            <w:vAlign w:val="bottom"/>
            <w:shd w:val="clear" w:color="auto" w:fill="CCEEFF"/>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17.46</w:t>
            </w:r>
          </w:p>
        </w:tc>
        <w:tc>
          <w:tcPr>
            <w:tcW w:w="44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5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592,697.16</w:t>
            </w:r>
          </w:p>
        </w:tc>
        <w:tc>
          <w:tcPr>
            <w:tcW w:w="46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49,391.43</w:t>
            </w:r>
          </w:p>
        </w:tc>
        <w:tc>
          <w:tcPr>
            <w:tcW w:w="140" w:type="dxa"/>
            <w:vAlign w:val="bottom"/>
            <w:shd w:val="clear" w:color="auto" w:fill="CCEEFF"/>
          </w:tcPr>
          <w:p>
            <w:pPr>
              <w:spacing w:after="0"/>
              <w:rPr>
                <w:sz w:val="21"/>
                <w:szCs w:val="21"/>
                <w:color w:val="auto"/>
              </w:rPr>
            </w:pPr>
          </w:p>
        </w:tc>
      </w:tr>
      <w:tr>
        <w:trPr>
          <w:trHeight w:val="243"/>
        </w:trPr>
        <w:tc>
          <w:tcPr>
            <w:tcW w:w="4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9/1/2026 – 8/31/2027</w:t>
            </w:r>
          </w:p>
        </w:tc>
        <w:tc>
          <w:tcPr>
            <w:tcW w:w="30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17.94</w:t>
            </w:r>
          </w:p>
        </w:tc>
        <w:tc>
          <w:tcPr>
            <w:tcW w:w="44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608,991.24</w:t>
            </w:r>
          </w:p>
        </w:tc>
        <w:tc>
          <w:tcPr>
            <w:tcW w:w="46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50,749.27</w:t>
            </w:r>
          </w:p>
        </w:tc>
        <w:tc>
          <w:tcPr>
            <w:tcW w:w="140" w:type="dxa"/>
            <w:vAlign w:val="bottom"/>
          </w:tcPr>
          <w:p>
            <w:pPr>
              <w:spacing w:after="0"/>
              <w:rPr>
                <w:sz w:val="21"/>
                <w:szCs w:val="21"/>
                <w:color w:val="auto"/>
              </w:rPr>
            </w:pPr>
          </w:p>
        </w:tc>
      </w:tr>
      <w:tr>
        <w:trPr>
          <w:trHeight w:val="243"/>
        </w:trPr>
        <w:tc>
          <w:tcPr>
            <w:tcW w:w="49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2"/>
                <w:szCs w:val="22"/>
                <w:color w:val="auto"/>
              </w:rPr>
              <w:t>9/1/2027 – 11/30/2027</w:t>
            </w:r>
          </w:p>
        </w:tc>
        <w:tc>
          <w:tcPr>
            <w:tcW w:w="300" w:type="dxa"/>
            <w:vAlign w:val="bottom"/>
            <w:shd w:val="clear" w:color="auto" w:fill="CCEEFF"/>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4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18.43</w:t>
            </w:r>
          </w:p>
        </w:tc>
        <w:tc>
          <w:tcPr>
            <w:tcW w:w="44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58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625,624.78</w:t>
            </w:r>
          </w:p>
        </w:tc>
        <w:tc>
          <w:tcPr>
            <w:tcW w:w="460" w:type="dxa"/>
            <w:vAlign w:val="bottom"/>
            <w:gridSpan w:val="2"/>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20" w:type="dxa"/>
            <w:vAlign w:val="bottom"/>
            <w:shd w:val="clear" w:color="auto" w:fill="CCEEFF"/>
          </w:tcPr>
          <w:p>
            <w:pPr>
              <w:jc w:val="right"/>
              <w:spacing w:after="0" w:line="243" w:lineRule="exact"/>
              <w:rPr>
                <w:sz w:val="20"/>
                <w:szCs w:val="20"/>
                <w:color w:val="auto"/>
              </w:rPr>
            </w:pPr>
            <w:r>
              <w:rPr>
                <w:rFonts w:ascii="Times New Roman" w:cs="Times New Roman" w:eastAsia="Times New Roman" w:hAnsi="Times New Roman"/>
                <w:sz w:val="22"/>
                <w:szCs w:val="22"/>
                <w:color w:val="auto"/>
              </w:rPr>
              <w:t>52,135.40</w:t>
            </w:r>
          </w:p>
        </w:tc>
        <w:tc>
          <w:tcPr>
            <w:tcW w:w="140" w:type="dxa"/>
            <w:vAlign w:val="bottom"/>
            <w:shd w:val="clear" w:color="auto" w:fill="CCEEFF"/>
          </w:tcPr>
          <w:p>
            <w:pPr>
              <w:spacing w:after="0"/>
              <w:rPr>
                <w:sz w:val="21"/>
                <w:szCs w:val="21"/>
                <w:color w:val="auto"/>
              </w:rPr>
            </w:pPr>
          </w:p>
        </w:tc>
      </w:tr>
    </w:tbl>
    <w:p>
      <w:pPr>
        <w:spacing w:after="0" w:line="216" w:lineRule="exact"/>
        <w:rPr>
          <w:sz w:val="20"/>
          <w:szCs w:val="20"/>
          <w:color w:val="auto"/>
        </w:rPr>
      </w:pPr>
    </w:p>
    <w:p>
      <w:pPr>
        <w:ind w:left="240" w:right="100" w:hanging="223"/>
        <w:spacing w:after="0" w:line="234" w:lineRule="auto"/>
        <w:tabs>
          <w:tab w:leader="none" w:pos="2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so long as Tenant is not in default under the Lease, Tenant’s obligation to pay the Base Rent otherwise due for the Premises for the first three (3) months (the “</w:t>
      </w:r>
      <w:r>
        <w:rPr>
          <w:rFonts w:ascii="Times New Roman" w:cs="Times New Roman" w:eastAsia="Times New Roman" w:hAnsi="Times New Roman"/>
          <w:sz w:val="22"/>
          <w:szCs w:val="22"/>
          <w:b w:val="1"/>
          <w:bCs w:val="1"/>
          <w:color w:val="auto"/>
        </w:rPr>
        <w:t>Abatement Period</w:t>
      </w:r>
      <w:r>
        <w:rPr>
          <w:rFonts w:ascii="Times New Roman" w:cs="Times New Roman" w:eastAsia="Times New Roman" w:hAnsi="Times New Roman"/>
          <w:sz w:val="22"/>
          <w:szCs w:val="22"/>
          <w:color w:val="auto"/>
        </w:rPr>
        <w:t>”) shall be abated. Accordingly, the total amount of Base Rent abated during the Abatement Period shall equal $129,419.13 (the “</w:t>
      </w:r>
      <w:r>
        <w:rPr>
          <w:rFonts w:ascii="Times New Roman" w:cs="Times New Roman" w:eastAsia="Times New Roman" w:hAnsi="Times New Roman"/>
          <w:sz w:val="22"/>
          <w:szCs w:val="22"/>
          <w:b w:val="1"/>
          <w:bCs w:val="1"/>
          <w:color w:val="auto"/>
        </w:rPr>
        <w:t>Abated Base Rent</w:t>
      </w:r>
      <w:r>
        <w:rPr>
          <w:rFonts w:ascii="Times New Roman" w:cs="Times New Roman" w:eastAsia="Times New Roman" w:hAnsi="Times New Roman"/>
          <w:sz w:val="22"/>
          <w:szCs w:val="22"/>
          <w:color w:val="auto"/>
        </w:rPr>
        <w:t>”). If Landlord elects to terminate the Lease or Tenant’s right to possession of the Premises due to default by Tenant not cured during any applicable grace or curative period, then (i) the portion of the Abated Base Rent unamortized as of the date of such default, shall immediately become due and payable; and (ii) Tenant shall not be entitled to any further abatement of Base Rent pursuant to this paragraph. The payment by Tenant of the Abated Base Rent in the event of a default shall not limit or affect any of Landlord’s other rights or remedies, in the event of a default by Tenant, pursuant to the Lease or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undersigned have executed this Addendum to Third Amendment to Lease as of the day and year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above written.</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u w:val="single" w:color="auto"/>
          <w:color w:val="auto"/>
        </w:rPr>
        <w:t>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82" w:name="page183"/>
    <w:bookmarkEnd w:id="182"/>
    <w:p>
      <w:pPr>
        <w:spacing w:after="0" w:line="208"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b w:val="1"/>
          <w:bCs w:val="1"/>
          <w:color w:val="auto"/>
        </w:rPr>
        <w:t xml:space="preserve">CHALLENGER-DISCOVERY, LLC, </w:t>
      </w:r>
      <w:r>
        <w:rPr>
          <w:rFonts w:ascii="Times New Roman" w:cs="Times New Roman" w:eastAsia="Times New Roman" w:hAnsi="Times New Roman"/>
          <w:sz w:val="22"/>
          <w:szCs w:val="22"/>
          <w:color w:val="auto"/>
        </w:rPr>
        <w:t>a</w:t>
      </w:r>
    </w:p>
    <w:p>
      <w:pPr>
        <w:spacing w:after="0" w:line="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color w:val="auto"/>
        </w:rPr>
        <w:t>Delaware limited liability company</w:t>
      </w:r>
    </w:p>
    <w:p>
      <w:pPr>
        <w:spacing w:after="0" w:line="209" w:lineRule="exact"/>
        <w:rPr>
          <w:sz w:val="20"/>
          <w:szCs w:val="20"/>
          <w:color w:val="auto"/>
        </w:rPr>
      </w:pPr>
    </w:p>
    <w:p>
      <w:pPr>
        <w:ind w:left="3"/>
        <w:spacing w:after="0"/>
        <w:tabs>
          <w:tab w:leader="none" w:pos="623"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Steven C. Heetland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10795</wp:posOffset>
            </wp:positionV>
            <wp:extent cx="24345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color w:val="auto"/>
        </w:rPr>
        <w:t>Name</w:t>
      </w:r>
    </w:p>
    <w:p>
      <w:pPr>
        <w:ind w:left="643" w:hanging="643"/>
        <w:spacing w:after="0" w:line="232" w:lineRule="auto"/>
        <w:tabs>
          <w:tab w:leader="none" w:pos="64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Steven C. Heetland</w:t>
      </w:r>
    </w:p>
    <w:p>
      <w:pPr>
        <w:ind w:left="3"/>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Manager</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b w:val="1"/>
          <w:bCs w:val="1"/>
          <w:u w:val="single" w:color="auto"/>
          <w:color w:val="auto"/>
        </w:rPr>
        <w:t>TENANT:</w:t>
      </w:r>
    </w:p>
    <w:p>
      <w:pPr>
        <w:spacing w:after="0" w:line="233"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b w:val="1"/>
          <w:bCs w:val="1"/>
          <w:color w:val="auto"/>
        </w:rPr>
        <w:t xml:space="preserve">LENSAR, INC. </w:t>
      </w:r>
      <w:r>
        <w:rPr>
          <w:rFonts w:ascii="Times New Roman" w:cs="Times New Roman" w:eastAsia="Times New Roman" w:hAnsi="Times New Roman"/>
          <w:sz w:val="22"/>
          <w:szCs w:val="22"/>
          <w:color w:val="auto"/>
        </w:rPr>
        <w:t>a Delaware corp. oration</w:t>
      </w:r>
    </w:p>
    <w:p>
      <w:pPr>
        <w:spacing w:after="0" w:line="237" w:lineRule="exact"/>
        <w:rPr>
          <w:sz w:val="20"/>
          <w:szCs w:val="20"/>
          <w:color w:val="auto"/>
        </w:rPr>
      </w:pPr>
    </w:p>
    <w:p>
      <w:pPr>
        <w:ind w:left="3"/>
        <w:spacing w:after="0"/>
        <w:tabs>
          <w:tab w:leader="none" w:pos="623"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Alan Connaughton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10795</wp:posOffset>
            </wp:positionV>
            <wp:extent cx="24345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color w:val="auto"/>
        </w:rPr>
        <w:t>Name</w:t>
      </w:r>
    </w:p>
    <w:p>
      <w:pPr>
        <w:spacing w:after="0" w:line="2" w:lineRule="exact"/>
        <w:rPr>
          <w:sz w:val="20"/>
          <w:szCs w:val="20"/>
          <w:color w:val="auto"/>
        </w:rPr>
      </w:pPr>
    </w:p>
    <w:p>
      <w:pPr>
        <w:ind w:left="3" w:right="7859" w:hanging="3"/>
        <w:spacing w:after="0" w:line="237" w:lineRule="auto"/>
        <w:tabs>
          <w:tab w:leader="none" w:pos="63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Alan Connaughton Title: COO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405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615315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2"/>
          </w:cols>
          <w:pgMar w:left="337" w:top="1440" w:right="1440" w:bottom="1440" w:gutter="0" w:footer="0" w:header="0"/>
        </w:sectPr>
      </w:pPr>
    </w:p>
    <w:bookmarkStart w:id="183" w:name="page184"/>
    <w:bookmarkEnd w:id="183"/>
    <w:p>
      <w:pPr>
        <w:jc w:val="center"/>
        <w:ind w:right="40"/>
        <w:spacing w:after="0"/>
        <w:rPr>
          <w:sz w:val="20"/>
          <w:szCs w:val="20"/>
          <w:color w:val="auto"/>
        </w:rPr>
      </w:pPr>
      <w:r>
        <w:rPr>
          <w:rFonts w:ascii="Times New Roman" w:cs="Times New Roman" w:eastAsia="Times New Roman" w:hAnsi="Times New Roman"/>
          <w:sz w:val="22"/>
          <w:szCs w:val="22"/>
          <w:b w:val="1"/>
          <w:bCs w:val="1"/>
          <w:u w:val="single" w:color="auto"/>
          <w:color w:val="auto"/>
        </w:rPr>
        <w:t>FOURTH AMENDMENT TO LEASE</w:t>
      </w:r>
    </w:p>
    <w:p>
      <w:pPr>
        <w:spacing w:after="0" w:line="2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auto"/>
        </w:rPr>
        <w:t xml:space="preserve">THIS FOURTH AMENDMENT TO LEASE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entered into as of December _____, 2024 (the</w:t>
      </w:r>
    </w:p>
    <w:p>
      <w:pPr>
        <w:spacing w:after="0" w:line="1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CHALLENGER-DISCOVERY, LLC</w:t>
      </w:r>
      <w:r>
        <w:rPr>
          <w:rFonts w:ascii="Times New Roman" w:cs="Times New Roman" w:eastAsia="Times New Roman" w:hAnsi="Times New Roman"/>
          <w:sz w:val="22"/>
          <w:szCs w:val="22"/>
          <w:color w:val="auto"/>
        </w:rPr>
        <w:t>, a Delaware limited liability company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LENSAR, INC.</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u w:val="single" w:color="auto"/>
          <w:color w:val="auto"/>
        </w:rPr>
        <w:t>R E C I T A L 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1140" w:firstLine="740"/>
        <w:spacing w:after="0" w:line="239" w:lineRule="auto"/>
        <w:tabs>
          <w:tab w:leader="none" w:pos="232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entered into that certain Industrial Real Estate Lease dated July 30, 2010, as amended (the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pursuant to which Tenant leases from Landlord that certain premises known as Suites 100 and 200, consisting of approximately 33,946 square feet of rentable area (as expanded below) (the “</w:t>
      </w:r>
      <w:r>
        <w:rPr>
          <w:rFonts w:ascii="Times New Roman" w:cs="Times New Roman" w:eastAsia="Times New Roman" w:hAnsi="Times New Roman"/>
          <w:sz w:val="22"/>
          <w:szCs w:val="22"/>
          <w:b w:val="1"/>
          <w:bCs w:val="1"/>
          <w:color w:val="auto"/>
        </w:rPr>
        <w:t>Premises</w:t>
      </w:r>
      <w:r>
        <w:rPr>
          <w:rFonts w:ascii="Times New Roman" w:cs="Times New Roman" w:eastAsia="Times New Roman" w:hAnsi="Times New Roman"/>
          <w:sz w:val="22"/>
          <w:szCs w:val="22"/>
          <w:color w:val="auto"/>
        </w:rPr>
        <w:t>”) in the building located at 2800 Discovery Dive, Orlando, Florida (the “</w:t>
      </w:r>
      <w:r>
        <w:rPr>
          <w:rFonts w:ascii="Times New Roman" w:cs="Times New Roman" w:eastAsia="Times New Roman" w:hAnsi="Times New Roman"/>
          <w:sz w:val="22"/>
          <w:szCs w:val="22"/>
          <w:b w:val="1"/>
          <w:bCs w:val="1"/>
          <w:color w:val="auto"/>
        </w:rPr>
        <w:t>Building</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2"/>
          <w:szCs w:val="22"/>
          <w:color w:val="auto"/>
        </w:rPr>
      </w:pPr>
    </w:p>
    <w:p>
      <w:pPr>
        <w:ind w:left="2320" w:hanging="440"/>
        <w:spacing w:after="0"/>
        <w:tabs>
          <w:tab w:leader="none" w:pos="232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hereof, Landlord and Tenant have agreed to extend and amend the Lease as set</w:t>
      </w:r>
    </w:p>
    <w:p>
      <w:pPr>
        <w:spacing w:after="0" w:line="14" w:lineRule="exact"/>
        <w:rPr>
          <w:rFonts w:ascii="Times New Roman" w:cs="Times New Roman" w:eastAsia="Times New Roman" w:hAnsi="Times New Roman"/>
          <w:sz w:val="22"/>
          <w:szCs w:val="22"/>
          <w:color w:val="auto"/>
        </w:rPr>
      </w:pPr>
    </w:p>
    <w:p>
      <w:pPr>
        <w:ind w:left="11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forth herein.</w:t>
      </w:r>
    </w:p>
    <w:p>
      <w:pPr>
        <w:spacing w:after="0" w:line="20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mutual covenants contained herein and for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of which are hereby acknowledged, Landlord and Tenant agree to amend the Lease as follows:</w:t>
      </w:r>
    </w:p>
    <w:p>
      <w:pPr>
        <w:spacing w:after="0" w:line="194" w:lineRule="exact"/>
        <w:rPr>
          <w:sz w:val="20"/>
          <w:szCs w:val="20"/>
          <w:color w:val="auto"/>
        </w:rPr>
      </w:pPr>
    </w:p>
    <w:p>
      <w:pPr>
        <w:jc w:val="both"/>
        <w:ind w:left="1140" w:right="20" w:firstLine="749"/>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Expansion of Premises</w:t>
      </w:r>
      <w:r>
        <w:rPr>
          <w:rFonts w:ascii="Times New Roman" w:cs="Times New Roman" w:eastAsia="Times New Roman" w:hAnsi="Times New Roman"/>
          <w:sz w:val="22"/>
          <w:szCs w:val="22"/>
          <w:color w:val="auto"/>
        </w:rPr>
        <w:t>. As of the EPCD (i.e., Expansion Premises Commencement Date) (defined below),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Premises shall be expanded to include Suite 270 containing approximately 10,819 square feet. Following expansion, the Premises shall contain a total square footage of approximately 44,765 square feet.</w:t>
      </w:r>
    </w:p>
    <w:p>
      <w:pPr>
        <w:spacing w:after="0" w:line="194" w:lineRule="exact"/>
        <w:rPr>
          <w:sz w:val="20"/>
          <w:szCs w:val="20"/>
          <w:color w:val="auto"/>
        </w:rPr>
      </w:pPr>
    </w:p>
    <w:p>
      <w:pPr>
        <w:jc w:val="both"/>
        <w:ind w:left="1140" w:firstLine="749"/>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auto"/>
        </w:rPr>
        <w:t>Extension of the Term of the Lease</w:t>
      </w:r>
      <w:r>
        <w:rPr>
          <w:rFonts w:ascii="Times New Roman" w:cs="Times New Roman" w:eastAsia="Times New Roman" w:hAnsi="Times New Roman"/>
          <w:sz w:val="22"/>
          <w:szCs w:val="22"/>
          <w:color w:val="auto"/>
        </w:rPr>
        <w:t>. The term of the Lease is hereby reset for a period commencing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September 1, 2025 (“</w:t>
      </w:r>
      <w:r>
        <w:rPr>
          <w:rFonts w:ascii="Times New Roman" w:cs="Times New Roman" w:eastAsia="Times New Roman" w:hAnsi="Times New Roman"/>
          <w:sz w:val="22"/>
          <w:szCs w:val="22"/>
          <w:b w:val="1"/>
          <w:bCs w:val="1"/>
          <w:color w:val="auto"/>
        </w:rPr>
        <w:t>EPCD</w:t>
      </w:r>
      <w:r>
        <w:rPr>
          <w:rFonts w:ascii="Times New Roman" w:cs="Times New Roman" w:eastAsia="Times New Roman" w:hAnsi="Times New Roman"/>
          <w:sz w:val="22"/>
          <w:szCs w:val="22"/>
          <w:color w:val="auto"/>
        </w:rPr>
        <w:t>”) and expiring on May 31, 2029 (the “</w:t>
      </w:r>
      <w:r>
        <w:rPr>
          <w:rFonts w:ascii="Times New Roman" w:cs="Times New Roman" w:eastAsia="Times New Roman" w:hAnsi="Times New Roman"/>
          <w:sz w:val="22"/>
          <w:szCs w:val="22"/>
          <w:b w:val="1"/>
          <w:bCs w:val="1"/>
          <w:color w:val="auto"/>
        </w:rPr>
        <w:t>New Term</w:t>
      </w:r>
      <w:r>
        <w:rPr>
          <w:rFonts w:ascii="Times New Roman" w:cs="Times New Roman" w:eastAsia="Times New Roman" w:hAnsi="Times New Roman"/>
          <w:sz w:val="22"/>
          <w:szCs w:val="22"/>
          <w:color w:val="auto"/>
        </w:rPr>
        <w:t>”). All of the terms and provisions of the Lease shall continue to apply with respect to the New Term, except as specifically modified herein. Tenant acknowledges that as of the EPCD, the New Term shall apply to the entire Premises. Except as provided in the Third Amendment to Lease dated August 20, 2020 (the “</w:t>
      </w:r>
      <w:r>
        <w:rPr>
          <w:rFonts w:ascii="Times New Roman" w:cs="Times New Roman" w:eastAsia="Times New Roman" w:hAnsi="Times New Roman"/>
          <w:sz w:val="22"/>
          <w:szCs w:val="22"/>
          <w:b w:val="1"/>
          <w:bCs w:val="1"/>
          <w:color w:val="auto"/>
        </w:rPr>
        <w:t>Third Amendment</w:t>
      </w:r>
      <w:r>
        <w:rPr>
          <w:rFonts w:ascii="Times New Roman" w:cs="Times New Roman" w:eastAsia="Times New Roman" w:hAnsi="Times New Roman"/>
          <w:sz w:val="22"/>
          <w:szCs w:val="22"/>
          <w:color w:val="auto"/>
        </w:rPr>
        <w:t>”), Tenant acknowledges that Tenant has no further right or option to extend the term of the Lease.</w:t>
      </w:r>
    </w:p>
    <w:p>
      <w:pPr>
        <w:spacing w:after="0" w:line="202" w:lineRule="exact"/>
        <w:rPr>
          <w:sz w:val="20"/>
          <w:szCs w:val="20"/>
          <w:color w:val="auto"/>
        </w:rPr>
      </w:pPr>
    </w:p>
    <w:p>
      <w:pPr>
        <w:jc w:val="both"/>
        <w:ind w:left="1140" w:firstLine="749"/>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Base Rent</w:t>
      </w:r>
      <w:r>
        <w:rPr>
          <w:rFonts w:ascii="Times New Roman" w:cs="Times New Roman" w:eastAsia="Times New Roman" w:hAnsi="Times New Roman"/>
          <w:sz w:val="22"/>
          <w:szCs w:val="22"/>
          <w:color w:val="auto"/>
        </w:rPr>
        <w:t>. Until the EPCD, Tenant shall continue to pay Base Rent and Total Operating Costs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the Third Amendment. From and after the EPCD, Tenant shall pay to Landlord Base Rent in the manner and at the times set forth in Article 4 of the Lease and in an amount hereinafter provided, without demand, deduction or setoff, except as expressly provided in the Lease. From and after the EPCD, Base Rent for the entire Premises (44,765 SF) shall be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7"/>
              </w:rPr>
              <w:t>Period</w:t>
            </w:r>
          </w:p>
        </w:tc>
        <w:tc>
          <w:tcPr>
            <w:tcW w:w="78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RSF</w:t>
            </w:r>
          </w:p>
        </w:tc>
        <w:tc>
          <w:tcPr>
            <w:tcW w:w="9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Base Rent</w:t>
            </w:r>
          </w:p>
        </w:tc>
        <w:tc>
          <w:tcPr>
            <w:tcW w:w="70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Monthly Payment</w:t>
            </w:r>
          </w:p>
        </w:tc>
      </w:tr>
      <w:tr>
        <w:trPr>
          <w:trHeight w:val="20"/>
        </w:trPr>
        <w:tc>
          <w:tcPr>
            <w:tcW w:w="4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453"/>
        </w:trPr>
        <w:tc>
          <w:tcPr>
            <w:tcW w:w="1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*9/1/25 – 1/31/26</w:t>
            </w: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$17.46</w:t>
            </w:r>
          </w:p>
        </w:tc>
        <w:tc>
          <w:tcPr>
            <w:tcW w:w="232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$592,697.16 (33,946 SF)</w:t>
            </w:r>
          </w:p>
        </w:tc>
        <w:tc>
          <w:tcPr>
            <w:tcW w:w="6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$49,391.43 (33,946 SF)</w:t>
            </w:r>
          </w:p>
        </w:tc>
      </w:tr>
      <w:tr>
        <w:trPr>
          <w:trHeight w:val="1411"/>
        </w:trPr>
        <w:tc>
          <w:tcPr>
            <w:tcW w:w="4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16"/>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2/1/26-8/31/26</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$17.46</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$781,596.90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$65,133.08</w:t>
            </w:r>
          </w:p>
        </w:tc>
      </w:tr>
      <w:tr>
        <w:trPr>
          <w:trHeight w:val="216"/>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9/1/26-8/31/27</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$17.94</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$803,084.10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$66,923.68</w:t>
            </w:r>
          </w:p>
        </w:tc>
      </w:tr>
      <w:tr>
        <w:trPr>
          <w:trHeight w:val="216"/>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9/1/27-8/31/28</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$18.43</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$825,018.95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$68,751.58</w:t>
            </w:r>
          </w:p>
        </w:tc>
      </w:tr>
      <w:tr>
        <w:trPr>
          <w:trHeight w:val="234"/>
        </w:trPr>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9/1/28-5/31/29</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$18.94</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$847,849.10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$70,654.09</w:t>
            </w:r>
          </w:p>
        </w:tc>
      </w:tr>
    </w:tbl>
    <w:p>
      <w:pPr>
        <w:spacing w:after="0" w:line="21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*Notwithstanding anything to the contrary contained herein, so long as Tenant is not in default under the Lease, Tenant’s obligation to pay the Base Rent otherwise due for the Expansion Premises (10,819 SF) for the first five (5) months (the “</w:t>
      </w:r>
      <w:r>
        <w:rPr>
          <w:rFonts w:ascii="Times New Roman" w:cs="Times New Roman" w:eastAsia="Times New Roman" w:hAnsi="Times New Roman"/>
          <w:sz w:val="22"/>
          <w:szCs w:val="22"/>
          <w:b w:val="1"/>
          <w:bCs w:val="1"/>
          <w:color w:val="auto"/>
        </w:rPr>
        <w:t>Abatement Period</w:t>
      </w:r>
      <w:r>
        <w:rPr>
          <w:rFonts w:ascii="Times New Roman" w:cs="Times New Roman" w:eastAsia="Times New Roman" w:hAnsi="Times New Roman"/>
          <w:sz w:val="22"/>
          <w:szCs w:val="22"/>
          <w:color w:val="auto"/>
        </w:rPr>
        <w:t>”) shall be abated. Accordingly, the total amount of Base Rent abated during the Abatement Period shall equal to $78,708.22 (the “</w:t>
      </w:r>
      <w:r>
        <w:rPr>
          <w:rFonts w:ascii="Times New Roman" w:cs="Times New Roman" w:eastAsia="Times New Roman" w:hAnsi="Times New Roman"/>
          <w:sz w:val="22"/>
          <w:szCs w:val="22"/>
          <w:b w:val="1"/>
          <w:bCs w:val="1"/>
          <w:color w:val="auto"/>
        </w:rPr>
        <w:t>Abated Base Rent</w:t>
      </w:r>
      <w:r>
        <w:rPr>
          <w:rFonts w:ascii="Times New Roman" w:cs="Times New Roman" w:eastAsia="Times New Roman" w:hAnsi="Times New Roman"/>
          <w:sz w:val="22"/>
          <w:szCs w:val="22"/>
          <w:color w:val="auto"/>
        </w:rPr>
        <w:t>”). If Landlord elects to terminate the Lease or Tenant’s right to possession of the Premises due to a default by Tenant not cured during any applicable grace or curative period, then (i) the portion of the Abated Base Rent unamortized as of the date of such default, shall immediately become due and payable; and (ii) Tenant shall not be entitled to any further abatement of Base Rent pursuant to this paragraph. The payment by Tenant of the Abated Base Rent in the event of a default shall not limit or affect any of Landlord’s other rights or remedies, in the event of a default by Tenant, pursuant to the Lease or at law or in equity.</w:t>
      </w:r>
    </w:p>
    <w:p>
      <w:pPr>
        <w:spacing w:after="0" w:line="206" w:lineRule="exact"/>
        <w:rPr>
          <w:sz w:val="20"/>
          <w:szCs w:val="20"/>
          <w:color w:val="auto"/>
        </w:rPr>
      </w:pPr>
    </w:p>
    <w:p>
      <w:pPr>
        <w:jc w:val="both"/>
        <w:ind w:left="1140" w:firstLine="749"/>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Additional Rent</w:t>
      </w:r>
      <w:r>
        <w:rPr>
          <w:rFonts w:ascii="Times New Roman" w:cs="Times New Roman" w:eastAsia="Times New Roman" w:hAnsi="Times New Roman"/>
          <w:sz w:val="22"/>
          <w:szCs w:val="22"/>
          <w:color w:val="auto"/>
        </w:rPr>
        <w:t>. Tenant shall continue to pay, in accordance with the Lease, Tenant’s proportionate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Total Operating Costs for each year on a net basis, and without regard to any base year. As of the EPCD, Tenant’s proportionate share of Total Operating Costs (or Pro Rata Share as defined in the Lease) shall be 100% (i.e., the entire Building). The Total Operating Costs for 2024/2025 are </w:t>
      </w:r>
      <w:r>
        <w:rPr>
          <w:rFonts w:ascii="Times New Roman" w:cs="Times New Roman" w:eastAsia="Times New Roman" w:hAnsi="Times New Roman"/>
          <w:sz w:val="22"/>
          <w:szCs w:val="22"/>
          <w:i w:val="1"/>
          <w:iCs w:val="1"/>
          <w:u w:val="single" w:color="auto"/>
          <w:color w:val="auto"/>
        </w:rPr>
        <w:t>estimated</w:t>
      </w:r>
      <w:r>
        <w:rPr>
          <w:rFonts w:ascii="Times New Roman" w:cs="Times New Roman" w:eastAsia="Times New Roman" w:hAnsi="Times New Roman"/>
          <w:sz w:val="22"/>
          <w:szCs w:val="22"/>
          <w:color w:val="auto"/>
        </w:rPr>
        <w:t xml:space="preserve"> to be approximately $7.56 per square foot.</w:t>
      </w:r>
    </w:p>
    <w:p>
      <w:pPr>
        <w:spacing w:after="0" w:line="204" w:lineRule="exact"/>
        <w:rPr>
          <w:sz w:val="20"/>
          <w:szCs w:val="20"/>
          <w:color w:val="auto"/>
        </w:rPr>
      </w:pPr>
    </w:p>
    <w:p>
      <w:pPr>
        <w:jc w:val="both"/>
        <w:ind w:left="1140" w:firstLine="749"/>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Florida State Sales Tax</w:t>
      </w:r>
      <w:r>
        <w:rPr>
          <w:rFonts w:ascii="Times New Roman" w:cs="Times New Roman" w:eastAsia="Times New Roman" w:hAnsi="Times New Roman"/>
          <w:sz w:val="22"/>
          <w:szCs w:val="22"/>
          <w:color w:val="auto"/>
        </w:rPr>
        <w:t>. Tenant shall continue pay all applicable Florida State Sales Taxes concurrently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each installment of Base Rent for the Premises.</w:t>
      </w:r>
    </w:p>
    <w:p>
      <w:pPr>
        <w:spacing w:after="0" w:line="177" w:lineRule="exact"/>
        <w:rPr>
          <w:sz w:val="20"/>
          <w:szCs w:val="20"/>
          <w:color w:val="auto"/>
        </w:rPr>
      </w:pPr>
    </w:p>
    <w:p>
      <w:pPr>
        <w:jc w:val="both"/>
        <w:ind w:left="1140" w:firstLine="749"/>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Early Access</w:t>
      </w:r>
      <w:r>
        <w:rPr>
          <w:rFonts w:ascii="Times New Roman" w:cs="Times New Roman" w:eastAsia="Times New Roman" w:hAnsi="Times New Roman"/>
          <w:sz w:val="22"/>
          <w:szCs w:val="22"/>
          <w:color w:val="auto"/>
        </w:rPr>
        <w:t>. Tenant shall be permitted access to the Premises no less than fifteen (15) days prior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EPCD in order to install Tenant's furniture, fixtures, data/phone and cabling systems. Tenant's early access to the Premises shall be subject to all of the provisions of the Lease (other than the obligation to pay Base Rent). Early access to the Premises shall not advance the expiration date of the Lease. Tenant shall not be required to pay Base Rent or any other charges specified in this Lease during the early access period.</w:t>
      </w:r>
    </w:p>
    <w:p>
      <w:pPr>
        <w:spacing w:after="0" w:line="204" w:lineRule="exact"/>
        <w:rPr>
          <w:sz w:val="20"/>
          <w:szCs w:val="20"/>
          <w:color w:val="auto"/>
        </w:rPr>
      </w:pPr>
    </w:p>
    <w:p>
      <w:pPr>
        <w:jc w:val="both"/>
        <w:ind w:left="1140" w:firstLine="749"/>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Tenant Improvements</w:t>
      </w:r>
      <w:r>
        <w:rPr>
          <w:rFonts w:ascii="Times New Roman" w:cs="Times New Roman" w:eastAsia="Times New Roman" w:hAnsi="Times New Roman"/>
          <w:sz w:val="22"/>
          <w:szCs w:val="22"/>
          <w:color w:val="auto"/>
        </w:rPr>
        <w:t>. All improvements described in this Amendment to be constructed in and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Premises are described in the Work Letter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Work Letter</w:t>
      </w:r>
      <w:r>
        <w:rPr>
          <w:rFonts w:ascii="Times New Roman" w:cs="Times New Roman" w:eastAsia="Times New Roman" w:hAnsi="Times New Roman"/>
          <w:sz w:val="22"/>
          <w:szCs w:val="22"/>
          <w:color w:val="auto"/>
        </w:rPr>
        <w:t>”). Other than with respect to Landlord’s Work (as defined in the Work Letter), Tenant accepts the Premises in its “as-is” condition and Landlord shall have no obligation to perform any work at the Premises.</w:t>
      </w:r>
    </w:p>
    <w:p>
      <w:pPr>
        <w:spacing w:after="0" w:line="199" w:lineRule="exact"/>
        <w:rPr>
          <w:sz w:val="20"/>
          <w:szCs w:val="20"/>
          <w:color w:val="auto"/>
        </w:rPr>
      </w:pPr>
    </w:p>
    <w:p>
      <w:pPr>
        <w:jc w:val="both"/>
        <w:ind w:left="1140" w:firstLine="749"/>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Signage</w:t>
      </w:r>
      <w:r>
        <w:rPr>
          <w:rFonts w:ascii="Times New Roman" w:cs="Times New Roman" w:eastAsia="Times New Roman" w:hAnsi="Times New Roman"/>
          <w:sz w:val="22"/>
          <w:szCs w:val="22"/>
          <w:color w:val="auto"/>
        </w:rPr>
        <w:t>. Tenant shall have the right to utilize the remainder of the Building monument signage,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provisions of the Lease related to signage.</w:t>
      </w:r>
    </w:p>
    <w:p>
      <w:pPr>
        <w:spacing w:after="0" w:line="177" w:lineRule="exact"/>
        <w:rPr>
          <w:sz w:val="20"/>
          <w:szCs w:val="20"/>
          <w:color w:val="auto"/>
        </w:rPr>
      </w:pPr>
    </w:p>
    <w:p>
      <w:pPr>
        <w:jc w:val="both"/>
        <w:ind w:left="1140" w:firstLine="749"/>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Brokers</w:t>
      </w:r>
      <w:r>
        <w:rPr>
          <w:rFonts w:ascii="Times New Roman" w:cs="Times New Roman" w:eastAsia="Times New Roman" w:hAnsi="Times New Roman"/>
          <w:sz w:val="22"/>
          <w:szCs w:val="22"/>
          <w:color w:val="auto"/>
        </w:rPr>
        <w:t>. Landlord and Tenant each represent and warrant to the other that the only broker they have dealt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in connection with this Amendment is Avison Young whose commission and fee shall be paid by Landlord pursuant to separate written</w:t>
      </w:r>
    </w:p>
    <w:p>
      <w:pPr>
        <w:spacing w:after="0" w:line="200" w:lineRule="exact"/>
        <w:rPr>
          <w:sz w:val="20"/>
          <w:szCs w:val="20"/>
          <w:color w:val="auto"/>
        </w:rPr>
      </w:pPr>
    </w:p>
    <w:p>
      <w:pPr>
        <w:spacing w:after="0" w:line="228"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5" w:name="page186"/>
    <w:bookmarkEnd w:id="185"/>
    <w:p>
      <w:pPr>
        <w:jc w:val="both"/>
        <w:ind w:left="20"/>
        <w:spacing w:after="0" w:line="239" w:lineRule="auto"/>
        <w:rPr>
          <w:sz w:val="20"/>
          <w:szCs w:val="20"/>
          <w:color w:val="auto"/>
        </w:rPr>
      </w:pPr>
      <w:r>
        <w:rPr>
          <w:rFonts w:ascii="Times New Roman" w:cs="Times New Roman" w:eastAsia="Times New Roman" w:hAnsi="Times New Roman"/>
          <w:sz w:val="22"/>
          <w:szCs w:val="22"/>
          <w:color w:val="auto"/>
        </w:rPr>
        <w:t>agreements. Landlord and Tenant each agree to defend, indemnify and hold the other harmless from and against all claims by any other broker for fees, commissions or other compensation to the extent such broker alleges to have been retained by the indemnifying party in connection with the execution of this Amendment. The provisions of this paragraph shall survive the expiration or sooner termination of the Lease.</w:t>
      </w:r>
    </w:p>
    <w:p>
      <w:pPr>
        <w:spacing w:after="0" w:line="203" w:lineRule="exact"/>
        <w:rPr>
          <w:sz w:val="20"/>
          <w:szCs w:val="20"/>
          <w:color w:val="auto"/>
        </w:rPr>
      </w:pPr>
    </w:p>
    <w:p>
      <w:pPr>
        <w:jc w:val="both"/>
        <w:ind w:left="20" w:firstLine="749"/>
        <w:spacing w:after="0" w:line="236" w:lineRule="auto"/>
        <w:rPr>
          <w:sz w:val="20"/>
          <w:szCs w:val="20"/>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 Except as modified herein, the Lease and all of the terms and provisions thereof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remain unmodified and in full force and effect as originally written. In the event of any conflict or inconsistency between the provisions of the Lease and the provisions of this Amendment, the provisions of this Amendment shall control. All terms used herein but not defined herein which are defined in the Lease shall have the same meaning for purposes hereof as they do for purposes of the Lease. The Recitals set forth above in this Amendment are hereby incorporated by this reference. This Amendment shall be binding upon and shall inure to the benefit of the parties hereto and their respective beneficiaries, successors and assigns.</w:t>
      </w:r>
    </w:p>
    <w:p>
      <w:pPr>
        <w:spacing w:after="0" w:line="203" w:lineRule="exact"/>
        <w:rPr>
          <w:sz w:val="20"/>
          <w:szCs w:val="20"/>
          <w:color w:val="auto"/>
        </w:rPr>
      </w:pPr>
    </w:p>
    <w:p>
      <w:pPr>
        <w:jc w:val="both"/>
        <w:ind w:left="20" w:right="20" w:firstLine="749"/>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Amendment may be executed in any number of counterparts and by each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undersigned on separate counterparts, which counterparts taken together shall constitute one and the same instrument.</w:t>
      </w:r>
    </w:p>
    <w:p>
      <w:pPr>
        <w:spacing w:after="0" w:line="19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00" w:lineRule="exact"/>
        <w:rPr>
          <w:sz w:val="20"/>
          <w:szCs w:val="20"/>
          <w:color w:val="auto"/>
        </w:rPr>
      </w:pPr>
    </w:p>
    <w:p>
      <w:pPr>
        <w:spacing w:after="0" w:line="26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615315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186" w:name="page187"/>
    <w:bookmarkEnd w:id="186"/>
    <w:p>
      <w:pPr>
        <w:ind w:firstLine="432"/>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undersigned have executed this Fourth Amendment to Lease as of the day and year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written.</w:t>
      </w:r>
    </w:p>
    <w:p>
      <w:pPr>
        <w:spacing w:after="0" w:line="18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u w:val="single" w:color="auto"/>
          <w:color w:val="auto"/>
        </w:rPr>
        <w:t>LANDLORD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CHALLENGER-DISCOVERY, LLC</w:t>
      </w:r>
      <w:r>
        <w:rPr>
          <w:rFonts w:ascii="Times New Roman" w:cs="Times New Roman" w:eastAsia="Times New Roman" w:hAnsi="Times New Roman"/>
          <w:sz w:val="18"/>
          <w:szCs w:val="18"/>
          <w:color w:val="auto"/>
        </w:rPr>
        <w:t>, a Delaware limited liability</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By: /s/ Steve C. Heetland</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Steven C. Heetland, Manager</w:t>
      </w:r>
    </w:p>
    <w:p>
      <w:pPr>
        <w:spacing w:after="0" w:line="200" w:lineRule="exact"/>
        <w:rPr>
          <w:sz w:val="20"/>
          <w:szCs w:val="20"/>
          <w:color w:val="auto"/>
        </w:rPr>
      </w:pPr>
    </w:p>
    <w:p>
      <w:pPr>
        <w:spacing w:after="0" w:line="3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u w:val="single" w:color="auto"/>
          <w:color w:val="auto"/>
        </w:rPr>
        <w:t>TENANT</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LENSAR, INC. </w:t>
      </w:r>
      <w:r>
        <w:rPr>
          <w:rFonts w:ascii="Times New Roman" w:cs="Times New Roman" w:eastAsia="Times New Roman" w:hAnsi="Times New Roman"/>
          <w:sz w:val="18"/>
          <w:szCs w:val="18"/>
          <w:color w:val="auto"/>
        </w:rPr>
        <w:t>a Delaware corporation</w:t>
      </w:r>
    </w:p>
    <w:p>
      <w:pPr>
        <w:spacing w:after="0" w:line="200" w:lineRule="exact"/>
        <w:rPr>
          <w:sz w:val="20"/>
          <w:szCs w:val="20"/>
          <w:color w:val="auto"/>
        </w:rPr>
      </w:pPr>
    </w:p>
    <w:p>
      <w:pPr>
        <w:spacing w:after="0" w:line="29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By: /s/ Thomas R. Staab, II</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Name:Thomas R. Staab, II</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Title:CFO</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22"/>
          <w:szCs w:val="22"/>
          <w:color w:val="auto"/>
        </w:rPr>
        <w:t>Exhibit 19.1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LENSAR,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Compliance Policy</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LENSAR,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seeks to promote a culture that encourages ethical conduct and a commitment to compliance with the law. We require our personnel to comply at all times with federal laws and regulations governing insider trading. This policy sets forth procedures designed to promote compliance with these laws and regulations.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Persons Covered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must comply with this policy if you are:</w:t>
      </w:r>
    </w:p>
    <w:p>
      <w:pPr>
        <w:spacing w:after="0" w:line="206" w:lineRule="exact"/>
        <w:rPr>
          <w:sz w:val="20"/>
          <w:szCs w:val="20"/>
          <w:color w:val="auto"/>
        </w:rPr>
      </w:pPr>
    </w:p>
    <w:p>
      <w:pPr>
        <w:ind w:left="760" w:hanging="378"/>
        <w:spacing w:after="0"/>
        <w:tabs>
          <w:tab w:leader="none" w:pos="7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director, officer or employee;</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entity controlled by a director, officer or employee; or</w:t>
      </w:r>
    </w:p>
    <w:p>
      <w:pPr>
        <w:spacing w:after="0" w:line="206"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designated by the Company as subject to this policy, as an individual with access to material nonpublic information (e.g., certain contractors or consultants).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Individuals subject to this policy are responsible for ensuring that members of their household and dependents comply with this policy.</w:t>
      </w:r>
    </w:p>
    <w:p>
      <w:pPr>
        <w:spacing w:after="0" w:line="1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Notwithstanding anything to the contrary, this policy shall not apply to any such entity that engages in the investment of securities in the ordinary course of its business (e.g., an investment fund or partnership) if such entity has established its own insider trading controls and procedures in compliance with applicable securities laws.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Policy Statement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Unless otherwise permitted by this policy, you must not:</w:t>
      </w:r>
    </w:p>
    <w:p>
      <w:pPr>
        <w:spacing w:after="0" w:line="206" w:lineRule="exact"/>
        <w:rPr>
          <w:sz w:val="20"/>
          <w:szCs w:val="20"/>
          <w:color w:val="auto"/>
        </w:rPr>
      </w:pPr>
    </w:p>
    <w:p>
      <w:pPr>
        <w:ind w:left="760" w:hanging="378"/>
        <w:spacing w:after="0" w:line="258" w:lineRule="auto"/>
        <w:tabs>
          <w:tab w:leader="none" w:pos="7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sell, gift or otherwise transfer any security of the Company while you possess material nonpublic information about the Company;</w:t>
      </w:r>
    </w:p>
    <w:p>
      <w:pPr>
        <w:spacing w:after="0" w:line="158"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sell, gift or otherwise transfer any security of any other company, while you possess material nonpublic information about the other company that you obtained in connection with your employment by or service to the Company;</w:t>
      </w:r>
    </w:p>
    <w:p>
      <w:pPr>
        <w:spacing w:after="0" w:line="173"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communicate material nonpublic information to anyone outside the Company unless you follow Company policy regarding confidential information; or</w:t>
      </w:r>
    </w:p>
    <w:p>
      <w:pPr>
        <w:spacing w:after="0" w:line="158"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communicate material nonpublic information to anyone within the Company except on a need-to-know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this purpose:</w:t>
      </w:r>
    </w:p>
    <w:p>
      <w:pPr>
        <w:spacing w:after="0" w:line="202" w:lineRule="exact"/>
        <w:rPr>
          <w:sz w:val="20"/>
          <w:szCs w:val="20"/>
          <w:color w:val="auto"/>
        </w:rPr>
      </w:pPr>
    </w:p>
    <w:p>
      <w:pPr>
        <w:ind w:left="760" w:hanging="378"/>
        <w:spacing w:after="0" w:line="262" w:lineRule="auto"/>
        <w:tabs>
          <w:tab w:leader="none" w:pos="7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securities </w:t>
      </w:r>
      <w:r>
        <w:rPr>
          <w:rFonts w:ascii="Times New Roman" w:cs="Times New Roman" w:eastAsia="Times New Roman" w:hAnsi="Times New Roman"/>
          <w:sz w:val="22"/>
          <w:szCs w:val="22"/>
          <w:color w:val="auto"/>
        </w:rPr>
        <w:t>include stocks, bonds, notes, debentures, options, warrants, equity and other convertible securities, as well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788035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88" w:name="page189"/>
    <w:bookmarkEnd w:id="188"/>
    <w:p>
      <w:pPr>
        <w:ind w:left="760" w:hanging="378"/>
        <w:spacing w:after="0" w:line="262" w:lineRule="auto"/>
        <w:tabs>
          <w:tab w:leader="none" w:pos="7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purchase </w:t>
      </w:r>
      <w:r>
        <w:rPr>
          <w:rFonts w:ascii="Times New Roman" w:cs="Times New Roman" w:eastAsia="Times New Roman" w:hAnsi="Times New Roman"/>
          <w:sz w:val="22"/>
          <w:szCs w:val="22"/>
          <w:color w:val="auto"/>
        </w:rPr>
        <w:t>includes not only the actual purchase of a security, but also any contract to purchase or otherwise acquire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security;</w:t>
      </w:r>
    </w:p>
    <w:p>
      <w:pPr>
        <w:spacing w:after="0" w:line="149"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sale </w:t>
      </w:r>
      <w:r>
        <w:rPr>
          <w:rFonts w:ascii="Times New Roman" w:cs="Times New Roman" w:eastAsia="Times New Roman" w:hAnsi="Times New Roman"/>
          <w:sz w:val="22"/>
          <w:szCs w:val="22"/>
          <w:color w:val="auto"/>
        </w:rPr>
        <w:t>includes not only the actual sale of a security, but also any contract to sell or otherwise dispose of a security;</w:t>
      </w:r>
    </w:p>
    <w:p>
      <w:pPr>
        <w:spacing w:after="0" w:line="206" w:lineRule="exact"/>
        <w:rPr>
          <w:rFonts w:ascii="Times New Roman" w:cs="Times New Roman" w:eastAsia="Times New Roman" w:hAnsi="Times New Roman"/>
          <w:sz w:val="22"/>
          <w:szCs w:val="22"/>
          <w:color w:val="auto"/>
        </w:rPr>
      </w:pPr>
    </w:p>
    <w:p>
      <w:pPr>
        <w:jc w:val="both"/>
        <w:ind w:left="760" w:hanging="378"/>
        <w:spacing w:after="0" w:line="246" w:lineRule="auto"/>
        <w:tabs>
          <w:tab w:leader="none" w:pos="7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material </w:t>
      </w:r>
      <w:r>
        <w:rPr>
          <w:rFonts w:ascii="Times New Roman" w:cs="Times New Roman" w:eastAsia="Times New Roman" w:hAnsi="Times New Roman"/>
          <w:sz w:val="22"/>
          <w:szCs w:val="22"/>
          <w:color w:val="auto"/>
        </w:rPr>
        <w:t>means likely to have a significant effect on the market price of the security (also understood to mean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substantial likelihood that a reasonable investor would consider the information important in making an investment decision); and</w:t>
      </w:r>
    </w:p>
    <w:p>
      <w:pPr>
        <w:spacing w:after="0" w:line="167" w:lineRule="exact"/>
        <w:rPr>
          <w:rFonts w:ascii="Times New Roman" w:cs="Times New Roman" w:eastAsia="Times New Roman" w:hAnsi="Times New Roman"/>
          <w:sz w:val="22"/>
          <w:szCs w:val="22"/>
          <w:color w:val="auto"/>
        </w:rPr>
      </w:pPr>
    </w:p>
    <w:p>
      <w:pPr>
        <w:ind w:left="760" w:hanging="378"/>
        <w:spacing w:after="0" w:line="262" w:lineRule="auto"/>
        <w:tabs>
          <w:tab w:leader="none" w:pos="7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nonpublic </w:t>
      </w:r>
      <w:r>
        <w:rPr>
          <w:rFonts w:ascii="Times New Roman" w:cs="Times New Roman" w:eastAsia="Times New Roman" w:hAnsi="Times New Roman"/>
          <w:sz w:val="22"/>
          <w:szCs w:val="22"/>
          <w:color w:val="auto"/>
        </w:rPr>
        <w:t>means not broadly disseminated to the general public so that investors have been able to factor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information into the market price of the security.</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Material information can be positive or negative and can relate to virtually any aspect of a company’s business or to any type of security, debt, or equity. Also, information that something is likely to happen in the future—or even just that it may happen— could be deemed material. Moreover, material information does not have to be related to a company’s business. For example, the contents of a forthcoming newspaper column that is expected to affect the market price of a security can be material.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To understand how these terms apply to specific circumstances, or for any other questions about this policy, you should ask the Company’s Chief Executive Officer or Chief Financial Officer or his or her designee (each, a “</w:t>
      </w:r>
      <w:r>
        <w:rPr>
          <w:rFonts w:ascii="Times New Roman" w:cs="Times New Roman" w:eastAsia="Times New Roman" w:hAnsi="Times New Roman"/>
          <w:sz w:val="22"/>
          <w:szCs w:val="22"/>
          <w:u w:val="single" w:color="auto"/>
          <w:color w:val="auto"/>
        </w:rPr>
        <w:t>Compliance Officer</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Quarterly Blackout Periods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Compliance Officers will designate a list of persons who (with their controlled entities and household members) must not purchase, sell, gift or otherwise transfer any security of the Company during any blackout period, except as otherwise permitted by this policy.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quarterly blackout period:</w:t>
      </w:r>
    </w:p>
    <w:p>
      <w:pPr>
        <w:spacing w:after="0" w:line="206" w:lineRule="exact"/>
        <w:rPr>
          <w:sz w:val="20"/>
          <w:szCs w:val="20"/>
          <w:color w:val="auto"/>
        </w:rPr>
      </w:pPr>
    </w:p>
    <w:p>
      <w:pPr>
        <w:ind w:left="760" w:hanging="378"/>
        <w:spacing w:after="0"/>
        <w:tabs>
          <w:tab w:leader="none" w:pos="7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begins at 11:59 p.m. on the 14th calendar day of the last month of each fiscal quarter; and</w:t>
      </w:r>
    </w:p>
    <w:p>
      <w:pPr>
        <w:spacing w:after="0" w:line="206"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ends after completion of one trading day after the public release of earnings data for that quarter (for example, if the Company were to make an announcement on Monday </w:t>
      </w:r>
      <w:r>
        <w:rPr>
          <w:rFonts w:ascii="Times New Roman" w:cs="Times New Roman" w:eastAsia="Times New Roman" w:hAnsi="Times New Roman"/>
          <w:sz w:val="22"/>
          <w:szCs w:val="22"/>
          <w:i w:val="1"/>
          <w:iCs w:val="1"/>
          <w:color w:val="auto"/>
        </w:rPr>
        <w:t>prior</w:t>
      </w:r>
      <w:r>
        <w:rPr>
          <w:rFonts w:ascii="Times New Roman" w:cs="Times New Roman" w:eastAsia="Times New Roman" w:hAnsi="Times New Roman"/>
          <w:sz w:val="22"/>
          <w:szCs w:val="22"/>
          <w:color w:val="auto"/>
        </w:rPr>
        <w:t xml:space="preserve"> to 9:30 a.m. Eastern Time, then the blackout period would terminate </w:t>
      </w:r>
      <w:r>
        <w:rPr>
          <w:rFonts w:ascii="Times New Roman" w:cs="Times New Roman" w:eastAsia="Times New Roman" w:hAnsi="Times New Roman"/>
          <w:sz w:val="22"/>
          <w:szCs w:val="22"/>
          <w:i w:val="1"/>
          <w:iCs w:val="1"/>
          <w:color w:val="auto"/>
        </w:rPr>
        <w:t>after</w:t>
      </w:r>
      <w:r>
        <w:rPr>
          <w:rFonts w:ascii="Times New Roman" w:cs="Times New Roman" w:eastAsia="Times New Roman" w:hAnsi="Times New Roman"/>
          <w:sz w:val="22"/>
          <w:szCs w:val="22"/>
          <w:color w:val="auto"/>
        </w:rPr>
        <w:t xml:space="preserve"> the close of trading on Monday).</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Exceptions to the blackout period policy may be approved by the Compliance Officers (or, in the case of exceptions for a Compliance Officer, another Compliance Officer or the Audit Committee Chairperson.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Additional Blackout Periods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From time to time, the Compliance Officers may determine that an additional blackout period is appropriate. Persons subject to an additional blackout period must not purchase, sell, gift or otherwise transfer any security of the Company, except as otherwise permitted by this policy, and must not disclose that an additional blackout period is in effect.</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CP-00002-000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2"/>
          <w:szCs w:val="22"/>
          <w:b w:val="1"/>
          <w:bCs w:val="1"/>
          <w:u w:val="single" w:color="auto"/>
          <w:color w:val="auto"/>
        </w:rPr>
        <w:t>Pre-Clearance of Transactions</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The Compliance Officers will designate a list of persons who (with their controlled entities and household members) must pre-clear each transaction in any security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submit a pre-clearance request, you must follow the procedures established by the Compliance Officers.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Pre-clearance approval:</w:t>
      </w:r>
    </w:p>
    <w:p>
      <w:pPr>
        <w:spacing w:after="0" w:line="206" w:lineRule="exact"/>
        <w:rPr>
          <w:sz w:val="20"/>
          <w:szCs w:val="20"/>
          <w:color w:val="auto"/>
        </w:rPr>
      </w:pPr>
    </w:p>
    <w:p>
      <w:pPr>
        <w:jc w:val="both"/>
        <w:ind w:left="760" w:hanging="378"/>
        <w:spacing w:after="0" w:line="244" w:lineRule="auto"/>
        <w:tabs>
          <w:tab w:leader="none" w:pos="7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be granted or withheld in the sole discretion of the Compliance Officers, or the Chief Financial Officer for transactions by the Chief Executive Officer and by the Chief Executive Officer for transactions by the Chief Financial Officer;</w:t>
      </w:r>
    </w:p>
    <w:p>
      <w:pPr>
        <w:spacing w:after="0" w:line="173" w:lineRule="exact"/>
        <w:rPr>
          <w:rFonts w:ascii="Times New Roman" w:cs="Times New Roman" w:eastAsia="Times New Roman" w:hAnsi="Times New Roman"/>
          <w:sz w:val="22"/>
          <w:szCs w:val="22"/>
          <w:color w:val="auto"/>
        </w:rPr>
      </w:pPr>
    </w:p>
    <w:p>
      <w:pPr>
        <w:ind w:left="760" w:right="20" w:hanging="378"/>
        <w:spacing w:after="0" w:line="258" w:lineRule="auto"/>
        <w:tabs>
          <w:tab w:leader="none" w:pos="7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remains valid for five business days for transactions, unless a specific exception has been granted by a Compliance Officer ;</w:t>
      </w:r>
    </w:p>
    <w:p>
      <w:pPr>
        <w:spacing w:after="0" w:line="158"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remains subject to your independent obligation to confirm that you do not possess material nonpublic information at the time of your transaction;</w:t>
      </w:r>
    </w:p>
    <w:p>
      <w:pPr>
        <w:spacing w:after="0" w:line="15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constitute legal advice that a proposed transaction complies with applicable law;</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result in liability to the Company or any other person if delayed or withheld; and</w:t>
      </w:r>
    </w:p>
    <w:p>
      <w:pPr>
        <w:spacing w:after="0" w:line="206"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required to effect “sell-to-cover” transactions pursuant to a policy adopted by the Company or for transactions under a previously approved Rule 10b5-1 plan or a previously approved non-Rule 10b5-1 trading arrangement.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Exempt Transactions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restrictions in this policy, except for provisions set forth in the Prohibited Transactions section below, do not apply to:</w:t>
      </w:r>
    </w:p>
    <w:p>
      <w:pPr>
        <w:spacing w:after="0" w:line="206" w:lineRule="exact"/>
        <w:rPr>
          <w:sz w:val="20"/>
          <w:szCs w:val="20"/>
          <w:color w:val="auto"/>
        </w:rPr>
      </w:pPr>
    </w:p>
    <w:p>
      <w:pPr>
        <w:ind w:left="760" w:hanging="378"/>
        <w:spacing w:after="0"/>
        <w:tabs>
          <w:tab w:leader="none" w:pos="7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directly with the Company;</w:t>
      </w:r>
    </w:p>
    <w:p>
      <w:pPr>
        <w:spacing w:after="0" w:line="206" w:lineRule="exact"/>
        <w:rPr>
          <w:rFonts w:ascii="Times New Roman" w:cs="Times New Roman" w:eastAsia="Times New Roman" w:hAnsi="Times New Roman"/>
          <w:sz w:val="22"/>
          <w:szCs w:val="22"/>
          <w:color w:val="auto"/>
        </w:rPr>
      </w:pPr>
    </w:p>
    <w:p>
      <w:pPr>
        <w:jc w:val="both"/>
        <w:ind w:left="760" w:right="20" w:hanging="378"/>
        <w:spacing w:after="0" w:line="244" w:lineRule="auto"/>
        <w:tabs>
          <w:tab w:leader="none" w:pos="7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relating to equity incentive awards without any open-market sale of securities (e.g., cash exercises of stock options or the “net settlement” of restricted stock units but not broker-assisted cashless exercises or open-market sales to cover taxes upon the vesting of restricted stock units);</w:t>
      </w:r>
    </w:p>
    <w:p>
      <w:pPr>
        <w:spacing w:after="0" w:line="173"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Company securities through a 401(k) plan through regular payroll deductions (however, the sale of any such securities and the election to transfer funds into or out of, or a loan with respect to amounts invested in, the fund is not an excepted transaction);</w:t>
      </w:r>
    </w:p>
    <w:p>
      <w:pPr>
        <w:spacing w:after="0" w:line="173"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periodic contributions to, or the acquisition of Company securities under, an “employee stock purchase plan” (within the meaning of the Internal Revenue Code of 1986) maintained by the Company, in each case, pursuant to the terms and conditions of the applicable plan or the employees’ advance instructions;</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CP-00002-000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90" w:name="page191"/>
    <w:bookmarkEnd w:id="190"/>
    <w:p>
      <w:pPr>
        <w:ind w:left="760" w:hanging="378"/>
        <w:spacing w:after="0" w:line="258" w:lineRule="auto"/>
        <w:tabs>
          <w:tab w:leader="none" w:pos="7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“sell-to-cover” transactions pursuant to a non-discretionary policy adopted by the Company that is intended to facilitate the payment of withholding taxes associated with vesting of equity awards (other than stock options);</w:t>
      </w:r>
    </w:p>
    <w:p>
      <w:pPr>
        <w:spacing w:after="0" w:line="15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under a pre-cleared Rule 10b5-1 plan; or</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under a pre-cleared non-Rule 10b5-1 trading arrangement as defined in Item 408(c) of Regulation 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Trading Plans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restrictions in this policy, except for provisions set forth in the Prohibited Transactions section below, do not apply to transactions under a trading plan that satisfies either:</w:t>
      </w:r>
    </w:p>
    <w:p>
      <w:pPr>
        <w:spacing w:after="0" w:line="158" w:lineRule="exact"/>
        <w:rPr>
          <w:sz w:val="20"/>
          <w:szCs w:val="20"/>
          <w:color w:val="auto"/>
        </w:rPr>
      </w:pPr>
    </w:p>
    <w:p>
      <w:pPr>
        <w:ind w:left="760" w:hanging="378"/>
        <w:spacing w:after="0"/>
        <w:tabs>
          <w:tab w:leader="none" w:pos="7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conditions of Rule 10b5-1; or</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elements of a non-Rule 10b5-1 trading arrangement as defined in Item 408(c) of Regulation S-K; and</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Compliance Officer has pre-approved.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trading plan may be modified outside of a blackout period when you do not possess material nonpublic information.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Modifications to and terminations of a trading plan must be pre-approved by a Compliance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Prohibited Transactions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may not engage in:</w:t>
      </w:r>
    </w:p>
    <w:p>
      <w:pPr>
        <w:spacing w:after="0" w:line="206" w:lineRule="exact"/>
        <w:rPr>
          <w:sz w:val="20"/>
          <w:szCs w:val="20"/>
          <w:color w:val="auto"/>
        </w:rPr>
      </w:pPr>
    </w:p>
    <w:p>
      <w:pPr>
        <w:ind w:left="760" w:hanging="378"/>
        <w:spacing w:after="0"/>
        <w:tabs>
          <w:tab w:leader="none" w:pos="7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 sales (i.e., sales of shares that you do not own at the time of sale) of Company securities;</w:t>
      </w:r>
    </w:p>
    <w:p>
      <w:pPr>
        <w:spacing w:after="0" w:line="206" w:lineRule="exact"/>
        <w:rPr>
          <w:rFonts w:ascii="Times New Roman" w:cs="Times New Roman" w:eastAsia="Times New Roman" w:hAnsi="Times New Roman"/>
          <w:sz w:val="22"/>
          <w:szCs w:val="22"/>
          <w:color w:val="auto"/>
        </w:rPr>
      </w:pPr>
    </w:p>
    <w:p>
      <w:pPr>
        <w:ind w:left="760" w:right="20" w:hanging="378"/>
        <w:spacing w:after="0" w:line="258" w:lineRule="auto"/>
        <w:tabs>
          <w:tab w:leader="none" w:pos="7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 trading related to Company securities, including puts, calls, or other derivative securities on an exchange, an over-the-counter market, or any other organized market;</w:t>
      </w:r>
    </w:p>
    <w:p>
      <w:pPr>
        <w:spacing w:after="0" w:line="158"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hedging transactions, such as prepaid variable forward contracts, equity swaps, collars, exchange funds, or other transactions that hedge or offset any decrease in market value of the Company’s equity securities; and</w:t>
      </w:r>
    </w:p>
    <w:p>
      <w:pPr>
        <w:spacing w:after="0" w:line="158"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pledging Company securities as collateral for a loan, purchasing Company securities on margin (i.e., borrowing money to purchase the securities), or placing Company securities in a margin account.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Post-Termination Transactions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If you possess material nonpublic information when your employment by or service to the Company terminates, the restrictions set forth in “Policy Statement” above continue to apply until that information has become public or is no longer material.</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CP-00002-000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22"/>
          <w:szCs w:val="22"/>
          <w:b w:val="1"/>
          <w:bCs w:val="1"/>
          <w:u w:val="single" w:color="auto"/>
          <w:color w:val="auto"/>
        </w:rPr>
        <w:t>Policy Administration</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Compliance Officers have the authority to interpret, amend and implement this policy. This authority includes interpreting or waiving the terms of the policy, to the extent consistent with its general purpose and applicable securities laws.</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Actions taken by the Company, the Compliance Officers, or any other LENSAR directors or employees do not constitute legal advice, nor do they insulate you from the consequences of noncompliance with this policy or with securities laws.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Certification of Compliance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may be asked periodically to certify your compliance with the terms and provisions of this policy.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Date: November 5, 2024</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CP-00002-000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333-272930) and Form S-8 (Nos. 333-249323, 333-263276, 333-270703, and 333-277665) of LENSAR Inc. of our report dated February 27, 2025 relating to the financial statements,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Nicholas T. Curtis, certify that:</w:t>
      </w:r>
    </w:p>
    <w:p>
      <w:pPr>
        <w:spacing w:after="0" w:line="117" w:lineRule="exact"/>
        <w:rPr>
          <w:sz w:val="20"/>
          <w:szCs w:val="20"/>
          <w:color w:val="auto"/>
        </w:rPr>
      </w:pPr>
    </w:p>
    <w:p>
      <w:pPr>
        <w:ind w:left="1480" w:hanging="454"/>
        <w:spacing w:after="0"/>
        <w:tabs>
          <w:tab w:leader="none" w:pos="14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LENSAR, Inc.;</w:t>
      </w:r>
    </w:p>
    <w:p>
      <w:pPr>
        <w:spacing w:after="0" w:line="117" w:lineRule="exact"/>
        <w:rPr>
          <w:rFonts w:ascii="Times New Roman" w:cs="Times New Roman" w:eastAsia="Times New Roman" w:hAnsi="Times New Roman"/>
          <w:sz w:val="18"/>
          <w:szCs w:val="18"/>
          <w:color w:val="auto"/>
        </w:rPr>
      </w:pPr>
    </w:p>
    <w:p>
      <w:pPr>
        <w:jc w:val="both"/>
        <w:ind w:right="180" w:firstLine="1026"/>
        <w:spacing w:after="0" w:line="266" w:lineRule="auto"/>
        <w:tabs>
          <w:tab w:leader="none" w:pos="1469"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140" w:firstLine="1026"/>
        <w:spacing w:after="0" w:line="282" w:lineRule="auto"/>
        <w:tabs>
          <w:tab w:leader="none" w:pos="1469"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1026"/>
        <w:spacing w:after="0" w:line="261" w:lineRule="auto"/>
        <w:tabs>
          <w:tab w:leader="none" w:pos="1469"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8"/>
          <w:szCs w:val="18"/>
          <w:color w:val="auto"/>
        </w:rPr>
      </w:pPr>
    </w:p>
    <w:p>
      <w:pPr>
        <w:ind w:firstLine="757"/>
        <w:spacing w:after="0" w:line="266" w:lineRule="auto"/>
        <w:tabs>
          <w:tab w:leader="none" w:pos="101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right="40" w:firstLine="757"/>
        <w:spacing w:after="0" w:line="266" w:lineRule="auto"/>
        <w:tabs>
          <w:tab w:leader="none" w:pos="101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right="520" w:firstLine="757"/>
        <w:spacing w:after="0" w:line="282" w:lineRule="auto"/>
        <w:tabs>
          <w:tab w:leader="none" w:pos="101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40" w:firstLine="757"/>
        <w:spacing w:after="0" w:line="266" w:lineRule="auto"/>
        <w:tabs>
          <w:tab w:leader="none" w:pos="101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0" w:firstLine="1026"/>
        <w:spacing w:after="0" w:line="282" w:lineRule="auto"/>
        <w:tabs>
          <w:tab w:leader="none" w:pos="1469"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740" w:firstLine="757"/>
        <w:spacing w:after="0" w:line="282" w:lineRule="auto"/>
        <w:tabs>
          <w:tab w:leader="none" w:pos="101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440" w:firstLine="757"/>
        <w:spacing w:after="0" w:line="282" w:lineRule="auto"/>
        <w:tabs>
          <w:tab w:leader="none" w:pos="101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400" w:val="left"/>
          <w:tab w:leader="none" w:pos="778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Nicholas T.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17145</wp:posOffset>
            </wp:positionV>
            <wp:extent cx="339471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2">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1"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Nicholas T. Curtis</w:t>
      </w:r>
    </w:p>
    <w:p>
      <w:pPr>
        <w:spacing w:after="0" w:line="9"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Thomas R. Staab, II, certify that:</w:t>
      </w:r>
    </w:p>
    <w:p>
      <w:pPr>
        <w:spacing w:after="0" w:line="117" w:lineRule="exact"/>
        <w:rPr>
          <w:sz w:val="20"/>
          <w:szCs w:val="20"/>
          <w:color w:val="auto"/>
        </w:rPr>
      </w:pPr>
    </w:p>
    <w:p>
      <w:pPr>
        <w:ind w:left="1480" w:hanging="454"/>
        <w:spacing w:after="0"/>
        <w:tabs>
          <w:tab w:leader="none" w:pos="14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LENSAR, Inc.;</w:t>
      </w:r>
    </w:p>
    <w:p>
      <w:pPr>
        <w:spacing w:after="0" w:line="117" w:lineRule="exact"/>
        <w:rPr>
          <w:rFonts w:ascii="Times New Roman" w:cs="Times New Roman" w:eastAsia="Times New Roman" w:hAnsi="Times New Roman"/>
          <w:sz w:val="18"/>
          <w:szCs w:val="18"/>
          <w:color w:val="auto"/>
        </w:rPr>
      </w:pPr>
    </w:p>
    <w:p>
      <w:pPr>
        <w:jc w:val="both"/>
        <w:ind w:right="180" w:firstLine="1026"/>
        <w:spacing w:after="0" w:line="266" w:lineRule="auto"/>
        <w:tabs>
          <w:tab w:leader="none" w:pos="146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right="140" w:firstLine="1026"/>
        <w:spacing w:after="0" w:line="282" w:lineRule="auto"/>
        <w:tabs>
          <w:tab w:leader="none" w:pos="146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1026"/>
        <w:spacing w:after="0" w:line="261" w:lineRule="auto"/>
        <w:tabs>
          <w:tab w:leader="none" w:pos="146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8"/>
          <w:szCs w:val="18"/>
          <w:color w:val="auto"/>
        </w:rPr>
      </w:pPr>
    </w:p>
    <w:p>
      <w:pPr>
        <w:ind w:firstLine="757"/>
        <w:spacing w:after="0" w:line="266" w:lineRule="auto"/>
        <w:tabs>
          <w:tab w:leader="none" w:pos="101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right="40" w:firstLine="757"/>
        <w:spacing w:after="0" w:line="266" w:lineRule="auto"/>
        <w:tabs>
          <w:tab w:leader="none" w:pos="101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right="520" w:firstLine="757"/>
        <w:spacing w:after="0" w:line="282" w:lineRule="auto"/>
        <w:tabs>
          <w:tab w:leader="none" w:pos="101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40" w:firstLine="757"/>
        <w:spacing w:after="0" w:line="266" w:lineRule="auto"/>
        <w:tabs>
          <w:tab w:leader="none" w:pos="101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0" w:firstLine="1026"/>
        <w:spacing w:after="0" w:line="282" w:lineRule="auto"/>
        <w:tabs>
          <w:tab w:leader="none" w:pos="146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740" w:firstLine="757"/>
        <w:spacing w:after="0" w:line="282" w:lineRule="auto"/>
        <w:tabs>
          <w:tab w:leader="none" w:pos="101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440" w:firstLine="757"/>
        <w:spacing w:after="0" w:line="282" w:lineRule="auto"/>
        <w:tabs>
          <w:tab w:leader="none" w:pos="101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400" w:val="left"/>
          <w:tab w:leader="none" w:pos="772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R. Staab,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17145</wp:posOffset>
            </wp:positionV>
            <wp:extent cx="339471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4">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1"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Thomas R. Staab, II</w:t>
      </w:r>
    </w:p>
    <w:p>
      <w:pPr>
        <w:spacing w:after="0" w:line="9"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LENSAR, Inc. (the “Company”) on Form 10-K for the fiscal year ended December 31, 2024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263"/>
        <w:spacing w:after="0"/>
        <w:tabs>
          <w:tab w:leader="none" w:pos="10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20"/>
        <w:spacing w:after="0"/>
        <w:tabs>
          <w:tab w:leader="none" w:pos="5420" w:val="left"/>
          <w:tab w:leader="none" w:pos="778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Nicholas T.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38582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6">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1"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Nicholas T. Curtis</w:t>
      </w:r>
    </w:p>
    <w:p>
      <w:pPr>
        <w:spacing w:after="0" w:line="9"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LENSAR, Inc. (the “Company”) on Form 10-K for the fiscal year ended December 31, 2024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263"/>
        <w:spacing w:after="0"/>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20"/>
        <w:spacing w:after="0"/>
        <w:tabs>
          <w:tab w:leader="none" w:pos="5420" w:val="left"/>
          <w:tab w:leader="none" w:pos="772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R. Staab,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38582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8">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1"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Thomas R. Staab, II</w:t>
      </w:r>
    </w:p>
    <w:p>
      <w:pPr>
        <w:spacing w:after="0" w:line="9"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7" w:name="page198"/>
    <w:bookmarkEnd w:id="19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lvl w:ilvl="1">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o"/>
      <w:numFmt w:val="bullet"/>
      <w:start w:val="1"/>
    </w:lvl>
  </w:abstractNum>
  <w:abstractNum w:abstractNumId="20">
    <w:nsid w:val="15014ACB"/>
    <w:multiLevelType w:val="hybridMultilevel"/>
    <w:lvl w:ilvl="0">
      <w:lvlJc w:val="left"/>
      <w:lvlText w:val="o"/>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1)"/>
      <w:numFmt w:val="lowerRoman"/>
      <w:start w:val="4"/>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
      <w:numFmt w:val="bullet"/>
      <w:start w:val="1"/>
    </w:lvl>
  </w:abstractNum>
  <w:abstractNum w:abstractNumId="49">
    <w:nsid w:val="100F59DC"/>
    <w:multiLevelType w:val="hybridMultilevel"/>
    <w:lvl w:ilvl="0">
      <w:lvlJc w:val="left"/>
      <w:lvlText w:val="•"/>
      <w:numFmt w:val="bullet"/>
      <w:start w:val="1"/>
    </w:lvl>
  </w:abstractNum>
  <w:abstractNum w:abstractNumId="50">
    <w:nsid w:val="7FB7E0AA"/>
    <w:multiLevelType w:val="hybridMultilevel"/>
    <w:lvl w:ilvl="0">
      <w:lvlJc w:val="left"/>
      <w:lvlText w:val="(%1)"/>
      <w:numFmt w:val="lowerLetter"/>
      <w:start w:val="1"/>
    </w:lvl>
  </w:abstractNum>
  <w:abstractNum w:abstractNumId="51">
    <w:nsid w:val="6EB5BD4"/>
    <w:multiLevelType w:val="hybridMultilevel"/>
    <w:lvl w:ilvl="0">
      <w:lvlJc w:val="left"/>
      <w:lvlText w:val="+"/>
      <w:numFmt w:val="bullet"/>
      <w:start w:val="1"/>
    </w:lvl>
  </w:abstractNum>
  <w:abstractNum w:abstractNumId="52">
    <w:nsid w:val="6F6DD9AC"/>
    <w:multiLevelType w:val="hybridMultilevel"/>
    <w:lvl w:ilvl="0">
      <w:lvlJc w:val="left"/>
      <w:lvlText w:val="•"/>
      <w:numFmt w:val="bullet"/>
      <w:start w:val="1"/>
    </w:lvl>
  </w:abstractNum>
  <w:abstractNum w:abstractNumId="53">
    <w:nsid w:val="94211F2"/>
    <w:multiLevelType w:val="hybridMultilevel"/>
    <w:lvl w:ilvl="0">
      <w:lvlJc w:val="left"/>
      <w:lvlText w:val="3"/>
      <w:numFmt w:val="bullet"/>
      <w:start w:val="1"/>
    </w:lvl>
  </w:abstractNum>
  <w:abstractNum w:abstractNumId="54">
    <w:nsid w:val="885E1B"/>
    <w:multiLevelType w:val="hybridMultilevel"/>
    <w:lvl w:ilvl="0">
      <w:lvlJc w:val="left"/>
      <w:lvlText w:val="1"/>
      <w:numFmt w:val="bullet"/>
      <w:start w:val="1"/>
    </w:lvl>
  </w:abstractNum>
  <w:abstractNum w:abstractNumId="55">
    <w:nsid w:val="76272110"/>
    <w:multiLevelType w:val="hybridMultilevel"/>
    <w:lvl w:ilvl="0">
      <w:lvlJc w:val="left"/>
      <w:lvlText w:val="$"/>
      <w:numFmt w:val="bullet"/>
      <w:start w:val="1"/>
    </w:lvl>
  </w:abstractNum>
  <w:abstractNum w:abstractNumId="56">
    <w:nsid w:val="4C04A8AF"/>
    <w:multiLevelType w:val="hybridMultilevel"/>
    <w:lvl w:ilvl="0">
      <w:lvlJc w:val="left"/>
      <w:lvlText w:val="$"/>
      <w:numFmt w:val="bullet"/>
      <w:start w:val="1"/>
    </w:lvl>
  </w:abstractNum>
  <w:abstractNum w:abstractNumId="57">
    <w:nsid w:val="1716703B"/>
    <w:multiLevelType w:val="hybridMultilevel"/>
    <w:lvl w:ilvl="0">
      <w:lvlJc w:val="left"/>
      <w:lvlText w:val="1"/>
      <w:numFmt w:val="bullet"/>
      <w:start w:val="1"/>
    </w:lvl>
  </w:abstractNum>
  <w:abstractNum w:abstractNumId="58">
    <w:nsid w:val="14E17E33"/>
    <w:multiLevelType w:val="hybridMultilevel"/>
    <w:lvl w:ilvl="0">
      <w:lvlJc w:val="left"/>
      <w:lvlText w:val="1"/>
      <w:numFmt w:val="bullet"/>
      <w:start w:val="1"/>
    </w:lvl>
  </w:abstractNum>
  <w:abstractNum w:abstractNumId="59">
    <w:nsid w:val="3222E7CD"/>
    <w:multiLevelType w:val="hybridMultilevel"/>
    <w:lvl w:ilvl="0">
      <w:lvlJc w:val="left"/>
      <w:lvlText w:val="2"/>
      <w:numFmt w:val="bullet"/>
      <w:start w:val="1"/>
    </w:lvl>
  </w:abstractNum>
  <w:abstractNum w:abstractNumId="60">
    <w:nsid w:val="74DE0EE3"/>
    <w:multiLevelType w:val="hybridMultilevel"/>
    <w:lvl w:ilvl="0">
      <w:lvlJc w:val="left"/>
      <w:lvlText w:val="3"/>
      <w:numFmt w:val="bullet"/>
      <w:start w:val="1"/>
    </w:lvl>
  </w:abstractNum>
  <w:abstractNum w:abstractNumId="61">
    <w:nsid w:val="68EBC550"/>
    <w:multiLevelType w:val="hybridMultilevel"/>
    <w:lvl w:ilvl="0">
      <w:lvlJc w:val="left"/>
      <w:lvlText w:val="4"/>
      <w:numFmt w:val="bullet"/>
      <w:start w:val="1"/>
    </w:lvl>
  </w:abstractNum>
  <w:abstractNum w:abstractNumId="62">
    <w:nsid w:val="2DF6D648"/>
    <w:multiLevelType w:val="hybridMultilevel"/>
    <w:lvl w:ilvl="0">
      <w:lvlJc w:val="left"/>
      <w:lvlText w:val="5"/>
      <w:numFmt w:val="bullet"/>
      <w:start w:val="1"/>
    </w:lvl>
  </w:abstractNum>
  <w:abstractNum w:abstractNumId="63">
    <w:nsid w:val="46B7D447"/>
    <w:multiLevelType w:val="hybridMultilevel"/>
    <w:lvl w:ilvl="0">
      <w:lvlJc w:val="left"/>
      <w:lvlText w:val="1"/>
      <w:numFmt w:val="bullet"/>
      <w:start w:val="1"/>
    </w:lvl>
  </w:abstractNum>
  <w:abstractNum w:abstractNumId="64">
    <w:nsid w:val="4A2AC315"/>
    <w:multiLevelType w:val="hybridMultilevel"/>
    <w:lvl w:ilvl="0">
      <w:lvlJc w:val="left"/>
      <w:lvlText w:val="(%1)"/>
      <w:numFmt w:val="lowerLetter"/>
      <w:start w:val="1"/>
    </w:lvl>
  </w:abstractNum>
  <w:abstractNum w:abstractNumId="65">
    <w:nsid w:val="39EE015C"/>
    <w:multiLevelType w:val="hybridMultilevel"/>
    <w:lvl w:ilvl="0">
      <w:lvlJc w:val="left"/>
      <w:lvlText w:val="(%1)"/>
      <w:numFmt w:val="lowerLetter"/>
      <w:start w:val="1"/>
    </w:lvl>
  </w:abstractNum>
  <w:abstractNum w:abstractNumId="66">
    <w:nsid w:val="57FC4FBB"/>
    <w:multiLevelType w:val="hybridMultilevel"/>
    <w:lvl w:ilvl="0">
      <w:lvlJc w:val="left"/>
      <w:lvlText w:val="(%1)"/>
      <w:numFmt w:val="lowerLetter"/>
      <w:start w:val="2"/>
    </w:lvl>
  </w:abstractNum>
  <w:abstractNum w:abstractNumId="67">
    <w:nsid w:val="CC1016F"/>
    <w:multiLevelType w:val="hybridMultilevel"/>
    <w:lvl w:ilvl="0">
      <w:lvlJc w:val="left"/>
      <w:lvlText w:val="(%1)"/>
      <w:numFmt w:val="lowerLetter"/>
      <w:start w:val="1"/>
    </w:lvl>
  </w:abstractNum>
  <w:abstractNum w:abstractNumId="68">
    <w:nsid w:val="43F18422"/>
    <w:multiLevelType w:val="hybridMultilevel"/>
    <w:lvl w:ilvl="0">
      <w:lvlJc w:val="left"/>
      <w:lvlText w:val="(%1)"/>
      <w:numFmt w:val="lowerLetter"/>
      <w:start w:val="2"/>
    </w:lvl>
  </w:abstractNum>
  <w:abstractNum w:abstractNumId="69">
    <w:nsid w:val="60EF0119"/>
    <w:multiLevelType w:val="hybridMultilevel"/>
    <w:lvl w:ilvl="0">
      <w:lvlJc w:val="left"/>
      <w:lvlText w:val="(%1)"/>
      <w:numFmt w:val="lowerLetter"/>
      <w:start w:val="1"/>
    </w:lvl>
  </w:abstractNum>
  <w:abstractNum w:abstractNumId="70">
    <w:nsid w:val="26F324BA"/>
    <w:multiLevelType w:val="hybridMultilevel"/>
    <w:lvl w:ilvl="0">
      <w:lvlJc w:val="left"/>
      <w:lvlText w:val="(%1)"/>
      <w:numFmt w:val="lowerLetter"/>
      <w:start w:val="1"/>
    </w:lvl>
  </w:abstractNum>
  <w:abstractNum w:abstractNumId="71">
    <w:nsid w:val="7F01579B"/>
    <w:multiLevelType w:val="hybridMultilevel"/>
    <w:lvl w:ilvl="0">
      <w:lvlJc w:val="left"/>
      <w:lvlText w:val="(%1)"/>
      <w:numFmt w:val="lowerLetter"/>
      <w:start w:val="1"/>
    </w:lvl>
  </w:abstractNum>
  <w:abstractNum w:abstractNumId="72">
    <w:nsid w:val="49DA307D"/>
    <w:multiLevelType w:val="hybridMultilevel"/>
    <w:lvl w:ilvl="0">
      <w:lvlJc w:val="left"/>
      <w:lvlText w:val="(%1)"/>
      <w:numFmt w:val="lowerLetter"/>
      <w:start w:val="1"/>
    </w:lvl>
  </w:abstractNum>
  <w:abstractNum w:abstractNumId="73">
    <w:nsid w:val="7055A5F5"/>
    <w:multiLevelType w:val="hybridMultilevel"/>
    <w:lvl w:ilvl="0">
      <w:lvlJc w:val="left"/>
      <w:lvlText w:val="(%1)"/>
      <w:numFmt w:val="lowerLetter"/>
      <w:start w:val="1"/>
    </w:lvl>
  </w:abstractNum>
  <w:abstractNum w:abstractNumId="74">
    <w:nsid w:val="5FB8370B"/>
    <w:multiLevelType w:val="hybridMultilevel"/>
    <w:lvl w:ilvl="0">
      <w:lvlJc w:val="left"/>
      <w:lvlText w:val="%1"/>
      <w:numFmt w:val="decimal"/>
      <w:start w:val="1"/>
    </w:lvl>
    <w:lvl w:ilvl="1">
      <w:lvlJc w:val="left"/>
      <w:lvlText w:val="(%2)"/>
      <w:numFmt w:val="lowerLetter"/>
      <w:start w:val="1"/>
    </w:lvl>
  </w:abstractNum>
  <w:abstractNum w:abstractNumId="75">
    <w:nsid w:val="50801EE1"/>
    <w:multiLevelType w:val="hybridMultilevel"/>
    <w:lvl w:ilvl="0">
      <w:lvlJc w:val="left"/>
      <w:lvlText w:val="(%1)"/>
      <w:numFmt w:val="decimal"/>
      <w:start w:val="30"/>
    </w:lvl>
    <w:lvl w:ilvl="1">
      <w:lvlJc w:val="left"/>
      <w:lvlText w:val="%2"/>
      <w:numFmt w:val="lowerLetter"/>
      <w:start w:val="1"/>
    </w:lvl>
  </w:abstractNum>
  <w:abstractNum w:abstractNumId="76">
    <w:nsid w:val="488AC1A"/>
    <w:multiLevelType w:val="hybridMultilevel"/>
    <w:lvl w:ilvl="0">
      <w:lvlJc w:val="left"/>
      <w:lvlText w:val="(%1)"/>
      <w:numFmt w:val="decimal"/>
      <w:start w:val="30"/>
    </w:lvl>
    <w:lvl w:ilvl="1">
      <w:lvlJc w:val="left"/>
      <w:lvlText w:val="%2"/>
      <w:numFmt w:val="lowerLetter"/>
      <w:start w:val="1"/>
    </w:lvl>
  </w:abstractNum>
  <w:abstractNum w:abstractNumId="77">
    <w:nsid w:val="5FB8011C"/>
    <w:multiLevelType w:val="hybridMultilevel"/>
    <w:lvl w:ilvl="0">
      <w:lvlJc w:val="left"/>
      <w:lvlText w:val="(%1)"/>
      <w:numFmt w:val="lowerLetter"/>
      <w:start w:val="1"/>
    </w:lvl>
  </w:abstractNum>
  <w:abstractNum w:abstractNumId="78">
    <w:nsid w:val="6AA78F7F"/>
    <w:multiLevelType w:val="hybridMultilevel"/>
    <w:lvl w:ilvl="0">
      <w:lvlJc w:val="left"/>
      <w:lvlText w:val="(%1)"/>
      <w:numFmt w:val="lowerLetter"/>
      <w:start w:val="6"/>
    </w:lvl>
  </w:abstractNum>
  <w:abstractNum w:abstractNumId="79">
    <w:nsid w:val="7672BD23"/>
    <w:multiLevelType w:val="hybridMultilevel"/>
    <w:lvl w:ilvl="0">
      <w:lvlJc w:val="left"/>
      <w:lvlText w:val="%1."/>
      <w:numFmt w:val="upperLetter"/>
      <w:start w:val="1"/>
    </w:lvl>
  </w:abstractNum>
  <w:abstractNum w:abstractNumId="80">
    <w:nsid w:val="6FC75AF8"/>
    <w:multiLevelType w:val="hybridMultilevel"/>
    <w:lvl w:ilvl="0">
      <w:lvlJc w:val="left"/>
      <w:lvlText w:val="%1"/>
      <w:numFmt w:val="decimal"/>
      <w:start w:val="1"/>
    </w:lvl>
    <w:lvl w:ilvl="1">
      <w:lvlJc w:val="left"/>
      <w:lvlText w:val="%2."/>
      <w:numFmt w:val="decimal"/>
      <w:start w:val="1"/>
    </w:lvl>
  </w:abstractNum>
  <w:abstractNum w:abstractNumId="81">
    <w:nsid w:val="6A5F7029"/>
    <w:multiLevelType w:val="hybridMultilevel"/>
    <w:lvl w:ilvl="0">
      <w:lvlJc w:val="left"/>
      <w:lvlText w:val="(%1)"/>
      <w:numFmt w:val="decimal"/>
      <w:start w:val="63"/>
    </w:lvl>
    <w:lvl w:ilvl="1">
      <w:lvlJc w:val="left"/>
      <w:lvlText w:val="%2."/>
      <w:numFmt w:val="decimal"/>
      <w:start w:val="2"/>
    </w:lvl>
  </w:abstractNum>
  <w:abstractNum w:abstractNumId="82">
    <w:nsid w:val="7D5E18F8"/>
    <w:multiLevelType w:val="hybridMultilevel"/>
    <w:lvl w:ilvl="0">
      <w:lvlJc w:val="left"/>
      <w:lvlText w:val="%1."/>
      <w:numFmt w:val="decimal"/>
      <w:start w:val="3"/>
    </w:lvl>
  </w:abstractNum>
  <w:abstractNum w:abstractNumId="83">
    <w:nsid w:val="5F3534A4"/>
    <w:multiLevelType w:val="hybridMultilevel"/>
    <w:lvl w:ilvl="0">
      <w:lvlJc w:val="left"/>
      <w:lvlText w:val="%1."/>
      <w:numFmt w:val="decimal"/>
      <w:start w:val="4"/>
    </w:lvl>
  </w:abstractNum>
  <w:abstractNum w:abstractNumId="84">
    <w:nsid w:val="73A1821B"/>
    <w:multiLevelType w:val="hybridMultilevel"/>
    <w:lvl w:ilvl="0">
      <w:lvlJc w:val="left"/>
      <w:lvlText w:val="%1."/>
      <w:numFmt w:val="decimal"/>
      <w:start w:val="6"/>
    </w:lvl>
    <w:lvl w:ilvl="1">
      <w:lvlJc w:val="left"/>
      <w:lvlText w:val="%2."/>
      <w:numFmt w:val="decimal"/>
      <w:start w:val="1"/>
    </w:lvl>
  </w:abstractNum>
  <w:abstractNum w:abstractNumId="85">
    <w:nsid w:val="7DE67713"/>
    <w:multiLevelType w:val="hybridMultilevel"/>
    <w:lvl w:ilvl="0">
      <w:lvlJc w:val="left"/>
      <w:lvlText w:val="%1."/>
      <w:numFmt w:val="decimal"/>
      <w:start w:val="8"/>
    </w:lvl>
    <w:lvl w:ilvl="1">
      <w:lvlJc w:val="left"/>
      <w:lvlText w:val="%2."/>
      <w:numFmt w:val="decimal"/>
      <w:start w:val="5"/>
    </w:lvl>
  </w:abstractNum>
  <w:abstractNum w:abstractNumId="86">
    <w:nsid w:val="555C55B5"/>
    <w:multiLevelType w:val="hybridMultilevel"/>
    <w:lvl w:ilvl="0">
      <w:lvlJc w:val="left"/>
      <w:lvlText w:val="%1"/>
      <w:numFmt w:val="decimal"/>
      <w:start w:val="1"/>
    </w:lvl>
    <w:lvl w:ilvl="1">
      <w:lvlJc w:val="left"/>
      <w:lvlText w:val="%2."/>
      <w:numFmt w:val="decimal"/>
      <w:start w:val="7"/>
    </w:lvl>
  </w:abstractNum>
  <w:abstractNum w:abstractNumId="87">
    <w:nsid w:val="3FA62ACA"/>
    <w:multiLevelType w:val="hybridMultilevel"/>
    <w:lvl w:ilvl="0">
      <w:lvlJc w:val="left"/>
      <w:lvlText w:val="%1."/>
      <w:numFmt w:val="decimal"/>
      <w:start w:val="9"/>
    </w:lvl>
    <w:lvl w:ilvl="1">
      <w:lvlJc w:val="left"/>
      <w:lvlText w:val="%2"/>
      <w:numFmt w:val="decimal"/>
      <w:start w:val="1"/>
    </w:lvl>
  </w:abstractNum>
  <w:abstractNum w:abstractNumId="88">
    <w:nsid w:val="14FCE74E"/>
    <w:multiLevelType w:val="hybridMultilevel"/>
    <w:lvl w:ilvl="0">
      <w:lvlJc w:val="left"/>
      <w:lvlText w:val="%1."/>
      <w:numFmt w:val="upperLetter"/>
      <w:start w:val="1"/>
    </w:lvl>
  </w:abstractNum>
  <w:abstractNum w:abstractNumId="89">
    <w:nsid w:val="6A3DD3E8"/>
    <w:multiLevelType w:val="hybridMultilevel"/>
    <w:lvl w:ilvl="0">
      <w:lvlJc w:val="left"/>
      <w:lvlText w:val="%1."/>
      <w:numFmt w:val="decimal"/>
      <w:start w:val="12"/>
    </w:lvl>
  </w:abstractNum>
  <w:abstractNum w:abstractNumId="90">
    <w:nsid w:val="71C91298"/>
    <w:multiLevelType w:val="hybridMultilevel"/>
    <w:lvl w:ilvl="0">
      <w:lvlJc w:val="left"/>
      <w:lvlText w:val="%1."/>
      <w:numFmt w:val="upperLetter"/>
      <w:start w:val="1"/>
    </w:lvl>
  </w:abstractNum>
  <w:abstractNum w:abstractNumId="91">
    <w:nsid w:val="9DAF632"/>
    <w:multiLevelType w:val="hybridMultilevel"/>
    <w:lvl w:ilvl="0">
      <w:lvlJc w:val="left"/>
      <w:lvlText w:val="%1."/>
      <w:numFmt w:val="decimal"/>
      <w:start w:val="1"/>
    </w:lvl>
  </w:abstractNum>
  <w:abstractNum w:abstractNumId="92">
    <w:nsid w:val="53299938"/>
    <w:multiLevelType w:val="hybridMultilevel"/>
    <w:lvl w:ilvl="0">
      <w:lvlJc w:val="left"/>
      <w:lvlText w:val="(%1)"/>
      <w:numFmt w:val="lowerLetter"/>
      <w:start w:val="9"/>
    </w:lvl>
    <w:lvl w:ilvl="1">
      <w:lvlJc w:val="left"/>
      <w:lvlText w:val="%2."/>
      <w:numFmt w:val="decimal"/>
      <w:start w:val="3"/>
    </w:lvl>
    <w:lvl w:ilvl="2">
      <w:lvlJc w:val="left"/>
      <w:lvlText w:val="(%3)"/>
      <w:numFmt w:val="lowerLetter"/>
      <w:start w:val="1"/>
    </w:lvl>
  </w:abstractNum>
  <w:abstractNum w:abstractNumId="93">
    <w:nsid w:val="1FBFE8E0"/>
    <w:multiLevelType w:val="hybridMultilevel"/>
    <w:lvl w:ilvl="0">
      <w:lvlJc w:val="left"/>
      <w:lvlText w:val="(%1)"/>
      <w:numFmt w:val="lowerLetter"/>
      <w:start w:val="2"/>
    </w:lvl>
  </w:abstractNum>
  <w:abstractNum w:abstractNumId="94">
    <w:nsid w:val="5092CA79"/>
    <w:multiLevelType w:val="hybridMultilevel"/>
    <w:lvl w:ilvl="0">
      <w:lvlJc w:val="left"/>
      <w:lvlText w:val="(%1)"/>
      <w:numFmt w:val="upperLetter"/>
      <w:start w:val="1"/>
    </w:lvl>
  </w:abstractNum>
  <w:abstractNum w:abstractNumId="95">
    <w:nsid w:val="1D545C4D"/>
    <w:multiLevelType w:val="hybridMultilevel"/>
    <w:lvl w:ilvl="0">
      <w:lvlJc w:val="left"/>
      <w:lvlText w:val="%1."/>
      <w:numFmt w:val="decimal"/>
      <w:start w:val="7"/>
    </w:lvl>
    <w:lvl w:ilvl="1">
      <w:lvlJc w:val="left"/>
      <w:lvlText w:val="(%2)"/>
      <w:numFmt w:val="lowerLetter"/>
      <w:start w:val="1"/>
    </w:lvl>
  </w:abstractNum>
  <w:abstractNum w:abstractNumId="96">
    <w:nsid w:val="59ADEA3D"/>
    <w:multiLevelType w:val="hybridMultilevel"/>
    <w:lvl w:ilvl="0">
      <w:lvlJc w:val="left"/>
      <w:lvlText w:val="%1."/>
      <w:numFmt w:val="decimal"/>
      <w:start w:val="10"/>
    </w:lvl>
  </w:abstractNum>
  <w:abstractNum w:abstractNumId="97">
    <w:nsid w:val="288F1A34"/>
    <w:multiLevelType w:val="hybridMultilevel"/>
    <w:lvl w:ilvl="0">
      <w:lvlJc w:val="left"/>
      <w:lvlText w:val="%1."/>
      <w:numFmt w:val="decimal"/>
      <w:start w:val="1"/>
    </w:lvl>
  </w:abstractNum>
  <w:abstractNum w:abstractNumId="98">
    <w:nsid w:val="2A155DBC"/>
    <w:multiLevelType w:val="hybridMultilevel"/>
    <w:lvl w:ilvl="0">
      <w:lvlJc w:val="left"/>
      <w:lvlText w:val="*"/>
      <w:numFmt w:val="bullet"/>
      <w:start w:val="1"/>
    </w:lvl>
  </w:abstractNum>
  <w:abstractNum w:abstractNumId="99">
    <w:nsid w:val="1D9F6E5F"/>
    <w:multiLevelType w:val="hybridMultilevel"/>
    <w:lvl w:ilvl="0">
      <w:lvlJc w:val="left"/>
      <w:lvlText w:val=":"/>
      <w:numFmt w:val="bullet"/>
      <w:start w:val="1"/>
    </w:lvl>
  </w:abstractNum>
  <w:abstractNum w:abstractNumId="100">
    <w:nsid w:val="97E1B4E"/>
    <w:multiLevelType w:val="hybridMultilevel"/>
    <w:lvl w:ilvl="0">
      <w:lvlJc w:val="left"/>
      <w:lvlText w:val=":"/>
      <w:numFmt w:val="bullet"/>
      <w:start w:val="1"/>
    </w:lvl>
  </w:abstractNum>
  <w:abstractNum w:abstractNumId="101">
    <w:nsid w:val="51088277"/>
    <w:multiLevelType w:val="hybridMultilevel"/>
    <w:lvl w:ilvl="0">
      <w:lvlJc w:val="left"/>
      <w:lvlText w:val="%1."/>
      <w:numFmt w:val="upperLetter"/>
      <w:start w:val="1"/>
    </w:lvl>
  </w:abstractNum>
  <w:abstractNum w:abstractNumId="102">
    <w:nsid w:val="1CA0C5FA"/>
    <w:multiLevelType w:val="hybridMultilevel"/>
    <w:lvl w:ilvl="0">
      <w:lvlJc w:val="left"/>
      <w:lvlText w:val="·"/>
      <w:numFmt w:val="bullet"/>
      <w:start w:val="1"/>
    </w:lvl>
  </w:abstractNum>
  <w:abstractNum w:abstractNumId="103">
    <w:nsid w:val="53584BCB"/>
    <w:multiLevelType w:val="hybridMultilevel"/>
    <w:lvl w:ilvl="0">
      <w:lvlJc w:val="left"/>
      <w:lvlText w:val="·"/>
      <w:numFmt w:val="bullet"/>
      <w:start w:val="1"/>
    </w:lvl>
  </w:abstractNum>
  <w:abstractNum w:abstractNumId="104">
    <w:nsid w:val="415E286C"/>
    <w:multiLevelType w:val="hybridMultilevel"/>
    <w:lvl w:ilvl="0">
      <w:lvlJc w:val="left"/>
      <w:lvlText w:val="·"/>
      <w:numFmt w:val="bullet"/>
      <w:start w:val="1"/>
    </w:lvl>
  </w:abstractNum>
  <w:abstractNum w:abstractNumId="105">
    <w:nsid w:val="7C58FD05"/>
    <w:multiLevelType w:val="hybridMultilevel"/>
    <w:lvl w:ilvl="0">
      <w:lvlJc w:val="left"/>
      <w:lvlText w:val="·"/>
      <w:numFmt w:val="bullet"/>
      <w:start w:val="1"/>
    </w:lvl>
  </w:abstractNum>
  <w:abstractNum w:abstractNumId="106">
    <w:nsid w:val="23D86AAC"/>
    <w:multiLevelType w:val="hybridMultilevel"/>
    <w:lvl w:ilvl="0">
      <w:lvlJc w:val="left"/>
      <w:lvlText w:val="·"/>
      <w:numFmt w:val="bullet"/>
      <w:start w:val="1"/>
    </w:lvl>
  </w:abstractNum>
  <w:abstractNum w:abstractNumId="107">
    <w:nsid w:val="45E6D486"/>
    <w:multiLevelType w:val="hybridMultilevel"/>
    <w:lvl w:ilvl="0">
      <w:lvlJc w:val="left"/>
      <w:lvlText w:val="·"/>
      <w:numFmt w:val="bullet"/>
      <w:start w:val="1"/>
    </w:lvl>
  </w:abstractNum>
  <w:abstractNum w:abstractNumId="108">
    <w:nsid w:val="5C10FE21"/>
    <w:multiLevelType w:val="hybridMultilevel"/>
    <w:lvl w:ilvl="0">
      <w:lvlJc w:val="left"/>
      <w:lvlText w:val="·"/>
      <w:numFmt w:val="bullet"/>
      <w:start w:val="1"/>
    </w:lvl>
  </w:abstractNum>
  <w:abstractNum w:abstractNumId="109">
    <w:nsid w:val="E7FFA2B"/>
    <w:multiLevelType w:val="hybridMultilevel"/>
    <w:lvl w:ilvl="0">
      <w:lvlJc w:val="left"/>
      <w:lvlText w:val="·"/>
      <w:numFmt w:val="bullet"/>
      <w:start w:val="1"/>
    </w:lvl>
  </w:abstractNum>
  <w:abstractNum w:abstractNumId="110">
    <w:nsid w:val="3C5991AA"/>
    <w:multiLevelType w:val="hybridMultilevel"/>
    <w:lvl w:ilvl="0">
      <w:lvlJc w:val="left"/>
      <w:lvlText w:val="·"/>
      <w:numFmt w:val="bullet"/>
      <w:start w:val="1"/>
    </w:lvl>
  </w:abstractNum>
  <w:abstractNum w:abstractNumId="111">
    <w:nsid w:val="4BD8591A"/>
    <w:multiLevelType w:val="hybridMultilevel"/>
    <w:lvl w:ilvl="0">
      <w:lvlJc w:val="left"/>
      <w:lvlText w:val="·"/>
      <w:numFmt w:val="bullet"/>
      <w:start w:val="1"/>
    </w:lvl>
  </w:abstractNum>
  <w:abstractNum w:abstractNumId="112">
    <w:nsid w:val="78DF6A55"/>
    <w:multiLevelType w:val="hybridMultilevel"/>
    <w:lvl w:ilvl="0">
      <w:lvlJc w:val="left"/>
      <w:lvlText w:val="%1"/>
      <w:numFmt w:val="lowerLetter"/>
      <w:start w:val="1"/>
    </w:lvl>
    <w:lvl w:ilvl="1">
      <w:lvlJc w:val="left"/>
      <w:lvlText w:val="%2."/>
      <w:numFmt w:val="decimal"/>
      <w:start w:val="1"/>
    </w:lvl>
  </w:abstractNum>
  <w:abstractNum w:abstractNumId="113">
    <w:nsid w:val="39B7AAA2"/>
    <w:multiLevelType w:val="hybridMultilevel"/>
    <w:lvl w:ilvl="0">
      <w:lvlJc w:val="left"/>
      <w:lvlText w:val="(%1)"/>
      <w:numFmt w:val="lowerLetter"/>
      <w:start w:val="1"/>
    </w:lvl>
    <w:lvl w:ilvl="1">
      <w:lvlJc w:val="left"/>
      <w:lvlText w:val="%2."/>
      <w:numFmt w:val="decimal"/>
      <w:start w:val="5"/>
    </w:lvl>
  </w:abstractNum>
  <w:abstractNum w:abstractNumId="114">
    <w:nsid w:val="2B0D8DBE"/>
    <w:multiLevelType w:val="hybridMultilevel"/>
    <w:lvl w:ilvl="0">
      <w:lvlJc w:val="left"/>
      <w:lvlText w:val="%1"/>
      <w:numFmt w:val="lowerLetter"/>
      <w:start w:val="1"/>
    </w:lvl>
    <w:lvl w:ilvl="1">
      <w:lvlJc w:val="left"/>
      <w:lvlText w:val="%2."/>
      <w:numFmt w:val="decimal"/>
      <w:start w:val="1"/>
    </w:lvl>
  </w:abstractNum>
  <w:abstractNum w:abstractNumId="115">
    <w:nsid w:val="6C80EC70"/>
    <w:multiLevelType w:val="hybridMultilevel"/>
    <w:lvl w:ilvl="0">
      <w:lvlJc w:val="left"/>
      <w:lvlText w:val="(%1)"/>
      <w:numFmt w:val="lowerLetter"/>
      <w:start w:val="1"/>
    </w:lvl>
    <w:lvl w:ilvl="1">
      <w:lvlJc w:val="left"/>
      <w:lvlText w:val="%2."/>
      <w:numFmt w:val="decimal"/>
      <w:start w:val="5"/>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182" Type="http://schemas.openxmlformats.org/officeDocument/2006/relationships/image" Target="media/image145.png"/><Relationship Id="rId183" Type="http://schemas.openxmlformats.org/officeDocument/2006/relationships/image" Target="media/image146.png"/><Relationship Id="rId184" Type="http://schemas.openxmlformats.org/officeDocument/2006/relationships/image" Target="media/image147.png"/><Relationship Id="rId185" Type="http://schemas.openxmlformats.org/officeDocument/2006/relationships/image" Target="media/image148.png"/><Relationship Id="rId186" Type="http://schemas.openxmlformats.org/officeDocument/2006/relationships/image" Target="media/image149.png"/><Relationship Id="rId187" Type="http://schemas.openxmlformats.org/officeDocument/2006/relationships/image" Target="media/image150.png"/><Relationship Id="rId188" Type="http://schemas.openxmlformats.org/officeDocument/2006/relationships/image" Target="media/image151.png"/><Relationship Id="rId189" Type="http://schemas.openxmlformats.org/officeDocument/2006/relationships/image" Target="media/image152.png"/><Relationship Id="rId190" Type="http://schemas.openxmlformats.org/officeDocument/2006/relationships/image" Target="media/image153.png"/><Relationship Id="rId191" Type="http://schemas.openxmlformats.org/officeDocument/2006/relationships/image" Target="media/image154.png"/><Relationship Id="rId192" Type="http://schemas.openxmlformats.org/officeDocument/2006/relationships/image" Target="media/image155.png"/><Relationship Id="rId193" Type="http://schemas.openxmlformats.org/officeDocument/2006/relationships/image" Target="media/image156.png"/><Relationship Id="rId194" Type="http://schemas.openxmlformats.org/officeDocument/2006/relationships/image" Target="media/image157.png"/><Relationship Id="rId195" Type="http://schemas.openxmlformats.org/officeDocument/2006/relationships/image" Target="media/image158.png"/><Relationship Id="rId196" Type="http://schemas.openxmlformats.org/officeDocument/2006/relationships/image" Target="media/image159.png"/><Relationship Id="rId197" Type="http://schemas.openxmlformats.org/officeDocument/2006/relationships/image" Target="media/image160.png"/><Relationship Id="rId198" Type="http://schemas.openxmlformats.org/officeDocument/2006/relationships/image" Target="media/image161.png"/><Relationship Id="rId199" Type="http://schemas.openxmlformats.org/officeDocument/2006/relationships/image" Target="media/image162.png"/><Relationship Id="rId200" Type="http://schemas.openxmlformats.org/officeDocument/2006/relationships/image" Target="media/image163.png"/><Relationship Id="rId201" Type="http://schemas.openxmlformats.org/officeDocument/2006/relationships/image" Target="media/image164.png"/><Relationship Id="rId202" Type="http://schemas.openxmlformats.org/officeDocument/2006/relationships/image" Target="media/image165.png"/><Relationship Id="rId203" Type="http://schemas.openxmlformats.org/officeDocument/2006/relationships/image" Target="media/image166.png"/><Relationship Id="rId204" Type="http://schemas.openxmlformats.org/officeDocument/2006/relationships/image" Target="media/image167.png"/><Relationship Id="rId205" Type="http://schemas.openxmlformats.org/officeDocument/2006/relationships/image" Target="media/image168.png"/><Relationship Id="rId206" Type="http://schemas.openxmlformats.org/officeDocument/2006/relationships/image" Target="media/image169.png"/><Relationship Id="rId207" Type="http://schemas.openxmlformats.org/officeDocument/2006/relationships/image" Target="media/image170.png"/><Relationship Id="rId208" Type="http://schemas.openxmlformats.org/officeDocument/2006/relationships/image" Target="media/image171.png"/><Relationship Id="rId209" Type="http://schemas.openxmlformats.org/officeDocument/2006/relationships/image" Target="media/image172.png"/><Relationship Id="rId210" Type="http://schemas.openxmlformats.org/officeDocument/2006/relationships/image" Target="media/image173.png"/><Relationship Id="rId211" Type="http://schemas.openxmlformats.org/officeDocument/2006/relationships/image" Target="media/image174.png"/><Relationship Id="rId212" Type="http://schemas.openxmlformats.org/officeDocument/2006/relationships/image" Target="media/image175.png"/><Relationship Id="rId213" Type="http://schemas.openxmlformats.org/officeDocument/2006/relationships/image" Target="media/image176.png"/><Relationship Id="rId214" Type="http://schemas.openxmlformats.org/officeDocument/2006/relationships/image" Target="media/image177.png"/><Relationship Id="rId215" Type="http://schemas.openxmlformats.org/officeDocument/2006/relationships/image" Target="media/image178.png"/><Relationship Id="rId216" Type="http://schemas.openxmlformats.org/officeDocument/2006/relationships/image" Target="media/image179.png"/><Relationship Id="rId217" Type="http://schemas.openxmlformats.org/officeDocument/2006/relationships/image" Target="media/image180.png"/><Relationship Id="rId218" Type="http://schemas.openxmlformats.org/officeDocument/2006/relationships/image" Target="media/image181.png"/><Relationship Id="rId219" Type="http://schemas.openxmlformats.org/officeDocument/2006/relationships/image" Target="media/image182.png"/><Relationship Id="rId220" Type="http://schemas.openxmlformats.org/officeDocument/2006/relationships/image" Target="media/image183.png"/><Relationship Id="rId221" Type="http://schemas.openxmlformats.org/officeDocument/2006/relationships/image" Target="media/image184.png"/><Relationship Id="rId222" Type="http://schemas.openxmlformats.org/officeDocument/2006/relationships/image" Target="media/image185.png"/><Relationship Id="rId223" Type="http://schemas.openxmlformats.org/officeDocument/2006/relationships/image" Target="media/image186.png"/><Relationship Id="rId224" Type="http://schemas.openxmlformats.org/officeDocument/2006/relationships/image" Target="media/image187.png"/><Relationship Id="rId225" Type="http://schemas.openxmlformats.org/officeDocument/2006/relationships/image" Target="media/image188.png"/><Relationship Id="rId226" Type="http://schemas.openxmlformats.org/officeDocument/2006/relationships/image" Target="media/image189.png"/><Relationship Id="rId227" Type="http://schemas.openxmlformats.org/officeDocument/2006/relationships/image" Target="media/image190.png"/><Relationship Id="rId228" Type="http://schemas.openxmlformats.org/officeDocument/2006/relationships/image" Target="media/image191.png"/><Relationship Id="rId229" Type="http://schemas.openxmlformats.org/officeDocument/2006/relationships/image" Target="media/image192.png"/><Relationship Id="rId230" Type="http://schemas.openxmlformats.org/officeDocument/2006/relationships/image" Target="media/image193.png"/><Relationship Id="rId231" Type="http://schemas.openxmlformats.org/officeDocument/2006/relationships/image" Target="media/image194.png"/><Relationship Id="rId232" Type="http://schemas.openxmlformats.org/officeDocument/2006/relationships/image" Target="media/image195.png"/><Relationship Id="rId233" Type="http://schemas.openxmlformats.org/officeDocument/2006/relationships/image" Target="media/image196.png"/><Relationship Id="rId234" Type="http://schemas.openxmlformats.org/officeDocument/2006/relationships/image" Target="media/image197.png"/><Relationship Id="rId235" Type="http://schemas.openxmlformats.org/officeDocument/2006/relationships/image" Target="media/image198.png"/><Relationship Id="rId236" Type="http://schemas.openxmlformats.org/officeDocument/2006/relationships/image" Target="media/image199.png"/><Relationship Id="rId237" Type="http://schemas.openxmlformats.org/officeDocument/2006/relationships/image" Target="media/image200.png"/><Relationship Id="rId238" Type="http://schemas.openxmlformats.org/officeDocument/2006/relationships/image" Target="media/image201.png"/><Relationship Id="rId239" Type="http://schemas.openxmlformats.org/officeDocument/2006/relationships/image" Target="media/image202.png"/><Relationship Id="rId240" Type="http://schemas.openxmlformats.org/officeDocument/2006/relationships/image" Target="media/image203.png"/><Relationship Id="rId241" Type="http://schemas.openxmlformats.org/officeDocument/2006/relationships/image" Target="media/image204.png"/><Relationship Id="rId242" Type="http://schemas.openxmlformats.org/officeDocument/2006/relationships/image" Target="media/image205.png"/><Relationship Id="rId243" Type="http://schemas.openxmlformats.org/officeDocument/2006/relationships/image" Target="media/image206.png"/><Relationship Id="rId244" Type="http://schemas.openxmlformats.org/officeDocument/2006/relationships/image" Target="media/image207.png"/><Relationship Id="rId245" Type="http://schemas.openxmlformats.org/officeDocument/2006/relationships/image" Target="media/image208.png"/><Relationship Id="rId246" Type="http://schemas.openxmlformats.org/officeDocument/2006/relationships/image" Target="media/image209.png"/><Relationship Id="rId247" Type="http://schemas.openxmlformats.org/officeDocument/2006/relationships/image" Target="media/image210.png"/><Relationship Id="rId248" Type="http://schemas.openxmlformats.org/officeDocument/2006/relationships/image" Target="media/image211.png"/><Relationship Id="rId249" Type="http://schemas.openxmlformats.org/officeDocument/2006/relationships/image" Target="media/image212.png"/><Relationship Id="rId250" Type="http://schemas.openxmlformats.org/officeDocument/2006/relationships/image" Target="media/image213.png"/><Relationship Id="rId251" Type="http://schemas.openxmlformats.org/officeDocument/2006/relationships/image" Target="media/image214.png"/><Relationship Id="rId252" Type="http://schemas.openxmlformats.org/officeDocument/2006/relationships/image" Target="media/image215.png"/><Relationship Id="rId253" Type="http://schemas.openxmlformats.org/officeDocument/2006/relationships/image" Target="media/image216.png"/><Relationship Id="rId254" Type="http://schemas.openxmlformats.org/officeDocument/2006/relationships/image" Target="media/image217.png"/><Relationship Id="rId255" Type="http://schemas.openxmlformats.org/officeDocument/2006/relationships/image" Target="media/image218.png"/><Relationship Id="rId256" Type="http://schemas.openxmlformats.org/officeDocument/2006/relationships/image" Target="media/image219.png"/><Relationship Id="rId257" Type="http://schemas.openxmlformats.org/officeDocument/2006/relationships/image" Target="media/image220.png"/><Relationship Id="rId258" Type="http://schemas.openxmlformats.org/officeDocument/2006/relationships/image" Target="media/image221.png"/><Relationship Id="rId259" Type="http://schemas.openxmlformats.org/officeDocument/2006/relationships/image" Target="media/image222.png"/><Relationship Id="rId260" Type="http://schemas.openxmlformats.org/officeDocument/2006/relationships/image" Target="media/image223.png"/><Relationship Id="rId261" Type="http://schemas.openxmlformats.org/officeDocument/2006/relationships/image" Target="media/image224.png"/><Relationship Id="rId262" Type="http://schemas.openxmlformats.org/officeDocument/2006/relationships/image" Target="media/image225.png"/><Relationship Id="rId263" Type="http://schemas.openxmlformats.org/officeDocument/2006/relationships/image" Target="media/image226.png"/><Relationship Id="rId264" Type="http://schemas.openxmlformats.org/officeDocument/2006/relationships/image" Target="media/image227.png"/><Relationship Id="rId265" Type="http://schemas.openxmlformats.org/officeDocument/2006/relationships/image" Target="media/image228.png"/><Relationship Id="rId266" Type="http://schemas.openxmlformats.org/officeDocument/2006/relationships/image" Target="media/image229.png"/><Relationship Id="rId267" Type="http://schemas.openxmlformats.org/officeDocument/2006/relationships/image" Target="media/image230.png"/><Relationship Id="rId268" Type="http://schemas.openxmlformats.org/officeDocument/2006/relationships/image" Target="media/image231.png"/><Relationship Id="rId269" Type="http://schemas.openxmlformats.org/officeDocument/2006/relationships/image" Target="media/image232.png"/><Relationship Id="rId270" Type="http://schemas.openxmlformats.org/officeDocument/2006/relationships/image" Target="media/image233.png"/><Relationship Id="rId271" Type="http://schemas.openxmlformats.org/officeDocument/2006/relationships/image" Target="media/image234.png"/><Relationship Id="rId272" Type="http://schemas.openxmlformats.org/officeDocument/2006/relationships/image" Target="media/image235.png"/><Relationship Id="rId273" Type="http://schemas.openxmlformats.org/officeDocument/2006/relationships/image" Target="media/image236.png"/><Relationship Id="rId274" Type="http://schemas.openxmlformats.org/officeDocument/2006/relationships/image" Target="media/image237.png"/><Relationship Id="rId275" Type="http://schemas.openxmlformats.org/officeDocument/2006/relationships/image" Target="media/image238.png"/><Relationship Id="rId276" Type="http://schemas.openxmlformats.org/officeDocument/2006/relationships/image" Target="media/image239.png"/><Relationship Id="rId277" Type="http://schemas.openxmlformats.org/officeDocument/2006/relationships/image" Target="media/image240.png"/><Relationship Id="rId278" Type="http://schemas.openxmlformats.org/officeDocument/2006/relationships/image" Target="media/image241.png"/><Relationship Id="rId279" Type="http://schemas.openxmlformats.org/officeDocument/2006/relationships/image" Target="media/image242.png"/><Relationship Id="rId280" Type="http://schemas.openxmlformats.org/officeDocument/2006/relationships/image" Target="media/image243.png"/><Relationship Id="rId281" Type="http://schemas.openxmlformats.org/officeDocument/2006/relationships/image" Target="media/image244.png"/><Relationship Id="rId282" Type="http://schemas.openxmlformats.org/officeDocument/2006/relationships/image" Target="media/image245.png"/><Relationship Id="rId283" Type="http://schemas.openxmlformats.org/officeDocument/2006/relationships/image" Target="media/image246.png"/><Relationship Id="rId284" Type="http://schemas.openxmlformats.org/officeDocument/2006/relationships/image" Target="media/image247.png"/><Relationship Id="rId285" Type="http://schemas.openxmlformats.org/officeDocument/2006/relationships/image" Target="media/image248.png"/><Relationship Id="rId286" Type="http://schemas.openxmlformats.org/officeDocument/2006/relationships/image" Target="media/image249.png"/><Relationship Id="rId287" Type="http://schemas.openxmlformats.org/officeDocument/2006/relationships/image" Target="media/image250.png"/><Relationship Id="rId288" Type="http://schemas.openxmlformats.org/officeDocument/2006/relationships/image" Target="media/image251.png"/><Relationship Id="rId289" Type="http://schemas.openxmlformats.org/officeDocument/2006/relationships/image" Target="media/image252.png"/><Relationship Id="rId290" Type="http://schemas.openxmlformats.org/officeDocument/2006/relationships/image" Target="media/image253.png"/><Relationship Id="rId291" Type="http://schemas.openxmlformats.org/officeDocument/2006/relationships/image" Target="media/image254.png"/><Relationship Id="rId292" Type="http://schemas.openxmlformats.org/officeDocument/2006/relationships/image" Target="media/image255.png"/><Relationship Id="rId293" Type="http://schemas.openxmlformats.org/officeDocument/2006/relationships/image" Target="media/image256.png"/><Relationship Id="rId294" Type="http://schemas.openxmlformats.org/officeDocument/2006/relationships/image" Target="media/image257.png"/><Relationship Id="rId295" Type="http://schemas.openxmlformats.org/officeDocument/2006/relationships/image" Target="media/image258.png"/><Relationship Id="rId296" Type="http://schemas.openxmlformats.org/officeDocument/2006/relationships/image" Target="media/image259.png"/><Relationship Id="rId297" Type="http://schemas.openxmlformats.org/officeDocument/2006/relationships/image" Target="media/image260.png"/><Relationship Id="rId298" Type="http://schemas.openxmlformats.org/officeDocument/2006/relationships/image" Target="media/image261.png"/><Relationship Id="rId299" Type="http://schemas.openxmlformats.org/officeDocument/2006/relationships/image" Target="media/image262.png"/><Relationship Id="rId300" Type="http://schemas.openxmlformats.org/officeDocument/2006/relationships/image" Target="media/image263.png"/><Relationship Id="rId301" Type="http://schemas.openxmlformats.org/officeDocument/2006/relationships/image" Target="media/image264.png"/><Relationship Id="rId302" Type="http://schemas.openxmlformats.org/officeDocument/2006/relationships/image" Target="media/image265.png"/><Relationship Id="rId303" Type="http://schemas.openxmlformats.org/officeDocument/2006/relationships/image" Target="media/image266.png"/><Relationship Id="rId304" Type="http://schemas.openxmlformats.org/officeDocument/2006/relationships/image" Target="media/image267.png"/><Relationship Id="rId305" Type="http://schemas.openxmlformats.org/officeDocument/2006/relationships/image" Target="media/image268.png"/><Relationship Id="rId306" Type="http://schemas.openxmlformats.org/officeDocument/2006/relationships/image" Target="media/image269.png"/><Relationship Id="rId307" Type="http://schemas.openxmlformats.org/officeDocument/2006/relationships/image" Target="media/image270.png"/><Relationship Id="rId308" Type="http://schemas.openxmlformats.org/officeDocument/2006/relationships/image" Target="media/image271.png"/><Relationship Id="rId309" Type="http://schemas.openxmlformats.org/officeDocument/2006/relationships/image" Target="media/image272.png"/><Relationship Id="rId310" Type="http://schemas.openxmlformats.org/officeDocument/2006/relationships/image" Target="media/image273.png"/><Relationship Id="rId311" Type="http://schemas.openxmlformats.org/officeDocument/2006/relationships/image" Target="media/image274.png"/><Relationship Id="rId312" Type="http://schemas.openxmlformats.org/officeDocument/2006/relationships/image" Target="media/image275.png"/><Relationship Id="rId313" Type="http://schemas.openxmlformats.org/officeDocument/2006/relationships/image" Target="media/image276.png"/><Relationship Id="rId314" Type="http://schemas.openxmlformats.org/officeDocument/2006/relationships/image" Target="media/image277.png"/><Relationship Id="rId315" Type="http://schemas.openxmlformats.org/officeDocument/2006/relationships/image" Target="media/image278.png"/><Relationship Id="rId316" Type="http://schemas.openxmlformats.org/officeDocument/2006/relationships/image" Target="media/image279.png"/><Relationship Id="rId317" Type="http://schemas.openxmlformats.org/officeDocument/2006/relationships/image" Target="media/image280.png"/><Relationship Id="rId318" Type="http://schemas.openxmlformats.org/officeDocument/2006/relationships/image" Target="media/image281.png"/><Relationship Id="rId319" Type="http://schemas.openxmlformats.org/officeDocument/2006/relationships/image" Target="media/image282.png"/><Relationship Id="rId320" Type="http://schemas.openxmlformats.org/officeDocument/2006/relationships/image" Target="media/image283.png"/><Relationship Id="rId321" Type="http://schemas.openxmlformats.org/officeDocument/2006/relationships/image" Target="media/image284.png"/><Relationship Id="rId322" Type="http://schemas.openxmlformats.org/officeDocument/2006/relationships/image" Target="media/image285.png"/><Relationship Id="rId323" Type="http://schemas.openxmlformats.org/officeDocument/2006/relationships/image" Target="media/image286.png"/><Relationship Id="rId324" Type="http://schemas.openxmlformats.org/officeDocument/2006/relationships/image" Target="media/image287.png"/><Relationship Id="rId325" Type="http://schemas.openxmlformats.org/officeDocument/2006/relationships/image" Target="media/image288.png"/><Relationship Id="rId326" Type="http://schemas.openxmlformats.org/officeDocument/2006/relationships/image" Target="media/image289.png"/><Relationship Id="rId327" Type="http://schemas.openxmlformats.org/officeDocument/2006/relationships/image" Target="media/image290.png"/><Relationship Id="rId328" Type="http://schemas.openxmlformats.org/officeDocument/2006/relationships/image" Target="media/image291.png"/><Relationship Id="rId329" Type="http://schemas.openxmlformats.org/officeDocument/2006/relationships/image" Target="media/image292.png"/><Relationship Id="rId330" Type="http://schemas.openxmlformats.org/officeDocument/2006/relationships/image" Target="media/image293.png"/><Relationship Id="rId331" Type="http://schemas.openxmlformats.org/officeDocument/2006/relationships/image" Target="media/image294.png"/><Relationship Id="rId332" Type="http://schemas.openxmlformats.org/officeDocument/2006/relationships/image" Target="media/image295.png"/><Relationship Id="rId333" Type="http://schemas.openxmlformats.org/officeDocument/2006/relationships/image" Target="media/image296.png"/><Relationship Id="rId334" Type="http://schemas.openxmlformats.org/officeDocument/2006/relationships/image" Target="media/image297.png"/><Relationship Id="rId335" Type="http://schemas.openxmlformats.org/officeDocument/2006/relationships/image" Target="media/image298.png"/><Relationship Id="rId336" Type="http://schemas.openxmlformats.org/officeDocument/2006/relationships/image" Target="media/image299.png"/><Relationship Id="rId337" Type="http://schemas.openxmlformats.org/officeDocument/2006/relationships/image" Target="media/image300.png"/><Relationship Id="rId338" Type="http://schemas.openxmlformats.org/officeDocument/2006/relationships/image" Target="media/image301.png"/><Relationship Id="rId339" Type="http://schemas.openxmlformats.org/officeDocument/2006/relationships/image" Target="media/image302.png"/><Relationship Id="rId340" Type="http://schemas.openxmlformats.org/officeDocument/2006/relationships/image" Target="media/image303.png"/><Relationship Id="rId341" Type="http://schemas.openxmlformats.org/officeDocument/2006/relationships/image" Target="media/image304.png"/><Relationship Id="rId342" Type="http://schemas.openxmlformats.org/officeDocument/2006/relationships/image" Target="media/image305.png"/><Relationship Id="rId343" Type="http://schemas.openxmlformats.org/officeDocument/2006/relationships/image" Target="media/image306.png"/><Relationship Id="rId344" Type="http://schemas.openxmlformats.org/officeDocument/2006/relationships/image" Target="media/image307.png"/><Relationship Id="rId345" Type="http://schemas.openxmlformats.org/officeDocument/2006/relationships/image" Target="media/image308.png"/><Relationship Id="rId346" Type="http://schemas.openxmlformats.org/officeDocument/2006/relationships/image" Target="media/image309.png"/><Relationship Id="rId347" Type="http://schemas.openxmlformats.org/officeDocument/2006/relationships/image" Target="media/image310.png"/><Relationship Id="rId348" Type="http://schemas.openxmlformats.org/officeDocument/2006/relationships/image" Target="media/image311.png"/><Relationship Id="rId349" Type="http://schemas.openxmlformats.org/officeDocument/2006/relationships/image" Target="media/image312.png"/><Relationship Id="rId350" Type="http://schemas.openxmlformats.org/officeDocument/2006/relationships/image" Target="media/image313.png"/><Relationship Id="rId351" Type="http://schemas.openxmlformats.org/officeDocument/2006/relationships/image" Target="media/image314.png"/><Relationship Id="rId352" Type="http://schemas.openxmlformats.org/officeDocument/2006/relationships/image" Target="media/image315.png"/><Relationship Id="rId353" Type="http://schemas.openxmlformats.org/officeDocument/2006/relationships/image" Target="media/image316.png"/><Relationship Id="rId354" Type="http://schemas.openxmlformats.org/officeDocument/2006/relationships/image" Target="media/image317.png"/><Relationship Id="rId355" Type="http://schemas.openxmlformats.org/officeDocument/2006/relationships/image" Target="media/image318.png"/><Relationship Id="rId356" Type="http://schemas.openxmlformats.org/officeDocument/2006/relationships/image" Target="media/image319.png"/><Relationship Id="rId357" Type="http://schemas.openxmlformats.org/officeDocument/2006/relationships/image" Target="media/image320.png"/><Relationship Id="rId358" Type="http://schemas.openxmlformats.org/officeDocument/2006/relationships/image" Target="media/image321.png"/><Relationship Id="rId359" Type="http://schemas.openxmlformats.org/officeDocument/2006/relationships/image" Target="media/image322.png"/><Relationship Id="rId360" Type="http://schemas.openxmlformats.org/officeDocument/2006/relationships/image" Target="media/image323.png"/><Relationship Id="rId361" Type="http://schemas.openxmlformats.org/officeDocument/2006/relationships/image" Target="media/image324.png"/><Relationship Id="rId362" Type="http://schemas.openxmlformats.org/officeDocument/2006/relationships/image" Target="media/image325.png"/><Relationship Id="rId363" Type="http://schemas.openxmlformats.org/officeDocument/2006/relationships/image" Target="media/image326.png"/><Relationship Id="rId364" Type="http://schemas.openxmlformats.org/officeDocument/2006/relationships/image" Target="media/image327.png"/><Relationship Id="rId365" Type="http://schemas.openxmlformats.org/officeDocument/2006/relationships/image" Target="media/image328.png"/><Relationship Id="rId366" Type="http://schemas.openxmlformats.org/officeDocument/2006/relationships/image" Target="media/image329.png"/><Relationship Id="rId367" Type="http://schemas.openxmlformats.org/officeDocument/2006/relationships/image" Target="media/image330.png"/><Relationship Id="rId368" Type="http://schemas.openxmlformats.org/officeDocument/2006/relationships/image" Target="media/image331.png"/><Relationship Id="rId369" Type="http://schemas.openxmlformats.org/officeDocument/2006/relationships/image" Target="media/image332.png"/><Relationship Id="rId370" Type="http://schemas.openxmlformats.org/officeDocument/2006/relationships/image" Target="media/image333.png"/><Relationship Id="rId371" Type="http://schemas.openxmlformats.org/officeDocument/2006/relationships/image" Target="media/image334.png"/><Relationship Id="rId372" Type="http://schemas.openxmlformats.org/officeDocument/2006/relationships/image" Target="media/image335.png"/><Relationship Id="rId373" Type="http://schemas.openxmlformats.org/officeDocument/2006/relationships/image" Target="media/image336.png"/><Relationship Id="rId374" Type="http://schemas.openxmlformats.org/officeDocument/2006/relationships/image" Target="media/image337.png"/><Relationship Id="rId375" Type="http://schemas.openxmlformats.org/officeDocument/2006/relationships/image" Target="media/image338.png"/><Relationship Id="rId376" Type="http://schemas.openxmlformats.org/officeDocument/2006/relationships/image" Target="media/image339.png"/><Relationship Id="rId377" Type="http://schemas.openxmlformats.org/officeDocument/2006/relationships/image" Target="media/image340.png"/><Relationship Id="rId378" Type="http://schemas.openxmlformats.org/officeDocument/2006/relationships/image" Target="media/image341.png"/><Relationship Id="rId379" Type="http://schemas.openxmlformats.org/officeDocument/2006/relationships/image" Target="media/image342.png"/><Relationship Id="rId380" Type="http://schemas.openxmlformats.org/officeDocument/2006/relationships/image" Target="media/image343.png"/><Relationship Id="rId381" Type="http://schemas.openxmlformats.org/officeDocument/2006/relationships/image" Target="media/image344.png"/><Relationship Id="rId382" Type="http://schemas.openxmlformats.org/officeDocument/2006/relationships/image" Target="media/image345.png"/><Relationship Id="rId383" Type="http://schemas.openxmlformats.org/officeDocument/2006/relationships/image" Target="media/image346.png"/><Relationship Id="rId384" Type="http://schemas.openxmlformats.org/officeDocument/2006/relationships/image" Target="media/image347.png"/><Relationship Id="rId385" Type="http://schemas.openxmlformats.org/officeDocument/2006/relationships/image" Target="media/image348.png"/><Relationship Id="rId386" Type="http://schemas.openxmlformats.org/officeDocument/2006/relationships/image" Target="media/image349.png"/><Relationship Id="rId387" Type="http://schemas.openxmlformats.org/officeDocument/2006/relationships/image" Target="media/image350.png"/><Relationship Id="rId388" Type="http://schemas.openxmlformats.org/officeDocument/2006/relationships/image" Target="media/image351.png"/><Relationship Id="rId389" Type="http://schemas.openxmlformats.org/officeDocument/2006/relationships/image" Target="media/image352.png"/><Relationship Id="rId390" Type="http://schemas.openxmlformats.org/officeDocument/2006/relationships/image" Target="media/image353.png"/><Relationship Id="rId391" Type="http://schemas.openxmlformats.org/officeDocument/2006/relationships/image" Target="media/image354.png"/><Relationship Id="rId392" Type="http://schemas.openxmlformats.org/officeDocument/2006/relationships/image" Target="media/image355.png"/><Relationship Id="rId393" Type="http://schemas.openxmlformats.org/officeDocument/2006/relationships/image" Target="media/image356.png"/><Relationship Id="rId394" Type="http://schemas.openxmlformats.org/officeDocument/2006/relationships/image" Target="media/image357.png"/><Relationship Id="rId395" Type="http://schemas.openxmlformats.org/officeDocument/2006/relationships/image" Target="media/image358.png"/><Relationship Id="rId396" Type="http://schemas.openxmlformats.org/officeDocument/2006/relationships/image" Target="media/image359.png"/><Relationship Id="rId397" Type="http://schemas.openxmlformats.org/officeDocument/2006/relationships/image" Target="media/image360.png"/><Relationship Id="rId398" Type="http://schemas.openxmlformats.org/officeDocument/2006/relationships/image" Target="media/image361.png"/><Relationship Id="rId399" Type="http://schemas.openxmlformats.org/officeDocument/2006/relationships/image" Target="media/image362.png"/><Relationship Id="rId400" Type="http://schemas.openxmlformats.org/officeDocument/2006/relationships/image" Target="media/image363.png"/><Relationship Id="rId401" Type="http://schemas.openxmlformats.org/officeDocument/2006/relationships/image" Target="media/image364.png"/><Relationship Id="rId402" Type="http://schemas.openxmlformats.org/officeDocument/2006/relationships/image" Target="media/image365.png"/><Relationship Id="rId403" Type="http://schemas.openxmlformats.org/officeDocument/2006/relationships/image" Target="media/image366.png"/><Relationship Id="rId404" Type="http://schemas.openxmlformats.org/officeDocument/2006/relationships/image" Target="media/image367.png"/><Relationship Id="rId405" Type="http://schemas.openxmlformats.org/officeDocument/2006/relationships/image" Target="media/image368.png"/><Relationship Id="rId406" Type="http://schemas.openxmlformats.org/officeDocument/2006/relationships/image" Target="media/image369.png"/><Relationship Id="rId407" Type="http://schemas.openxmlformats.org/officeDocument/2006/relationships/image" Target="media/image370.png"/><Relationship Id="rId408" Type="http://schemas.openxmlformats.org/officeDocument/2006/relationships/image" Target="media/image371.png"/><Relationship Id="rId409" Type="http://schemas.openxmlformats.org/officeDocument/2006/relationships/image" Target="media/image372.png"/><Relationship Id="rId410" Type="http://schemas.openxmlformats.org/officeDocument/2006/relationships/image" Target="media/image373.png"/><Relationship Id="rId411" Type="http://schemas.openxmlformats.org/officeDocument/2006/relationships/image" Target="media/image374.png"/><Relationship Id="rId412" Type="http://schemas.openxmlformats.org/officeDocument/2006/relationships/image" Target="media/image375.png"/><Relationship Id="rId413" Type="http://schemas.openxmlformats.org/officeDocument/2006/relationships/image" Target="media/image376.png"/><Relationship Id="rId414" Type="http://schemas.openxmlformats.org/officeDocument/2006/relationships/image" Target="media/image377.png"/><Relationship Id="rId415" Type="http://schemas.openxmlformats.org/officeDocument/2006/relationships/image" Target="media/image378.png"/><Relationship Id="rId416" Type="http://schemas.openxmlformats.org/officeDocument/2006/relationships/image" Target="media/image379.png"/><Relationship Id="rId417" Type="http://schemas.openxmlformats.org/officeDocument/2006/relationships/image" Target="media/image380.png"/><Relationship Id="rId418" Type="http://schemas.openxmlformats.org/officeDocument/2006/relationships/image" Target="media/image381.png"/><Relationship Id="rId419" Type="http://schemas.openxmlformats.org/officeDocument/2006/relationships/image" Target="media/image382.png"/><Relationship Id="rId420" Type="http://schemas.openxmlformats.org/officeDocument/2006/relationships/image" Target="media/image383.png"/><Relationship Id="rId421" Type="http://schemas.openxmlformats.org/officeDocument/2006/relationships/image" Target="media/image384.png"/><Relationship Id="rId422" Type="http://schemas.openxmlformats.org/officeDocument/2006/relationships/image" Target="media/image385.png"/><Relationship Id="rId423" Type="http://schemas.openxmlformats.org/officeDocument/2006/relationships/image" Target="media/image386.png"/><Relationship Id="rId424" Type="http://schemas.openxmlformats.org/officeDocument/2006/relationships/image" Target="media/image387.png"/><Relationship Id="rId425" Type="http://schemas.openxmlformats.org/officeDocument/2006/relationships/image" Target="media/image388.png"/><Relationship Id="rId426" Type="http://schemas.openxmlformats.org/officeDocument/2006/relationships/image" Target="media/image389.png"/><Relationship Id="rId427" Type="http://schemas.openxmlformats.org/officeDocument/2006/relationships/image" Target="media/image390.png"/><Relationship Id="rId428" Type="http://schemas.openxmlformats.org/officeDocument/2006/relationships/image" Target="media/image391.png"/><Relationship Id="rId429" Type="http://schemas.openxmlformats.org/officeDocument/2006/relationships/image" Target="media/image392.png"/><Relationship Id="rId430" Type="http://schemas.openxmlformats.org/officeDocument/2006/relationships/image" Target="media/image393.png"/><Relationship Id="rId431" Type="http://schemas.openxmlformats.org/officeDocument/2006/relationships/image" Target="media/image394.png"/><Relationship Id="rId432" Type="http://schemas.openxmlformats.org/officeDocument/2006/relationships/image" Target="media/image395.png"/><Relationship Id="rId433" Type="http://schemas.openxmlformats.org/officeDocument/2006/relationships/image" Target="media/image396.png"/><Relationship Id="rId434" Type="http://schemas.openxmlformats.org/officeDocument/2006/relationships/image" Target="media/image397.png"/><Relationship Id="rId435" Type="http://schemas.openxmlformats.org/officeDocument/2006/relationships/image" Target="media/image398.png"/><Relationship Id="rId436" Type="http://schemas.openxmlformats.org/officeDocument/2006/relationships/image" Target="media/image399.png"/><Relationship Id="rId437" Type="http://schemas.openxmlformats.org/officeDocument/2006/relationships/image" Target="media/image400.png"/><Relationship Id="rId438" Type="http://schemas.openxmlformats.org/officeDocument/2006/relationships/image" Target="media/image401.png"/><Relationship Id="rId439" Type="http://schemas.openxmlformats.org/officeDocument/2006/relationships/image" Target="media/image402.png"/><Relationship Id="rId440" Type="http://schemas.openxmlformats.org/officeDocument/2006/relationships/image" Target="media/image403.png"/><Relationship Id="rId441" Type="http://schemas.openxmlformats.org/officeDocument/2006/relationships/image" Target="media/image404.png"/><Relationship Id="rId442" Type="http://schemas.openxmlformats.org/officeDocument/2006/relationships/image" Target="media/image405.png"/><Relationship Id="rId443" Type="http://schemas.openxmlformats.org/officeDocument/2006/relationships/image" Target="media/image406.png"/><Relationship Id="rId444" Type="http://schemas.openxmlformats.org/officeDocument/2006/relationships/image" Target="media/image407.png"/><Relationship Id="rId445" Type="http://schemas.openxmlformats.org/officeDocument/2006/relationships/image" Target="media/image408.png"/><Relationship Id="rId446" Type="http://schemas.openxmlformats.org/officeDocument/2006/relationships/image" Target="media/image409.png"/><Relationship Id="rId447" Type="http://schemas.openxmlformats.org/officeDocument/2006/relationships/image" Target="media/image410.png"/><Relationship Id="rId448" Type="http://schemas.openxmlformats.org/officeDocument/2006/relationships/image" Target="media/image411.png"/><Relationship Id="rId449" Type="http://schemas.openxmlformats.org/officeDocument/2006/relationships/image" Target="media/image412.png"/><Relationship Id="rId450" Type="http://schemas.openxmlformats.org/officeDocument/2006/relationships/image" Target="media/image413.png"/><Relationship Id="rId451" Type="http://schemas.openxmlformats.org/officeDocument/2006/relationships/image" Target="media/image414.png"/><Relationship Id="rId452" Type="http://schemas.openxmlformats.org/officeDocument/2006/relationships/image" Target="media/image415.png"/><Relationship Id="rId453" Type="http://schemas.openxmlformats.org/officeDocument/2006/relationships/image" Target="media/image416.png"/><Relationship Id="rId454" Type="http://schemas.openxmlformats.org/officeDocument/2006/relationships/image" Target="media/image417.png"/><Relationship Id="rId455" Type="http://schemas.openxmlformats.org/officeDocument/2006/relationships/image" Target="media/image418.png"/><Relationship Id="rId456" Type="http://schemas.openxmlformats.org/officeDocument/2006/relationships/image" Target="media/image419.png"/><Relationship Id="rId457" Type="http://schemas.openxmlformats.org/officeDocument/2006/relationships/image" Target="media/image420.png"/><Relationship Id="rId458" Type="http://schemas.openxmlformats.org/officeDocument/2006/relationships/image" Target="media/image421.png"/><Relationship Id="rId459" Type="http://schemas.openxmlformats.org/officeDocument/2006/relationships/image" Target="media/image422.png"/><Relationship Id="rId460" Type="http://schemas.openxmlformats.org/officeDocument/2006/relationships/image" Target="media/image423.png"/><Relationship Id="rId461" Type="http://schemas.openxmlformats.org/officeDocument/2006/relationships/image" Target="media/image424.png"/><Relationship Id="rId462" Type="http://schemas.openxmlformats.org/officeDocument/2006/relationships/image" Target="media/image425.png"/><Relationship Id="rId463" Type="http://schemas.openxmlformats.org/officeDocument/2006/relationships/image" Target="media/image426.png"/><Relationship Id="rId464" Type="http://schemas.openxmlformats.org/officeDocument/2006/relationships/image" Target="media/image427.png"/><Relationship Id="rId465" Type="http://schemas.openxmlformats.org/officeDocument/2006/relationships/image" Target="media/image428.png"/><Relationship Id="rId466" Type="http://schemas.openxmlformats.org/officeDocument/2006/relationships/image" Target="media/image429.png"/><Relationship Id="rId467" Type="http://schemas.openxmlformats.org/officeDocument/2006/relationships/image" Target="media/image430.png"/><Relationship Id="rId468" Type="http://schemas.openxmlformats.org/officeDocument/2006/relationships/image" Target="media/image431.png"/><Relationship Id="rId469" Type="http://schemas.openxmlformats.org/officeDocument/2006/relationships/image" Target="media/image432.png"/><Relationship Id="rId470" Type="http://schemas.openxmlformats.org/officeDocument/2006/relationships/image" Target="media/image433.png"/><Relationship Id="rId471" Type="http://schemas.openxmlformats.org/officeDocument/2006/relationships/image" Target="media/image434.png"/><Relationship Id="rId472" Type="http://schemas.openxmlformats.org/officeDocument/2006/relationships/image" Target="media/image435.png"/><Relationship Id="rId473" Type="http://schemas.openxmlformats.org/officeDocument/2006/relationships/image" Target="media/image436.png"/><Relationship Id="rId474" Type="http://schemas.openxmlformats.org/officeDocument/2006/relationships/image" Target="media/image437.png"/><Relationship Id="rId475" Type="http://schemas.openxmlformats.org/officeDocument/2006/relationships/image" Target="media/image438.png"/><Relationship Id="rId476" Type="http://schemas.openxmlformats.org/officeDocument/2006/relationships/image" Target="media/image439.png"/><Relationship Id="rId477" Type="http://schemas.openxmlformats.org/officeDocument/2006/relationships/image" Target="media/image440.png"/><Relationship Id="rId478" Type="http://schemas.openxmlformats.org/officeDocument/2006/relationships/image" Target="media/image441.png"/><Relationship Id="rId479" Type="http://schemas.openxmlformats.org/officeDocument/2006/relationships/image" Target="media/image442.png"/><Relationship Id="rId480" Type="http://schemas.openxmlformats.org/officeDocument/2006/relationships/image" Target="media/image443.png"/><Relationship Id="rId481" Type="http://schemas.openxmlformats.org/officeDocument/2006/relationships/image" Target="media/image444.png"/><Relationship Id="rId482" Type="http://schemas.openxmlformats.org/officeDocument/2006/relationships/image" Target="media/image445.png"/><Relationship Id="rId483" Type="http://schemas.openxmlformats.org/officeDocument/2006/relationships/image" Target="media/image446.png"/><Relationship Id="rId484" Type="http://schemas.openxmlformats.org/officeDocument/2006/relationships/image" Target="media/image447.png"/><Relationship Id="rId485" Type="http://schemas.openxmlformats.org/officeDocument/2006/relationships/image" Target="media/image448.png"/><Relationship Id="rId486" Type="http://schemas.openxmlformats.org/officeDocument/2006/relationships/image" Target="media/image449.png"/><Relationship Id="rId487" Type="http://schemas.openxmlformats.org/officeDocument/2006/relationships/image" Target="media/image450.png"/><Relationship Id="rId488" Type="http://schemas.openxmlformats.org/officeDocument/2006/relationships/image" Target="media/image451.png"/><Relationship Id="rId489" Type="http://schemas.openxmlformats.org/officeDocument/2006/relationships/image" Target="media/image452.png"/><Relationship Id="rId490" Type="http://schemas.openxmlformats.org/officeDocument/2006/relationships/image" Target="media/image453.png"/><Relationship Id="rId491" Type="http://schemas.openxmlformats.org/officeDocument/2006/relationships/image" Target="media/image454.png"/><Relationship Id="rId492" Type="http://schemas.openxmlformats.org/officeDocument/2006/relationships/image" Target="media/image455.png"/><Relationship Id="rId493" Type="http://schemas.openxmlformats.org/officeDocument/2006/relationships/image" Target="media/image456.png"/><Relationship Id="rId494" Type="http://schemas.openxmlformats.org/officeDocument/2006/relationships/image" Target="media/image457.png"/><Relationship Id="rId495" Type="http://schemas.openxmlformats.org/officeDocument/2006/relationships/image" Target="media/image458.png"/><Relationship Id="rId496" Type="http://schemas.openxmlformats.org/officeDocument/2006/relationships/image" Target="media/image459.png"/><Relationship Id="rId497" Type="http://schemas.openxmlformats.org/officeDocument/2006/relationships/image" Target="media/image460.png"/><Relationship Id="rId498" Type="http://schemas.openxmlformats.org/officeDocument/2006/relationships/image" Target="media/image461.png"/><Relationship Id="rId499" Type="http://schemas.openxmlformats.org/officeDocument/2006/relationships/image" Target="media/image462.png"/><Relationship Id="rId500" Type="http://schemas.openxmlformats.org/officeDocument/2006/relationships/image" Target="media/image463.png"/><Relationship Id="rId501" Type="http://schemas.openxmlformats.org/officeDocument/2006/relationships/image" Target="media/image464.png"/><Relationship Id="rId502" Type="http://schemas.openxmlformats.org/officeDocument/2006/relationships/image" Target="media/image465.png"/><Relationship Id="rId503" Type="http://schemas.openxmlformats.org/officeDocument/2006/relationships/image" Target="media/image466.png"/><Relationship Id="rId504" Type="http://schemas.openxmlformats.org/officeDocument/2006/relationships/image" Target="media/image467.png"/><Relationship Id="rId505" Type="http://schemas.openxmlformats.org/officeDocument/2006/relationships/image" Target="media/image468.png"/><Relationship Id="rId506" Type="http://schemas.openxmlformats.org/officeDocument/2006/relationships/image" Target="media/image469.png"/><Relationship Id="rId507" Type="http://schemas.openxmlformats.org/officeDocument/2006/relationships/image" Target="media/image470.png"/><Relationship Id="rId508" Type="http://schemas.openxmlformats.org/officeDocument/2006/relationships/image" Target="media/image471.png"/><Relationship Id="rId509" Type="http://schemas.openxmlformats.org/officeDocument/2006/relationships/image" Target="media/image472.png"/><Relationship Id="rId127" Type="http://schemas.openxmlformats.org/officeDocument/2006/relationships/hyperlink" Target="https://www.sec.gov/Archives/edgar/data/0001320350/000156459021018202/lnsr-ex12_280.htm" TargetMode="External"/><Relationship Id="rId128" Type="http://schemas.openxmlformats.org/officeDocument/2006/relationships/hyperlink" Target="https://www.sec.gov/Archives/edgar/data/1320350/000119312520262511/d98252dex21.htm" TargetMode="External"/><Relationship Id="rId129" Type="http://schemas.openxmlformats.org/officeDocument/2006/relationships/hyperlink" Target="https://www.sec.gov/Archives/edgar/data/1320350/000119312520262511/d98252dex31.htm" TargetMode="External"/><Relationship Id="rId130" Type="http://schemas.openxmlformats.org/officeDocument/2006/relationships/hyperlink" Target="https://www.sec.gov/Archives/edgar/data/1320350/000095017024123534/lnsr-ex3_2.htm" TargetMode="External"/><Relationship Id="rId131" Type="http://schemas.openxmlformats.org/officeDocument/2006/relationships/hyperlink" Target="https://www.sec.gov/Archives/edgar/data/1320350/000119312523148214/d487803dex31.htm" TargetMode="External"/><Relationship Id="rId132" Type="http://schemas.openxmlformats.org/officeDocument/2006/relationships/hyperlink" Target="https://www.sec.gov/Archives/edgar/data/1320350/000119312520245277/d945311dex41.htm" TargetMode="External"/><Relationship Id="rId133" Type="http://schemas.openxmlformats.org/officeDocument/2006/relationships/hyperlink" Target="https://www.sec.gov/Archives/edgar/data/1320350/000095017024024807/lnsr-ex4_2.htm" TargetMode="External"/><Relationship Id="rId136" Type="http://schemas.openxmlformats.org/officeDocument/2006/relationships/hyperlink" Target="https://www.sec.gov/Archives/edgar/data/1320350/000119312523148214/d487803dex101.htm" TargetMode="External"/><Relationship Id="rId137" Type="http://schemas.openxmlformats.org/officeDocument/2006/relationships/hyperlink" Target="https://www.sec.gov/Archives/edgar/data/1320350/000119312523148214/d487803dex41.htm" TargetMode="External"/><Relationship Id="rId138" Type="http://schemas.openxmlformats.org/officeDocument/2006/relationships/hyperlink" Target="https://www.sec.gov/Archives/edgar/data/1320350/000119312523148214/d487803dex42.htm" TargetMode="External"/><Relationship Id="rId139" Type="http://schemas.openxmlformats.org/officeDocument/2006/relationships/hyperlink" Target="https://www.sec.gov/Archives/edgar/data/1320350/000119312520262511/d98252dex101.htm" TargetMode="External"/><Relationship Id="rId140" Type="http://schemas.openxmlformats.org/officeDocument/2006/relationships/hyperlink" Target="https://www.sec.gov/Archives/edgar/data/1320350/000119312520262511/d98252dex102.htm" TargetMode="External"/><Relationship Id="rId141" Type="http://schemas.openxmlformats.org/officeDocument/2006/relationships/hyperlink" Target="https://www.sec.gov/Archives/edgar/data/0001320350/000119312520263983/d39101dex101.htm" TargetMode="External"/><Relationship Id="rId142" Type="http://schemas.openxmlformats.org/officeDocument/2006/relationships/hyperlink" Target="https://www.sec.gov/Archives/edgar/data/0001320350/000119312520263983/d39101dex102.htm" TargetMode="External"/><Relationship Id="rId143" Type="http://schemas.openxmlformats.org/officeDocument/2006/relationships/hyperlink" Target="https://www.sec.gov/Archives/edgar/data/1320350/000156459022008556/lnsr-ex105_9.htm" TargetMode="External"/><Relationship Id="rId144" Type="http://schemas.openxmlformats.org/officeDocument/2006/relationships/hyperlink" Target="https://www.sec.gov/Archives/edgar/data/1320350/000156459022008556/lnsr-ex106_6.htm" TargetMode="External"/><Relationship Id="rId145" Type="http://schemas.openxmlformats.org/officeDocument/2006/relationships/hyperlink" Target="https://www.sec.gov/Archives/edgar/data/1320350/000095017024056837/lnsr-ex10_2.htm" TargetMode="External"/><Relationship Id="rId146" Type="http://schemas.openxmlformats.org/officeDocument/2006/relationships/hyperlink" Target="https://www.sec.gov/Archives/edgar/data/1320350/000095017024056837/lnsr-ex10_3.htm" TargetMode="External"/><Relationship Id="rId147" Type="http://schemas.openxmlformats.org/officeDocument/2006/relationships/hyperlink" Target="https://www.sec.gov/Archives/edgar/data/1320350/000119312520245277/d945311dex105.htm" TargetMode="External"/><Relationship Id="rId148" Type="http://schemas.openxmlformats.org/officeDocument/2006/relationships/hyperlink" Target="https://www.sec.gov/Archives/edgar/data/1320350/000095017024020190/lnsr-ex10_1.htm" TargetMode="External"/><Relationship Id="rId149" Type="http://schemas.openxmlformats.org/officeDocument/2006/relationships/hyperlink" Target="https://www.sec.gov/Archives/edgar/data/1320350/000095017024020190/lnsr-ex10_2.htm" TargetMode="External"/><Relationship Id="rId150" Type="http://schemas.openxmlformats.org/officeDocument/2006/relationships/hyperlink" Target="https://www.sec.gov/Archives/edgar/data/1320350/000095017024020190/lnsr-ex10_3.htm" TargetMode="External"/><Relationship Id="rId151" Type="http://schemas.openxmlformats.org/officeDocument/2006/relationships/hyperlink" Target="https://www.sec.gov/Archives/edgar/data/1320350/000095017024056837/lnsr-ex10_1.htm" TargetMode="External"/><Relationship Id="rId152" Type="http://schemas.openxmlformats.org/officeDocument/2006/relationships/hyperlink" Target="https://www.sec.gov/Archives/edgar/data/1320350/000119312520230231/d945311dex106.htm" TargetMode="External"/><Relationship Id="rId153" Type="http://schemas.openxmlformats.org/officeDocument/2006/relationships/hyperlink" Target="https://www.sec.gov/Archives/edgar/data/1320350/000119312520230231/d945311dex107.htm" TargetMode="External"/><Relationship Id="rId156" Type="http://schemas.openxmlformats.org/officeDocument/2006/relationships/hyperlink" Target="https://www.sec.gov/Archives/edgar/data/1320350/000119312520230231/d945311dex108.htm" TargetMode="External"/><Relationship Id="rId157" Type="http://schemas.openxmlformats.org/officeDocument/2006/relationships/hyperlink" Target="https://www.sec.gov/Archives/edgar/data/1320350/000119312520230231/d945311dex109.htm" TargetMode="External"/><Relationship Id="rId158" Type="http://schemas.openxmlformats.org/officeDocument/2006/relationships/hyperlink" Target="https://www.sec.gov/Archives/edgar/data/1320350/000119312523144213/d510326dex101.htm" TargetMode="External"/><Relationship Id="rId159" Type="http://schemas.openxmlformats.org/officeDocument/2006/relationships/hyperlink" Target="https://www.sec.gov/Archives/edgar/data/1320350/000156459021012594/lnsr-ex211_310.htm" TargetMode="External"/><Relationship Id="rId160" Type="http://schemas.openxmlformats.org/officeDocument/2006/relationships/hyperlink" Target="https://www.sec.gov/Archives/edgar/data/1320350/000095017024024807/lnsr-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2025-02-27T15:28:17Z</dcterms:created>
  <dcterms:modified xsi:type="dcterms:W3CDTF">2025-02-27T15:28:17Z</dcterms:modified>
</cp:coreProperties>
</file>