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ashington</w:t>
      </w:r>
      <w:r>
        <w:rPr>
          <w:rFonts w:ascii="Times New Roman" w:cs="Times New Roman" w:eastAsia="Times New Roman" w:hAnsi="Times New Roman"/>
          <w:sz w:val="18"/>
          <w:szCs w:val="18"/>
          <w:b w:val="1"/>
          <w:bCs w:val="1"/>
          <w:color w:val="auto"/>
        </w:rPr>
        <w:t>,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74295</wp:posOffset>
            </wp:positionV>
            <wp:extent cx="195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634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60"/>
        </w:trPr>
        <w:tc>
          <w:tcPr>
            <w:tcW w:w="3360" w:type="dxa"/>
            <w:vAlign w:val="bottom"/>
          </w:tcPr>
          <w:p>
            <w:pPr>
              <w:spacing w:after="0"/>
              <w:rPr>
                <w:sz w:val="22"/>
                <w:szCs w:val="22"/>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001-39473</w:t>
            </w: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108"/>
        </w:trPr>
        <w:tc>
          <w:tcPr>
            <w:tcW w:w="336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r>
      <w:tr>
        <w:trPr>
          <w:trHeight w:val="475"/>
        </w:trPr>
        <w:tc>
          <w:tcPr>
            <w:tcW w:w="336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36"/>
                <w:szCs w:val="36"/>
                <w:b w:val="1"/>
                <w:bCs w:val="1"/>
                <w:color w:val="auto"/>
              </w:rPr>
              <w:t>LENSAR, INC.</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4"/>
        </w:trPr>
        <w:tc>
          <w:tcPr>
            <w:tcW w:w="906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108"/>
        </w:trPr>
        <w:tc>
          <w:tcPr>
            <w:tcW w:w="336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r>
      <w:tr>
        <w:trPr>
          <w:trHeight w:val="318"/>
        </w:trPr>
        <w:tc>
          <w:tcPr>
            <w:tcW w:w="6340" w:type="dxa"/>
            <w:vAlign w:val="bottom"/>
            <w:gridSpan w:val="2"/>
          </w:tcPr>
          <w:p>
            <w:pPr>
              <w:jc w:val="center"/>
              <w:ind w:right="19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32-0125724</w:t>
            </w:r>
          </w:p>
        </w:tc>
      </w:tr>
      <w:tr>
        <w:trPr>
          <w:trHeight w:val="243"/>
        </w:trPr>
        <w:tc>
          <w:tcPr>
            <w:tcW w:w="6340" w:type="dxa"/>
            <w:vAlign w:val="bottom"/>
            <w:gridSpan w:val="2"/>
          </w:tcPr>
          <w:p>
            <w:pPr>
              <w:jc w:val="center"/>
              <w:ind w:right="1905"/>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2800 Discovery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536-7271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1"/>
                <w:szCs w:val="21"/>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LNSR</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74295</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7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30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9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2024, there were 11,614,807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9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 Summary</w:t>
            </w:r>
          </w:p>
        </w:tc>
        <w:tc>
          <w:tcPr>
            <w:tcW w:w="20" w:type="dxa"/>
            <w:vAlign w:val="bottom"/>
            <w:tcBorders>
              <w:top w:val="single" w:sz="8" w:color="0000FF"/>
              <w:bottom w:val="single" w:sz="8" w:color="0000EE"/>
            </w:tcBorders>
          </w:tcPr>
          <w:p>
            <w:pPr>
              <w:spacing w:after="0"/>
              <w:rPr>
                <w:sz w:val="21"/>
                <w:szCs w:val="21"/>
                <w:color w:val="auto"/>
              </w:rPr>
            </w:pPr>
          </w:p>
        </w:tc>
        <w:tc>
          <w:tcPr>
            <w:tcW w:w="500" w:type="dxa"/>
            <w:vAlign w:val="bottom"/>
            <w:tcBorders>
              <w:top w:val="single" w:sz="8" w:color="0000FF"/>
            </w:tcBorders>
            <w:gridSpan w:val="4"/>
          </w:tcPr>
          <w:p>
            <w:pPr>
              <w:spacing w:after="0"/>
              <w:rPr>
                <w:sz w:val="21"/>
                <w:szCs w:val="21"/>
                <w:color w:val="auto"/>
              </w:rPr>
            </w:pPr>
          </w:p>
        </w:tc>
        <w:tc>
          <w:tcPr>
            <w:tcW w:w="6960" w:type="dxa"/>
            <w:vAlign w:val="bottom"/>
            <w:gridSpan w:val="9"/>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w:t>
            </w:r>
          </w:p>
        </w:tc>
      </w:tr>
      <w:tr>
        <w:trPr>
          <w:trHeight w:val="263"/>
        </w:trPr>
        <w:tc>
          <w:tcPr>
            <w:tcW w:w="20" w:type="dxa"/>
            <w:vAlign w:val="bottom"/>
          </w:tcPr>
          <w:p>
            <w:pPr>
              <w:spacing w:after="0"/>
              <w:rPr>
                <w:sz w:val="22"/>
                <w:szCs w:val="22"/>
                <w:color w:val="auto"/>
              </w:rPr>
            </w:pPr>
          </w:p>
        </w:tc>
        <w:tc>
          <w:tcPr>
            <w:tcW w:w="102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80" w:type="dxa"/>
            <w:vAlign w:val="bottom"/>
            <w:tcBorders>
              <w:top w:val="single" w:sz="8" w:color="0000FF"/>
            </w:tcBorders>
            <w:gridSpan w:val="3"/>
          </w:tcPr>
          <w:p>
            <w:pPr>
              <w:spacing w:after="0"/>
              <w:rPr>
                <w:sz w:val="21"/>
                <w:szCs w:val="21"/>
                <w:color w:val="auto"/>
              </w:rPr>
            </w:pPr>
          </w:p>
        </w:tc>
        <w:tc>
          <w:tcPr>
            <w:tcW w:w="19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080" w:type="dxa"/>
            <w:vAlign w:val="bottom"/>
            <w:gridSpan w:val="10"/>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Balance Sheets (Unaudited)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Cash Flows (Unaudited)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Changes in Redeemable Convertible Preferred Stock and Stockholders’ Equity (Unaudited)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Financial Statements (Unaudited)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8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680" w:type="dxa"/>
            <w:vAlign w:val="bottom"/>
            <w:gridSpan w:val="3"/>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80" w:type="dxa"/>
            <w:vAlign w:val="bottom"/>
            <w:gridSpan w:val="3"/>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720" w:type="dxa"/>
            <w:vAlign w:val="bottom"/>
            <w:tcBorders>
              <w:left w:val="single" w:sz="8" w:color="0000FF"/>
            </w:tcBorders>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80" w:type="dxa"/>
            <w:vAlign w:val="bottom"/>
            <w:gridSpan w:val="3"/>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80" w:type="dxa"/>
            <w:vAlign w:val="bottom"/>
            <w:tcBorders>
              <w:top w:val="single" w:sz="8" w:color="0000FF"/>
            </w:tcBorders>
            <w:gridSpan w:val="3"/>
          </w:tcPr>
          <w:p>
            <w:pPr>
              <w:spacing w:after="0"/>
              <w:rPr>
                <w:sz w:val="21"/>
                <w:szCs w:val="21"/>
                <w:color w:val="auto"/>
              </w:rPr>
            </w:pPr>
          </w:p>
        </w:tc>
        <w:tc>
          <w:tcPr>
            <w:tcW w:w="16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380" w:type="dxa"/>
            <w:vAlign w:val="bottom"/>
            <w:gridSpan w:val="12"/>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8"/>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8"/>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80" w:type="dxa"/>
            <w:vAlign w:val="bottom"/>
            <w:gridSpan w:val="3"/>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8"/>
            <w:shd w:val="clear" w:color="auto" w:fill="0000FF"/>
          </w:tcPr>
          <w:p>
            <w:pPr>
              <w:spacing w:after="0" w:line="20" w:lineRule="exact"/>
              <w:rPr>
                <w:sz w:val="1"/>
                <w:szCs w:val="1"/>
                <w:color w:val="auto"/>
              </w:rPr>
            </w:pPr>
          </w:p>
        </w:tc>
        <w:tc>
          <w:tcPr>
            <w:tcW w:w="674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80" w:type="dxa"/>
            <w:vAlign w:val="bottom"/>
            <w:gridSpan w:val="3"/>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730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680" w:type="dxa"/>
            <w:vAlign w:val="bottom"/>
            <w:gridSpan w:val="3"/>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740" w:type="dxa"/>
            <w:vAlign w:val="bottom"/>
            <w:gridSpan w:val="1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680" w:type="dxa"/>
            <w:vAlign w:val="bottom"/>
            <w:gridSpan w:val="3"/>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1391"/>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 Robotic Cataract Laser System™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spacing w:after="0" w:line="7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and ability to achieve or sustain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and maintain regulatory clearance or certification of and successfully commercialize the ALLY System and to maintain our LENSAR Laser System (“LLS”) (collectively the “Systems”);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results of operations and our suppliers and distributors as a result of global macroeconomic conditions;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the price difference for our products compared to a standard cataract procedure covered by Medicare or other insurance;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U.S. sales and marketing organization or maintain or grow an effective network of international distributors;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ability to raise additional funds on acceptable terms, or at all;</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a material disruption to the supply or manufacture of our Systems or necessary component parts for such Systems or material inflationary pressures affecting pricing of component parts;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competitors that have longer operating histories, more established products and greater resources than we do;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numerous risks associated with marketing, selling and leasing our products in markets outside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exposure to the credit risk of our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our inventory levels;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if we are unable to secure adequate coverage or reimbursement by government or other third-party payors for procedures using our ALLY System or our other products, or changes in such coverage or reimbursement;</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of product liability suits brought against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applicable to our products and operations;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 and other intellectual property matters.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or the context requires otherwise, references to “LENSAR,” the “Company,” “we,” “us,” and “our,” refer to LENSAR, Inc.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or have registered rights to certain trademarks, trade names, copyrights and other intellectual property used in our business, including LENSAR, the LENSAR logo, Streamline, IntelliAxis, IntelliAxis Refractive Capsulorhexis, ALLY, Intelligent Incisions, Augmented Reality, ALLY Robotic Cataract Laser System, and the ALLY Robotic Cataract Laser System logo, Robotic Laser Cataract Surgery, and the Robotic Laser Cataract Surgery logo, each of which is considered a trademark. All other company names, product names, trade names and trademarks included in this Quarterly Report are trademarks, registered trademarks or trade names of their respective owners.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p>
    <w:p>
      <w:pPr>
        <w:spacing w:after="0" w:line="149"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in the past, and could be in the future, adversely affected by economic uncertainty or deteriorations in economic conditions.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operating losses for the near-term future and we cannot assure you that we will be able to generate sufficient revenue to achieve or sustain profitability.</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4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gain regulatory clearances and certifications, as well as our ability to meet production goals for our ALLY System.</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in the future, and such funds may not be available on acceptable terms or at all.</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compete, and expect to compete in the future against other companies, some of which have longer operating histories, more established products or greater resources than we do.</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successfully market, sell and lease our products in markets outside of the United States, we must address many international business risks with which we have limited experience.</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operations are subject to extensive government regulation and oversight both in the United States and abroad, and our failure to comply with applicable requirements could harm our business.</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our ability to obtain, maintain and protect our intellectual property rights.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26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26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27,545</w:t>
            </w:r>
          </w:p>
        </w:tc>
        <w:tc>
          <w:tcPr>
            <w:tcW w:w="24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22,191</w:t>
            </w: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4,844</w:t>
            </w:r>
          </w:p>
        </w:tc>
        <w:tc>
          <w:tcPr>
            <w:tcW w:w="100" w:type="dxa"/>
            <w:vAlign w:val="bottom"/>
            <w:shd w:val="clear" w:color="auto" w:fill="CFF0FC"/>
          </w:tcPr>
          <w:p>
            <w:pPr>
              <w:spacing w:after="0"/>
              <w:rPr>
                <w:sz w:val="20"/>
                <w:szCs w:val="20"/>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tcPr>
          <w:p>
            <w:pPr>
              <w:spacing w:after="0"/>
              <w:rPr>
                <w:sz w:val="19"/>
                <w:szCs w:val="19"/>
                <w:color w:val="auto"/>
              </w:rPr>
            </w:pPr>
          </w:p>
        </w:tc>
      </w:tr>
      <w:tr>
        <w:trPr>
          <w:trHeight w:val="223"/>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13,539</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36,763</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 (exclusive of amortization)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Pr>
          <w:p>
            <w:pPr>
              <w:spacing w:after="0"/>
              <w:rPr>
                <w:sz w:val="19"/>
                <w:szCs w:val="19"/>
                <w:color w:val="auto"/>
              </w:rPr>
            </w:pPr>
          </w:p>
        </w:tc>
      </w:tr>
      <w:tr>
        <w:trPr>
          <w:trHeight w:val="23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Service</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4,918</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18,020</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14,101</w:t>
            </w:r>
          </w:p>
        </w:tc>
        <w:tc>
          <w:tcPr>
            <w:tcW w:w="100" w:type="dxa"/>
            <w:vAlign w:val="bottom"/>
          </w:tcPr>
          <w:p>
            <w:pPr>
              <w:spacing w:after="0"/>
              <w:rPr>
                <w:sz w:val="19"/>
                <w:szCs w:val="19"/>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19,726</w:t>
            </w: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Pr>
          <w:p>
            <w:pPr>
              <w:spacing w:after="0"/>
              <w:rPr>
                <w:sz w:val="19"/>
                <w:szCs w:val="19"/>
                <w:color w:val="auto"/>
              </w:rPr>
            </w:pPr>
          </w:p>
        </w:tc>
      </w:tr>
      <w:tr>
        <w:trPr>
          <w:trHeight w:val="23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(1,245 )</w:t>
            </w:r>
          </w:p>
        </w:tc>
        <w:tc>
          <w:tcPr>
            <w:tcW w:w="3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(2,040 )</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(9,375 )</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(9,268 )</w:t>
            </w:r>
          </w:p>
        </w:tc>
      </w:tr>
      <w:tr>
        <w:trPr>
          <w:trHeight w:val="238"/>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(410 )</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(3,838 )</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(1,654 )</w:t>
            </w:r>
          </w:p>
        </w:tc>
      </w:tr>
      <w:tr>
        <w:trPr>
          <w:trHeight w:val="23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(1,502 )</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(12,702 )</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(10,457 )</w:t>
            </w:r>
          </w:p>
        </w:tc>
      </w:tr>
      <w:tr>
        <w:trPr>
          <w:trHeight w:val="238"/>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unrealized loss on investments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and comprehensive (loss) income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(1,481 )</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(12,691 )</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(10,457 )</w:t>
            </w:r>
          </w:p>
        </w:tc>
      </w:tr>
      <w:tr>
        <w:trPr>
          <w:trHeight w:val="208"/>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earnings per common share: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2"/>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(0.13 )</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(1.11 )</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(0.96 )</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(0.13 )</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(0.23 )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(1.11 )</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(0.96 )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number of common shares used in calculation of net (loss)</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2"/>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11,102</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11,481</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10,881</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11,481</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-3805555</wp:posOffset>
            </wp:positionV>
            <wp:extent cx="7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-3805555</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-3805555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-3213735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-3213735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-3213735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-2322195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-2322195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-2322195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-1731010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-1731010</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-1731010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-1130935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-1113790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-1130935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-1113790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-1130935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-1113790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-814070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-796290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-814070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-814070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-796290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of $39 and $62, respectively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receivable, net of allowance of $7 and $7, respectively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under lease,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and other receivables, long-term, net of allowance of $20 and $26, respectively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62,019</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 par value $0.01 per share, 20 shares authorized at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2024 and December 31, 2023; 20 shares issued and outstanding at September 30, 2024</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December 31, 2023; aggregate liquidation preference of $20,000 at September 30, 2024 and</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par value $0.01 per share, 9,980 shares authorized at September 30, 2024 and</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2023; no shares issued and outstanding at September 30, 2024 and December 31, 2023</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$0.01 per share, 150,000 shares authorized at September 30, 2024 and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11,612 and 11,327 shares issued and outstanding at September 30, 2024 and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145,203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(124,593 )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(111,891 )</w:t>
            </w:r>
          </w:p>
        </w:tc>
      </w:tr>
      <w:tr>
        <w:trPr>
          <w:trHeight w:val="237"/>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100" w:type="dxa"/>
            <w:vAlign w:val="bottom"/>
            <w:tcBorders>
              <w:top w:val="single" w:sz="8" w:color="CFF0FC"/>
            </w:tcBorders>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62,019</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-4319905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-2416810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(12,702 )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(10,457 )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(5 )</w:t>
            </w: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Write-down of inventory</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on investments, net</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(185 )</w:t>
            </w: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(374 )</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Notes receivable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(769 )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(6,113 )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(7,940 )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(139 )</w:t>
            </w: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(1,489 )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(61 )</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(416 )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(47 )</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(5,932 )</w:t>
            </w: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(9,179 )</w:t>
            </w:r>
          </w:p>
        </w:tc>
      </w:tr>
      <w:tr>
        <w:trPr>
          <w:trHeight w:val="23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(153 )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(10,245 )</w:t>
            </w: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maturities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(4,153 )</w:t>
            </w: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through option exercises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settlement of stock-based compensation awards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(187 )</w:t>
            </w: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stock, net of offering costs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9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accrued offering costs allocable to preferred stock</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(98 )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(94 )</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(10,179 )</w:t>
            </w: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-2545080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-1919605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-668020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taxes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Transfer from Inventories to Equipment under lease, net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from (to) Inventories to (from) Property and equipment, net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(746 )</w:t>
            </w: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offering costs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accompanying notes are an integral part of these </w:t>
      </w:r>
      <w:r>
        <w:rPr>
          <w:rFonts w:ascii="Times New Roman" w:cs="Times New Roman" w:eastAsia="Times New Roman" w:hAnsi="Times New Roman"/>
          <w:sz w:val="18"/>
          <w:szCs w:val="18"/>
          <w:color w:val="231F20"/>
        </w:rPr>
        <w:t>condensed</w:t>
      </w:r>
      <w:r>
        <w:rPr>
          <w:rFonts w:ascii="Times New Roman" w:cs="Times New Roman" w:eastAsia="Times New Roman" w:hAnsi="Times New Roman"/>
          <w:sz w:val="18"/>
          <w:szCs w:val="18"/>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REDEEMABLE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140" w:type="dxa"/>
            <w:vAlign w:val="bottom"/>
            <w:gridSpan w:val="3"/>
            <w:vMerge w:val="restart"/>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4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ted</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w:t>
            </w:r>
          </w:p>
        </w:tc>
        <w:tc>
          <w:tcPr>
            <w:tcW w:w="9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580" w:type="dxa"/>
            <w:vAlign w:val="bottom"/>
            <w:tcBorders>
              <w:bottom w:val="single" w:sz="8" w:color="auto"/>
            </w:tcBorders>
            <w:gridSpan w:val="4"/>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ted</w:t>
            </w:r>
          </w:p>
        </w:tc>
        <w:tc>
          <w:tcPr>
            <w:tcW w:w="140" w:type="dxa"/>
            <w:vAlign w:val="bottom"/>
          </w:tcPr>
          <w:p>
            <w:pPr>
              <w:spacing w:after="0"/>
              <w:rPr>
                <w:sz w:val="15"/>
                <w:szCs w:val="15"/>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nsive</w:t>
            </w: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1"/>
                <w:szCs w:val="11"/>
                <w:color w:val="auto"/>
              </w:rPr>
            </w:pPr>
          </w:p>
        </w:tc>
        <w:tc>
          <w:tcPr>
            <w:tcW w:w="7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1"/>
                <w:szCs w:val="11"/>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00" w:type="dxa"/>
            <w:vAlign w:val="bottom"/>
            <w:gridSpan w:val="3"/>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1"/>
                <w:szCs w:val="11"/>
                <w:color w:val="auto"/>
              </w:rPr>
            </w:pPr>
          </w:p>
        </w:tc>
        <w:tc>
          <w:tcPr>
            <w:tcW w:w="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13,74</w:t>
            </w: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145,20</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7"/>
              </w:rPr>
              <w:t>(111,89</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60" w:type="dxa"/>
            <w:vAlign w:val="bottom"/>
            <w:vMerge w:val="continue"/>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6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under the Incentive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Incentive</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Plans, net of forfeitures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1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under the Incentive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(2,157 )</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(2,157 )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loss on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5"/>
        </w:trPr>
        <w:tc>
          <w:tcPr>
            <w:tcW w:w="3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13,74</w:t>
            </w: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145,77</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7"/>
              </w:rPr>
              <w:t>(114,04</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60" w:type="dxa"/>
            <w:vAlign w:val="bottom"/>
            <w:vMerge w:val="continue"/>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under the Incentive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Incentive</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Plans, net of forfeitures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ESPP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under the Incentive</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costs accrual release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(9,043 )</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(9,043 )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loss on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5"/>
        </w:trPr>
        <w:tc>
          <w:tcPr>
            <w:tcW w:w="3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13,78</w:t>
            </w: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146,62</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(123,0</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60" w:type="dxa"/>
            <w:vAlign w:val="bottom"/>
            <w:vMerge w:val="continue"/>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91 )</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under the Incentive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Incentive</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Plans, net of forfeitures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1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under the Incentive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(1,502 )</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(1,502 )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 on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13,78</w:t>
            </w: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147,20</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(124,5</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220" w:type="dxa"/>
            <w:vAlign w:val="bottom"/>
            <w:shd w:val="clear" w:color="auto" w:fill="CFF0FC"/>
          </w:tcPr>
          <w:p>
            <w:pPr>
              <w:spacing w:after="0"/>
              <w:rPr>
                <w:sz w:val="23"/>
                <w:szCs w:val="23"/>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STATEMENTS OF CHANGES IN REDEEMABLE CONVERTIBLE PREFERRED STOCK AND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140" w:type="dxa"/>
            <w:vAlign w:val="bottom"/>
            <w:gridSpan w:val="3"/>
            <w:vMerge w:val="restart"/>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4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2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560" w:type="dxa"/>
            <w:vAlign w:val="bottom"/>
            <w:tcBorders>
              <w:bottom w:val="single" w:sz="8" w:color="auto"/>
            </w:tcBorders>
            <w:gridSpan w:val="4"/>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ed</w:t>
            </w:r>
          </w:p>
        </w:tc>
        <w:tc>
          <w:tcPr>
            <w:tcW w:w="120" w:type="dxa"/>
            <w:vAlign w:val="bottom"/>
          </w:tcPr>
          <w:p>
            <w:pPr>
              <w:spacing w:after="0"/>
              <w:rPr>
                <w:sz w:val="15"/>
                <w:szCs w:val="15"/>
                <w:color w:val="auto"/>
              </w:rPr>
            </w:pPr>
          </w:p>
        </w:tc>
        <w:tc>
          <w:tcPr>
            <w:tcW w:w="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nsive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5"/>
        </w:trPr>
        <w:tc>
          <w:tcPr>
            <w:tcW w:w="38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139,38</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40" w:type="dxa"/>
            <w:vAlign w:val="bottom"/>
            <w:vMerge w:val="continue"/>
            <w:shd w:val="clear" w:color="auto" w:fill="CFF0FC"/>
          </w:tcPr>
          <w:p>
            <w:pPr>
              <w:spacing w:after="0"/>
              <w:rPr>
                <w:sz w:val="21"/>
                <w:szCs w:val="21"/>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(97,508 )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Plan,</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of forfeitures</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cancelled</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(4,272 )</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(4,272 )</w:t>
            </w:r>
          </w:p>
        </w:tc>
        <w:tc>
          <w:tcPr>
            <w:tcW w:w="0" w:type="dxa"/>
            <w:vAlign w:val="bottom"/>
          </w:tcPr>
          <w:p>
            <w:pPr>
              <w:spacing w:after="0"/>
              <w:rPr>
                <w:sz w:val="1"/>
                <w:szCs w:val="1"/>
                <w:color w:val="auto"/>
              </w:rPr>
            </w:pPr>
          </w:p>
        </w:tc>
      </w:tr>
      <w:tr>
        <w:trPr>
          <w:trHeight w:val="205"/>
        </w:trPr>
        <w:tc>
          <w:tcPr>
            <w:tcW w:w="384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Borders>
              <w:top w:val="single" w:sz="8" w:color="CFF0FC"/>
              <w:right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141,10</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7"/>
              </w:rPr>
              <w:t>(101,78</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40" w:type="dxa"/>
            <w:vAlign w:val="bottom"/>
            <w:vMerge w:val="continue"/>
          </w:tcPr>
          <w:p>
            <w:pPr>
              <w:spacing w:after="0"/>
              <w:rPr>
                <w:sz w:val="20"/>
                <w:szCs w:val="20"/>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0"/>
                <w:szCs w:val="20"/>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Series A Redeemable Convertible</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13,74</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net of offering costs of $649</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ESPP</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Plan</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 cancelled</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(8,753 )</w:t>
            </w:r>
          </w:p>
        </w:tc>
        <w:tc>
          <w:tcPr>
            <w:tcW w:w="120" w:type="dxa"/>
            <w:vAlign w:val="bottom"/>
          </w:tcPr>
          <w:p>
            <w:pPr>
              <w:spacing w:after="0"/>
              <w:rPr>
                <w:sz w:val="21"/>
                <w:szCs w:val="21"/>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(8,753 )</w:t>
            </w:r>
          </w:p>
        </w:tc>
        <w:tc>
          <w:tcPr>
            <w:tcW w:w="0" w:type="dxa"/>
            <w:vAlign w:val="bottom"/>
          </w:tcPr>
          <w:p>
            <w:pPr>
              <w:spacing w:after="0"/>
              <w:rPr>
                <w:sz w:val="1"/>
                <w:szCs w:val="1"/>
                <w:color w:val="auto"/>
              </w:rPr>
            </w:pPr>
          </w:p>
        </w:tc>
      </w:tr>
      <w:tr>
        <w:trPr>
          <w:trHeight w:val="205"/>
        </w:trPr>
        <w:tc>
          <w:tcPr>
            <w:tcW w:w="38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13,74</w:t>
            </w: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143,11</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(110,53</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40" w:type="dxa"/>
            <w:vAlign w:val="bottom"/>
            <w:vMerge w:val="continue"/>
            <w:shd w:val="clear" w:color="auto" w:fill="CFF0FC"/>
          </w:tcPr>
          <w:p>
            <w:pPr>
              <w:spacing w:after="0"/>
              <w:rPr>
                <w:sz w:val="21"/>
                <w:szCs w:val="21"/>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Plan,</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of forfeitures</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13,74</w:t>
            </w: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144,23</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7"/>
              </w:rPr>
              <w:t>(107,96</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220" w:type="dxa"/>
            <w:vAlign w:val="bottom"/>
            <w:shd w:val="clear" w:color="auto" w:fill="CFF0FC"/>
          </w:tcPr>
          <w:p>
            <w:pPr>
              <w:spacing w:after="0"/>
              <w:rPr>
                <w:sz w:val="23"/>
                <w:szCs w:val="23"/>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36,383</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-2588260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-2588260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-2588260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-2588260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-2588260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-2588260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-2588260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-25400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-8255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-25400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Organization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LENSAR Laser System (“LLS”) and ALLY Robotic Cataract Laser System™ (“ALLY System”) (collectively the “Systems”), which may include equipment, a consumable referred to as the Patient Interface Device (“PID”), procedure licenses, training, installation, limited warranty and maintenance agreements through extended warranty. The Company has developed its ALLY System as a compact, highly ergonomic system utilizing an extremely fast dual-modality laser and integrating artificial intelligence (“AI”) into proprietary imaging and software. The ALLY System is designed to transform premium cataract surgery by utilizing LENSAR’s advanced robotic technologies with the ability to perform the entire procedure in a sterile operating room or in-office surgical suite, delivering operational efficiencies and reducing overhead. The Company executed a controlled and targeted initial launch of the ALLY System beginning in August 2022 in the United States. The ALLY System is available to U.S. and European Union cataract surgeons and has also received regulatory clearance in India, Taiwan, and certain other countries. In addition, the Company has submitted the ALLY System for certification through distributors in South Korea and China for additional marketing or certification applications.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operating cash outflows since its inception and, as of September 30, 2024, had an accumulated deficit of $124,593. The Company expects to continue to incur losses and cash outflows from operating activities for the near-term future. Pricing increases in component parts for the ALLY System resulting from inflationary pressures and related macroeconomic conditions may necessitate an increase in overall cost to customers, which in turn may have an adverse impact on customer demand.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believes the Company’s cash and cash equivalents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In addition, the Company’s growth depends in part on the Company’s ability to produce the ALLY System in sufficient quantities, within requested timelines and at an acceptable price to satisfy customer demand. The Company’s liquidity needs will be largely determined by the Company’s ability to continue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condensed financial statements are unaudited and have been prepared in accordance with generally accepted accounting principles in the United States of America (“U.S. GAAP”) and pursuant to the regulations of the U.S. Securities and 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2023 condensed balance sheet data was derived from audited financial statements, but does not include all disclosures required by U.S. GAAP.</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related financial information should be read in conjunction with the Company’s annual audited financial statements and the related notes thereto for the fiscal year ended December 31, 2023, included in the Annual Report on Form 10-K (the “Annual Report”) as filed with the SEC on March 4,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Other than policies noted below, there have been no significant changes to the significant accounting policies disclosed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of the annual audited financial statements included in the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financial instruments to determine if such instruments are derivatives or contain features that qualify as embedded derivatives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For derivative financial instruments that are accounted for as liabilities, the derivative instrument is initially recorded at its fair value and is then re-valued at each reporting date, with changes in the fair value reported in the condensed statements of operations. Warrants issued by the Company that do not meet the criteria for equity treatment are recorded as liabilities. We do not use financial instruments or derivatives for any trading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w:t>
      </w:r>
    </w:p>
    <w:p>
      <w:pPr>
        <w:spacing w:after="0" w:line="68"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1—based on quoted market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3—based on unobservable inputs using management’s best estimate and assumptions when inputs are unavailable.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are classified in their entirety based on the lowest level of input that is significant to their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completed the Private Placement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xml:space="preserve">)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June 2023, the Company entered into an international distribution agreement in India with a company owned by an employee at that time. The Company established the distributor relationship to gain regulatory and operational efficiencies, as well as to establish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operations with all other international markets where it conducts business. During the year ended December 31, 2023, the Company began transitioning transactions with customers in India to the distributor. The Company recognized $290 in product revenue, $301 in cost of product sales, and $119 in selling, general and administrative expenses for the three months ended March 31, 2024 associated with its Indian operations. There were no amounts due from, or due to, the distributor at March 31, 2024. The related party relationship ended on April 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expense/(benefit) from continuing operations for the three and nine months ended September 30, 2024 and 2023 was $0 in each period, which resulted from maintaining a full valuation allowance against the Company’s net deferred tax assets.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Under Sections 382 and 383 of the Internal Revenue Code of 1986, as amended (the “Code”), certain substantial changes in the Company’s ownership may result in a limitation on the amount of net operating loss and tax credit carryforwards that may be used in future years. During the second quarter of 2023, the Company experienced a change in control event resulting from the Private Placement of Series A Redeemable Convertible Preferred Stock, triggering the application of Section 382 of the Code. Refer to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 The Company has not completed an analysis to determine whether any additional limitations have been triggered under Sections 382 and 383 of the Code as of September 30, 2024. The Company computed and applied limitations of tax deductions in the income tax provision computation for the year ended December 31, 2023; however, these limitations do not have a material impact on the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requires enhanced disclosures about segment expenses on an annual and interim basis. This standard is effective for the Company’s annual financial statements for the year ending December 31, 2024 and for interim periods beginning in 2025. The Company is currently evaluating the impact of this standard on the financial statement disclosures.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 to Income Tax Disclosures, which requires (1) disclosure of specific categories in the rate reconciliation and (2) additional information for reconciling items that meet a quantitative threshold. Additionally, the amendment requires disclosure of certain disaggregated information about income taxes paid, income from continuing operations before income tax expense (benefit) and income tax expense (benefit). The standard is effective for the Company’s annual financial statements for the year ending December 31, 2025. The Company is currently evaluating the impact of this standard on the financial statement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product and service revenue disaggregated by geographic region, which is determined based on customer location, for the three and nine months ended September 30, 2024 and 2023:</w:t>
      </w:r>
    </w:p>
    <w:p>
      <w:pPr>
        <w:spacing w:after="0" w:line="4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40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80" w:type="dxa"/>
            <w:vAlign w:val="bottom"/>
            <w:shd w:val="clear" w:color="auto" w:fill="CFF0FC"/>
          </w:tcPr>
          <w:p>
            <w:pPr>
              <w:spacing w:after="0"/>
              <w:rPr>
                <w:sz w:val="20"/>
                <w:szCs w:val="20"/>
                <w:color w:val="auto"/>
              </w:rPr>
            </w:pPr>
          </w:p>
        </w:tc>
      </w:tr>
      <w:tr>
        <w:trPr>
          <w:trHeight w:val="23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r>
      <w:tr>
        <w:trPr>
          <w:trHeight w:val="247"/>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80" w:type="dxa"/>
            <w:vAlign w:val="bottom"/>
            <w:shd w:val="clear" w:color="auto" w:fill="CFF0FC"/>
          </w:tcPr>
          <w:p>
            <w:pPr>
              <w:spacing w:after="0"/>
              <w:rPr>
                <w:sz w:val="21"/>
                <w:szCs w:val="21"/>
                <w:color w:val="auto"/>
              </w:rPr>
            </w:pPr>
          </w:p>
        </w:tc>
      </w:tr>
      <w:tr>
        <w:trPr>
          <w:trHeight w:val="23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Asia (excluding South Korea)</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tcPr>
          <w:p>
            <w:pPr>
              <w:spacing w:after="0"/>
              <w:rPr>
                <w:sz w:val="20"/>
                <w:szCs w:val="20"/>
                <w:color w:val="auto"/>
              </w:rPr>
            </w:pPr>
          </w:p>
        </w:tc>
      </w:tr>
      <w:tr>
        <w:trPr>
          <w:trHeight w:val="243"/>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408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25,215</w:t>
            </w:r>
          </w:p>
        </w:tc>
        <w:tc>
          <w:tcPr>
            <w:tcW w:w="8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-187960</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431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18" w:lineRule="exact"/>
        <w:rPr>
          <w:sz w:val="20"/>
          <w:szCs w:val="20"/>
          <w:color w:val="auto"/>
        </w:rPr>
      </w:pPr>
    </w:p>
    <w:p>
      <w:pPr>
        <w:jc w:val="both"/>
        <w:ind w:firstLine="8"/>
        <w:spacing w:after="0" w:line="231" w:lineRule="auto"/>
        <w:tabs>
          <w:tab w:leader="none" w:pos="11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table above does not include lease revenue of $1,724 and $1,524 for the three months ended September 30, 2024 and 2023, respectively, and $5,623 and $4,844 for the nine months ended September 30, 2024 and 2023, respectively. Substantially all lease revenue originates from the United States.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contract liabilities from contracts with customers: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376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current</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current</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net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receivable, long-term</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and other receivables, long-term, net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 current</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liability, long-term</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Accounts Receivables, Net – </w:t>
      </w:r>
      <w:r>
        <w:rPr>
          <w:rFonts w:ascii="Times New Roman" w:cs="Times New Roman" w:eastAsia="Times New Roman" w:hAnsi="Times New Roman"/>
          <w:sz w:val="18"/>
          <w:szCs w:val="18"/>
          <w:color w:val="auto"/>
        </w:rPr>
        <w:t>Accounts receivables, net, include amounts billed and due from customers. The amounts due are stated at their net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5"/>
        </w:trPr>
        <w:tc>
          <w:tcPr>
            <w:tcW w:w="55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2023</w:t>
            </w: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-1353820</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-299720</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Notes Receivables, Net </w:t>
      </w:r>
      <w:r>
        <w:rPr>
          <w:rFonts w:ascii="Times New Roman" w:cs="Times New Roman" w:eastAsia="Times New Roman" w:hAnsi="Times New Roman"/>
          <w:sz w:val="18"/>
          <w:szCs w:val="18"/>
          <w:color w:val="auto"/>
        </w:rPr>
        <w:t>– Notes receivable, net includes amounts billed and due from customers under extended payment terms with a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component. Interest rates on notes receivable range from 7.0% to 8.0%. The Company recorded interest income on notes receivable during the three months ended September 30, 2024 and 2023 of $25 and $19, respectively, and during the nine months ended September 30, 2024 and 2023 of $80 and $51, respectively, in other income, net in the statement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notes receivable:</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5"/>
        </w:trPr>
        <w:tc>
          <w:tcPr>
            <w:tcW w:w="55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2023</w:t>
            </w: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-1353820</wp:posOffset>
            </wp:positionV>
            <wp:extent cx="342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-299720</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The Company's contract assets represent revenue recognized for performance obligations completed before an unconditional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exists, and therefore invoicing has not yet occurred. The Company classifies contract assets in prepaid and other current assets in the Company's condensed balance sheets.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from contracts with customers:</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as of December 31, 2023</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0" w:type="dxa"/>
            <w:vAlign w:val="bottom"/>
          </w:tcPr>
          <w:p>
            <w:pPr>
              <w:spacing w:after="0"/>
              <w:rPr>
                <w:sz w:val="20"/>
                <w:szCs w:val="20"/>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recognized</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 w:type="dxa"/>
            <w:vAlign w:val="bottom"/>
          </w:tcPr>
          <w:p>
            <w:pPr>
              <w:spacing w:after="0"/>
              <w:rPr>
                <w:sz w:val="20"/>
                <w:szCs w:val="20"/>
                <w:color w:val="auto"/>
              </w:rPr>
            </w:pPr>
          </w:p>
        </w:tc>
      </w:tr>
      <w:tr>
        <w:trPr>
          <w:trHeight w:val="252"/>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(1,141 )</w:t>
            </w:r>
          </w:p>
        </w:tc>
        <w:tc>
          <w:tcPr>
            <w:tcW w:w="20" w:type="dxa"/>
            <w:vAlign w:val="bottom"/>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Write-off due to contract modification</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0" w:type="dxa"/>
            <w:vAlign w:val="bottom"/>
          </w:tcPr>
          <w:p>
            <w:pPr>
              <w:spacing w:after="0"/>
              <w:rPr>
                <w:sz w:val="20"/>
                <w:szCs w:val="20"/>
                <w:color w:val="auto"/>
              </w:rPr>
            </w:pPr>
          </w:p>
        </w:tc>
      </w:tr>
      <w:tr>
        <w:trPr>
          <w:trHeight w:val="277"/>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as of September 30, 2024</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 w:type="dxa"/>
            <w:vAlign w:val="bottom"/>
          </w:tcPr>
          <w:p>
            <w:pPr>
              <w:spacing w:after="0"/>
              <w:rPr>
                <w:sz w:val="24"/>
                <w:szCs w:val="24"/>
                <w:color w:val="auto"/>
              </w:rPr>
            </w:pPr>
          </w:p>
        </w:tc>
      </w:tr>
      <w:tr>
        <w:trPr>
          <w:trHeight w:val="46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as of December 31, 2022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24"/>
                <w:szCs w:val="24"/>
                <w:color w:val="auto"/>
              </w:rPr>
            </w:pPr>
          </w:p>
        </w:tc>
      </w:tr>
      <w:tr>
        <w:trPr>
          <w:trHeight w:val="25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recognized</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Pr>
          <w:p>
            <w:pPr>
              <w:spacing w:after="0"/>
              <w:rPr>
                <w:sz w:val="21"/>
                <w:szCs w:val="21"/>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2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 due to contract modification</w:t>
            </w:r>
          </w:p>
        </w:tc>
        <w:tc>
          <w:tcPr>
            <w:tcW w:w="20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20" w:type="dxa"/>
            <w:vAlign w:val="bottom"/>
          </w:tcPr>
          <w:p>
            <w:pPr>
              <w:spacing w:after="0"/>
              <w:rPr>
                <w:sz w:val="21"/>
                <w:szCs w:val="21"/>
                <w:color w:val="auto"/>
              </w:rPr>
            </w:pPr>
          </w:p>
        </w:tc>
      </w:tr>
      <w:tr>
        <w:trPr>
          <w:trHeight w:val="236"/>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Contract assets as of September 30, 2023</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-984885</wp:posOffset>
            </wp:positionV>
            <wp:extent cx="34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-967740</wp:posOffset>
            </wp:positionV>
            <wp:extent cx="342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Deferred Revenue and Contract Liabilities – </w:t>
      </w:r>
      <w:r>
        <w:rPr>
          <w:rFonts w:ascii="Times New Roman" w:cs="Times New Roman" w:eastAsia="Times New Roman" w:hAnsi="Times New Roman"/>
          <w:sz w:val="18"/>
          <w:szCs w:val="18"/>
          <w:color w:val="auto"/>
        </w:rPr>
        <w:t>The Company’s deferred revenue and contract liabilities represent services and products sold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which the performance obligation has not been completed by the Company. The Company classifies deferred revenue and contract liabilities as current or noncurrent based on the timing of when it expects to recognize revenue. The noncurrent portion of deferred revenue and contract liabilities is included in other long-term liabilities in the Company’s condensed balance sheets.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deferred revenue and contract liabilities from contracts with customers:</w:t>
      </w:r>
    </w:p>
    <w:p>
      <w:pPr>
        <w:spacing w:after="0" w:line="124" w:lineRule="exact"/>
        <w:rPr>
          <w:sz w:val="20"/>
          <w:szCs w:val="20"/>
          <w:color w:val="auto"/>
        </w:rPr>
      </w:pPr>
    </w:p>
    <w:tbl>
      <w:tblPr>
        <w:tblLayout w:type="fixed"/>
        <w:tblInd w:w="1240" w:type="dxa"/>
        <w:tblCellMar>
          <w:top w:w="0" w:type="dxa"/>
          <w:left w:w="0" w:type="dxa"/>
          <w:bottom w:w="0" w:type="dxa"/>
          <w:right w:w="0" w:type="dxa"/>
        </w:tblCellMar>
      </w:tblPr>
      <w:tr>
        <w:trPr>
          <w:trHeight w:val="187"/>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and contract liabilities as of December 31, 2023</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shd w:val="clear" w:color="auto" w:fill="CFF0FC"/>
          </w:tcPr>
          <w:p>
            <w:pPr>
              <w:spacing w:after="0"/>
              <w:rPr>
                <w:sz w:val="20"/>
                <w:szCs w:val="20"/>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Billings not yet recognized as revenue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deferred revenue and contract liabilities recognized as revenue</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(1,258 )</w:t>
            </w:r>
          </w:p>
        </w:tc>
      </w:tr>
      <w:tr>
        <w:trPr>
          <w:trHeight w:val="243"/>
        </w:trPr>
        <w:tc>
          <w:tcPr>
            <w:tcW w:w="72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72"/>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and contract liabilities as of September 30, 2024</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Borders>
              <w:bottom w:val="single" w:sz="8" w:color="CFF0FC"/>
            </w:tcBorders>
            <w:shd w:val="clear" w:color="auto" w:fill="CFF0FC"/>
          </w:tcPr>
          <w:p>
            <w:pPr>
              <w:spacing w:after="0"/>
              <w:rPr>
                <w:sz w:val="23"/>
                <w:szCs w:val="23"/>
                <w:color w:val="auto"/>
              </w:rPr>
            </w:pPr>
          </w:p>
        </w:tc>
      </w:tr>
      <w:tr>
        <w:trPr>
          <w:trHeight w:val="46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contract liabilities as of December 31, 2022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24"/>
                <w:szCs w:val="24"/>
                <w:color w:val="auto"/>
              </w:rPr>
            </w:pPr>
          </w:p>
        </w:tc>
      </w:tr>
      <w:tr>
        <w:trPr>
          <w:trHeight w:val="250"/>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Billings not yet recognized as revenue</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shd w:val="clear" w:color="auto" w:fill="CFF0FC"/>
          </w:tcPr>
          <w:p>
            <w:pPr>
              <w:spacing w:after="0"/>
              <w:rPr>
                <w:sz w:val="21"/>
                <w:szCs w:val="2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deferred revenue and contract liabilities recognized as revenue</w:t>
            </w:r>
          </w:p>
        </w:tc>
        <w:tc>
          <w:tcPr>
            <w:tcW w:w="3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(814 )</w:t>
            </w:r>
          </w:p>
        </w:tc>
      </w:tr>
      <w:tr>
        <w:trPr>
          <w:trHeight w:val="276"/>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and contract liabilities as of September 30, 2023</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-830580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-814070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wrote off certain contract liabilities associated with intangible assets that were determined to be impaired during the three months ended June 30, 2024. Refer to Note 7,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the revenue expected to be recognized in future periods related to performance obligations that are unsatisfied for executed contracts with an original duration of one year or more was approximately $31,876. The Company expects to satisfy its remaining performance obligations by December 31, 2029, with $2,602 to be satisfied by December 31, 2024, $9,590 to be satisfied by December 31, 2025, $7,051 to be satisfied by December 31, 2026, $6,101 to be satisfied by December 31, 2027, $4,199 to be satisfied by December 31, 2028, $2,333 to be satisfied by December 31, 2029.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money market funds, U.S. treasury bills, certificates of deposit, and U.S. government securities as Level 1 within the fair value hierarchy as the fair value is based on quoted prices.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assets and liabilities at fair value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r>
      <w:tr>
        <w:trPr>
          <w:trHeight w:val="27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00" w:type="dxa"/>
            <w:vAlign w:val="bottom"/>
            <w:shd w:val="clear" w:color="auto" w:fill="CFF0FC"/>
          </w:tcPr>
          <w:p>
            <w:pPr>
              <w:spacing w:after="0"/>
              <w:rPr>
                <w:sz w:val="24"/>
                <w:szCs w:val="24"/>
                <w:color w:val="auto"/>
              </w:rPr>
            </w:pPr>
          </w:p>
        </w:tc>
      </w:tr>
      <w:tr>
        <w:trPr>
          <w:trHeight w:val="228"/>
        </w:trPr>
        <w:tc>
          <w:tcPr>
            <w:tcW w:w="58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-2725420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-2725420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-2725420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-2073910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-2073910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-2073910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-676275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-659765</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-676275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-659765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-676275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-659765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hierarchy levels during three and nine months ended September 30, 2024 and 2023.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financial assets that are measured at fair value on a recurring basis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0"/>
                <w:szCs w:val="20"/>
                <w:color w:val="auto"/>
              </w:rPr>
            </w:pPr>
          </w:p>
        </w:tc>
      </w:tr>
      <w:tr>
        <w:trPr>
          <w:trHeight w:val="277"/>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12,658</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3"/>
        </w:trPr>
        <w:tc>
          <w:tcPr>
            <w:tcW w:w="58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6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00" w:type="dxa"/>
            <w:vAlign w:val="bottom"/>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-1842135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-1824990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-1842135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-1824990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-1842135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-1824990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-187960</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measured on a recurring basis using unobservable Level 3 inputs for the period ended September 30, 2024 is set forth below:</w:t>
      </w:r>
    </w:p>
    <w:p>
      <w:pPr>
        <w:spacing w:after="0" w:line="4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80" w:type="dxa"/>
            <w:vAlign w:val="bottom"/>
          </w:tcPr>
          <w:p>
            <w:pPr>
              <w:spacing w:after="0"/>
              <w:rPr>
                <w:sz w:val="13"/>
                <w:szCs w:val="13"/>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Warrant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4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Series B Warrant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warrant liabilities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balances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3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-1096645</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-1096645</wp:posOffset>
            </wp:positionV>
            <wp:extent cx="431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Systems. The Company’s leases have remaining lease terms of less than one year to six years. Lease revenue for the three and nine months ended September 30, 2024 and 2023 was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1,724</w:t>
            </w:r>
          </w:p>
        </w:tc>
        <w:tc>
          <w:tcPr>
            <w:tcW w:w="5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1,524</w:t>
            </w:r>
          </w:p>
        </w:tc>
        <w:tc>
          <w:tcPr>
            <w:tcW w:w="58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5,623</w:t>
            </w:r>
          </w:p>
        </w:tc>
        <w:tc>
          <w:tcPr>
            <w:tcW w:w="5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80" w:type="dxa"/>
            <w:vAlign w:val="bottom"/>
            <w:shd w:val="clear" w:color="auto" w:fill="CFF0FC"/>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components of intangible assets were as follows: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1"/>
                <w:szCs w:val="11"/>
                <w:color w:val="auto"/>
              </w:rPr>
            </w:pP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60" w:type="dxa"/>
            <w:vAlign w:val="bottom"/>
            <w:gridSpan w:val="4"/>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4"/>
                <w:szCs w:val="24"/>
                <w:color w:val="auto"/>
                <w:vertAlign w:val="superscript"/>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(2,599 )</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Acquired technology </w:t>
            </w:r>
            <w:r>
              <w:rPr>
                <w:rFonts w:ascii="Times New Roman" w:cs="Times New Roman" w:eastAsia="Times New Roman" w:hAnsi="Times New Roman"/>
                <w:sz w:val="24"/>
                <w:szCs w:val="24"/>
                <w:color w:val="auto"/>
                <w:vertAlign w:val="superscript"/>
              </w:rPr>
              <w:t>1,3,4,5</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(5,306 )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(3,943 )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(4,807 )</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Acquired trademarks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(570 )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(570 )</w:t>
            </w: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70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(8,475 )</w:t>
            </w:r>
          </w:p>
        </w:tc>
        <w:tc>
          <w:tcPr>
            <w:tcW w:w="4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(3,943 )</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(7,737 )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-8255</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80" w:hanging="372"/>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intangible assets were established upon PDL BioPharma, Inc.’s acquisition of LENSAR in May 2017. They are being amortized on a straight-line basis over a period of 15 years. The intangible assets for customer relationships are amortized on a straight-line basis or a double declining basis over their estimated useful lives up to 20 years based on the method that better represents the economic benefits to be obtained.</w:t>
      </w:r>
    </w:p>
    <w:p>
      <w:pPr>
        <w:spacing w:after="0" w:line="6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LENSAR acquired certain intangible assets for customer relationships from a domestic distributor in an asset acquisition, which are being amortized on a straight-line basis over a period of 10 years.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LENSAR acquired certain intangible assets from a medical technology company in an asset acquisition, which were being amortized on a straight-line basis over a period of 15 years.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LENSAR acquired certain intellectual property from a third party. Pursuant to the Company's agreement with the third party, the Company made milestone payments of $2,400 during the year ended December 31, 2022.</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the phacoemulsification component. The Company determined that the carrying value of the intangible assets in items 3 and 4 above exceeded the estimated recoverable amount of $0 and recorded an impairment of intangible assets of $3,943. The impairment charge was offset with the write-off of the related contract liabilities of $214.</w:t>
      </w:r>
    </w:p>
    <w:p>
      <w:pPr>
        <w:spacing w:after="0" w:line="3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for three months ended September 30, 2024 and 2023 was $232 and $273, respectively, and for the nine months ended September 30, 2024 and 2023 was $738 and $824,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intangible assets recorded at September 30, 2024, and assuming no subsequent additions to or impairment of the underlying assets, the remaining amortization expense is expected to be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Remainder of 2024</w:t>
            </w:r>
          </w:p>
        </w:tc>
        <w:tc>
          <w:tcPr>
            <w:tcW w:w="320" w:type="dxa"/>
            <w:vAlign w:val="bottom"/>
            <w:shd w:val="clear" w:color="auto" w:fill="CFF0FC"/>
          </w:tcPr>
          <w:p>
            <w:pPr>
              <w:spacing w:after="0"/>
              <w:rPr>
                <w:sz w:val="20"/>
                <w:szCs w:val="20"/>
                <w:color w:val="auto"/>
              </w:rPr>
            </w:pPr>
          </w:p>
        </w:tc>
        <w:tc>
          <w:tcPr>
            <w:tcW w:w="12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remaining estimated amortization expense</w:t>
            </w:r>
          </w:p>
        </w:tc>
        <w:tc>
          <w:tcPr>
            <w:tcW w:w="320" w:type="dxa"/>
            <w:vAlign w:val="bottom"/>
          </w:tcPr>
          <w:p>
            <w:pPr>
              <w:spacing w:after="0"/>
              <w:rPr>
                <w:sz w:val="20"/>
                <w:szCs w:val="20"/>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Accrued Liabilities</w:t>
            </w: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5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6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20" w:type="dxa"/>
            <w:vAlign w:val="bottom"/>
            <w:shd w:val="clear" w:color="auto" w:fill="CFF0FC"/>
          </w:tcPr>
          <w:p>
            <w:pPr>
              <w:spacing w:after="0"/>
              <w:rPr>
                <w:sz w:val="20"/>
                <w:szCs w:val="20"/>
                <w:color w:val="auto"/>
              </w:rPr>
            </w:pPr>
          </w:p>
        </w:tc>
        <w:tc>
          <w:tcPr>
            <w:tcW w:w="880" w:type="dxa"/>
            <w:vAlign w:val="bottom"/>
            <w:tcBorders>
              <w:top w:val="single" w:sz="8" w:color="auto"/>
              <w:right w:val="single" w:sz="8" w:color="CFF0FC"/>
            </w:tcBorders>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w:t>
            </w:r>
          </w:p>
        </w:tc>
        <w:tc>
          <w:tcPr>
            <w:tcW w:w="32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offering costs</w:t>
            </w:r>
          </w:p>
        </w:tc>
        <w:tc>
          <w:tcPr>
            <w:tcW w:w="320" w:type="dxa"/>
            <w:vAlign w:val="bottom"/>
          </w:tcPr>
          <w:p>
            <w:pPr>
              <w:spacing w:after="0"/>
              <w:rPr>
                <w:sz w:val="20"/>
                <w:szCs w:val="20"/>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4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right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-1996440</wp:posOffset>
            </wp:positionV>
            <wp:extent cx="342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 Liabilities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completed the Private Placement, which included the issuance of warrants (the “Warrants”) to purchase an aggregate of 4,367 shares of common stock (the “Warrant Shares”). Fifty percent of the Warrants have an exercise price equal to $2.45 per share (the “Series A Warrant”), and 50% of the Warrants have an exercise price equal to $3.0625 per share (the “Series B Warrant”), subject in each instance to adjustments as provided under the terms of the Warrants. Refer to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 of operations. Of the $20,000 gross proceeds for the Private Placement, $5,605 was allocated to the Warrants and the remaining $14,395 was allocated to the Series A Redeemable Convertible 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liabilities using recently quoted market prices of the Company's common stock and the Black-Scholes option pricing model. The fair value of the warrant liabilities was estimated using the following assumptions as of September 30, 2024 and December 31, 2023:</w:t>
      </w:r>
    </w:p>
    <w:p>
      <w:pPr>
        <w:spacing w:after="0" w:line="75"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5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20"/>
                <w:szCs w:val="20"/>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r>
      <w:tr>
        <w:trPr>
          <w:trHeight w:val="24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1"/>
                <w:szCs w:val="2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warrant liabilities was based on the remaining contractual term of the Warrants.</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ectPr>
          <w:pgSz w:w="11900" w:h="16838" w:orient="portrait"/>
          <w:cols w:equalWidth="0" w:num="1">
            <w:col w:w="11240"/>
          </w:cols>
          <w:pgMar w:left="320" w:top="765"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LENSAR is a party to various supply agreements for the manufacture and supply of certain components. The supply agreements commit LENSAR to a minimum purchase obligation of approximately $9,296 over the next 18 months. LENSAR expects to meet these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United States enacted the Coronavirus Aid, Relief, and Economic Security Act (“CARES Act”). The CARES Act provides for an employee retention credit (“ERC”), which is a refundable tax credit against certain employment taxes paid in 2020 and 2021. During the quarter ended September 30, 2023, the Company received a majority of the ERC. As such, the Company recorded $1,368 as a reduction of selling, general and administrative expenses, which represents the ERC net of professional fees in the quarter ended September 30, 2023. During the three and nine months ended September 30, 2024, no amounts were recorded related to the ERC.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medical device market in which LENSAR participates is largely technology driven. As a result, intellectual property rights, particularly patents and trade secrets, play a significant role in product development and differentiation.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We make provisions for liabilities when it is both probable that a liability has been incurred and the amount of the loss can be reasonably estimated.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14, 2023, stockholders Ryan Schaper and Christopher P. Bolster filed a Verified Amended Class Action Complaint against the Company and certain of its officers and members of the board of directors (“Defendants”) in the matter captioned Schaper v. LENSAR, Inc., et al., Case No. 1:23-cv-00692-JLH (D. Del.). Plaintiffs allege that Defendants violated Sections 14(a) and 20(a) of the Exchange Act, as well as Rule 14d-9 promulgated thereunder, and assert claims challenging the adequacy of disclosures in the definitive proxy statement filed with the SEC on June 20, 2023, or the Proxy, in connection with the Private Placement. On August 18, 2023, the parties filed a joint stipulation extending Defendants’ time to respond to the complaint until a lead plaintiff is appointed and plaintiffs file a second amended complaint or designate the Verified Amended Class Action Complaint as operative. On December 12, 2023, the Court appointed Ryan Schaper and Christopher P. Bolster as Lead Plaintiffs. On December 22, 2023, the parties filed a joint stipulation providing that Lead Plaintiffs' will file a second amended complaint or designate the Verified Amended Class Action Complaint as operative on or before January 12, 2024. On January 12, 2024, Lead Plaintiffs filed a Verified Second Amended Class Action Complaint. Defendants filed a motion to dismiss on February 26, 2024. The parties completed briefing on the motion to dismiss in May 2024.</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vigorously denies that the definitive proxy statement filed with the SEC on June 20, 2023 was deficient in any respect, or that that supplemental disclosures were required or necessary under applicable laws. At this time, the Company cannot predict the outcome, or provide a reasonable estimate or range of estimates of the possible outcome or loss, if any, in this matter.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matter or other such matters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entered into a Securities Purchase Agreement (the “SPA”) with NR-GRI Partners, LP (“NR-GRI”), whereby it sold to NR-GRI, for an aggregate purchase price of $20,000, 20 shares of Series A Redeemable Convertible Preferred Stock and the Warrants (the “Private Placement”).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more details related to the Warrants. The Series A Redeemable Convertible Preferred Stock is convertible into 7,940 shares of common stock at the election of NR-GRI.</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Series A Redeemable Convertible Preferred Stock is classified as temporary equity in the condensed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condensed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Offering costs were subsequently reduced by $51 in the three months ended June 30, 2024 as all offering costs were paid and allocated ratably based on the allocation of proceeds; $14 was allocated to general and administrative expenses and $37 was allocated to Series A Redeemable Convertible Preferred Stock. Series A Redeemable Convertible Preferred Stock is presented net of offering costs on the condensed balance sheet.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 Convertible Preferred Stock and exercise of the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 single class of common stock in which stockholders are entitled to one vote for each share of common stock. No cash dividend was declared on common stock during the three and nine months ended September 30,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2020 Plan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July 2020, the Board of Directors approved the LENSAR Inc. 2020 Incentive Award Plan (the “2020 Plan”). The 2020 Plan provides for the grant of stock options, restricted stock, restricted stock unit awards, performance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w:t>
      </w:r>
    </w:p>
    <w:p>
      <w:pPr>
        <w:sectPr>
          <w:pgSz w:w="11900" w:h="16838" w:orient="portrait"/>
          <w:cols w:equalWidth="0" w:num="1">
            <w:col w:w="11240"/>
          </w:cols>
          <w:pgMar w:left="320" w:top="76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September 30, 2024, the Company has reserved a total of 5,550 shares of common stock for issuance under the 2020 Plan.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Inducement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February 2024, the Board adopted the 2024 Employment Inducement Incentive Award Plan (the “Inducement Plan”). The Inducement Plan provides for the grant of non-qualified stock options, stock appreciation rights, restricted stock awards, restricted stock units, and other stock or cash based awards (collectively, the “Inducement Awards”).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 Inducement Plan. In accordance with Rule 5635(c)(4) of the Nasdaq Listing Rules, Inducement Awards under the 2024 Plan may only be made to an employee who has not previously been an employee or member of the Board, or following a bona fide period of non-employment by the Company, if he or she is granted such Inducement Awards in connection with his or her commencement of employment with the Company and such grant is an inducement material to his or her entering into employment with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shares available for issuance under the 2020 Plan and Inducement Plan (collectively, the “Incentive Plans”) is as follows:</w:t>
      </w:r>
    </w:p>
    <w:p>
      <w:pPr>
        <w:spacing w:after="0" w:line="112"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 Plan</w:t>
            </w:r>
          </w:p>
        </w:tc>
        <w:tc>
          <w:tcPr>
            <w:tcW w:w="100" w:type="dxa"/>
            <w:vAlign w:val="bottom"/>
          </w:tcPr>
          <w:p>
            <w:pPr>
              <w:spacing w:after="0"/>
              <w:rPr>
                <w:sz w:val="13"/>
                <w:szCs w:val="13"/>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23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Granted/Awarded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9"/>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award activity under the Incentive Plans is set forth below:</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0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80" w:type="dxa"/>
            <w:vAlign w:val="bottom"/>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September 30,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-482600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-465455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and nine months ended September 30, 2024 was $2.79 and $2.44, respectively. The total fair value of options vested during the three and nine months ended September 30, 2024 was approximately $272 and $1,269, respectively. Total unrecognized compensation expense of $1,360 related to stock options will be recognized over a weighted average period of 1.7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vested as of September 30,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Options Vested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1"/>
                <w:szCs w:val="11"/>
                <w:color w:val="auto"/>
              </w:rPr>
            </w:pPr>
          </w:p>
        </w:tc>
        <w:tc>
          <w:tcPr>
            <w:tcW w:w="88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vMerge w:val="restart"/>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60" w:type="dxa"/>
            <w:vAlign w:val="bottom"/>
          </w:tcPr>
          <w:p>
            <w:pPr>
              <w:spacing w:after="0"/>
              <w:rPr>
                <w:sz w:val="12"/>
                <w:szCs w:val="12"/>
                <w:color w:val="auto"/>
              </w:rPr>
            </w:pPr>
          </w:p>
        </w:tc>
        <w:tc>
          <w:tcPr>
            <w:tcW w:w="8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4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$2.15 - $3.10</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$3.27 - $5.95</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$6.07 - $8.62</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-187960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and nine months ended September 30, 2024 and 2023:</w:t>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26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28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24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3240" w:type="dxa"/>
            <w:vAlign w:val="bottom"/>
          </w:tcPr>
          <w:p>
            <w:pPr>
              <w:spacing w:after="0"/>
              <w:rPr>
                <w:sz w:val="14"/>
                <w:szCs w:val="14"/>
                <w:color w:val="auto"/>
              </w:rPr>
            </w:pPr>
          </w:p>
        </w:tc>
        <w:tc>
          <w:tcPr>
            <w:tcW w:w="10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3.7 - 4.4%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4.1 - 4.3%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3.7 - 4.6%</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3.5 - 4.3%</w:t>
            </w: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59 - 61%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57 - 70%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58 - 61%</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57 - 70%</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Company’s stock-based compensation awards was based on an index of the expected terms of a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publicly-traded medical device and other peer companies, which the Company believed was representative of the expected term of its awards.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Company’s stock-based compensation awards was based on an index of the historical volatilities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of comparable publicly-traded medical device and other peer companies, which the Company believed was representative of the volatility of its common stock.</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granted to employees and non-employees generally vest over one to four years in annual equal increments. The fair value of restricted stock units is based on the Company’s closing stock price on the date of grant.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stock units granted to certain executive officers are subject to service and performance conditions. The shares subject to the performance stock units vest over a four-year performance period. The actual number of performance stock units that will vest in each measurement period will be determined by the Compensation Committee based on the Company’s one-year trailing revenues and achievement of certain revenue thresholds. The fair value of performance stock units is based on the Company’s closing stock price on the date of grant.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and performance stock unit activity under the Incentive Plans is set forth below:</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2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Restricted Stock Units Outstanding</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4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2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cancelled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three and nine months ended September 30, 2024 was approximately $234 and $728, respectively. At September 30, 2024 there was approximately $1,862 of total unrecognized compensation expense related to restricted stock units and performance stock units, which is expected to be recognized over a weighted-average period of 2.1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w:t>
      </w:r>
      <w:r>
        <w:rPr>
          <w:rFonts w:ascii="Times New Roman" w:cs="Times New Roman" w:eastAsia="Times New Roman" w:hAnsi="Times New Roman"/>
          <w:sz w:val="18"/>
          <w:szCs w:val="18"/>
          <w:color w:val="231F20"/>
        </w:rPr>
        <w:t>As of September 30, 2024, the Company has reserved 564 shares of common stock for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under the 2020 ESPP. </w:t>
      </w:r>
      <w:r>
        <w:rPr>
          <w:rFonts w:ascii="Times New Roman" w:cs="Times New Roman" w:eastAsia="Times New Roman" w:hAnsi="Times New Roman"/>
          <w:sz w:val="18"/>
          <w:szCs w:val="18"/>
          <w:color w:val="000000"/>
        </w:rPr>
        <w:t>The price of the common stock purchased will be the lower of 85% of the fair market value of the common stock at the beginning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 offering period or at the end of a purchase period. The 2020 ESPP is intended to qualify as an "employee stock purchase plan" within the meaning of Section 423 of the Code.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384 shares of common stock have been issued to employees participating in the 2020 ESPP and 180 shares were available for future issuance under the 2020 ESPP. The grant date fair value of the shares to be issued under the Company’s 2020 ESPP was estimated using the Black-Scholes valuation model.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total stock-based compensation expense recognized under the Incentive Plans and the 2020 ESPP in the Company's condensed statements of operations: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14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22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 product</w:t>
            </w:r>
          </w:p>
        </w:tc>
        <w:tc>
          <w:tcPr>
            <w:tcW w:w="78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 product</w:t>
            </w: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FF0FC"/>
          </w:tcPr>
          <w:p>
            <w:pPr>
              <w:spacing w:after="0"/>
              <w:rPr>
                <w:sz w:val="21"/>
                <w:szCs w:val="21"/>
                <w:color w:val="auto"/>
              </w:rPr>
            </w:pPr>
          </w:p>
        </w:tc>
        <w:tc>
          <w:tcPr>
            <w:tcW w:w="380" w:type="dxa"/>
            <w:vAlign w:val="bottom"/>
            <w:tcBorders>
              <w:right w:val="single" w:sz="8" w:color="CFF0FC"/>
            </w:tcBorders>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 – service</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r>
      <w:tr>
        <w:trPr>
          <w:trHeight w:val="247"/>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shd w:val="clear" w:color="auto" w:fill="CFF0FC"/>
          </w:tcPr>
          <w:p>
            <w:pPr>
              <w:spacing w:after="0"/>
              <w:rPr>
                <w:sz w:val="21"/>
                <w:szCs w:val="21"/>
                <w:color w:val="auto"/>
              </w:rPr>
            </w:pPr>
          </w:p>
        </w:tc>
        <w:tc>
          <w:tcPr>
            <w:tcW w:w="380" w:type="dxa"/>
            <w:vAlign w:val="bottom"/>
            <w:tcBorders>
              <w:right w:val="single" w:sz="8" w:color="CFF0FC"/>
            </w:tcBorders>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1,173</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right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 is expected to be amortized as follows:</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3"/>
        </w:trPr>
        <w:tc>
          <w:tcPr>
            <w:tcW w:w="226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260" w:type="dxa"/>
            <w:vAlign w:val="bottom"/>
          </w:tcPr>
          <w:p>
            <w:pPr>
              <w:spacing w:after="0"/>
              <w:rPr>
                <w:sz w:val="20"/>
                <w:szCs w:val="20"/>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7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6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22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226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22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226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22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2260" w:type="dxa"/>
            <w:vAlign w:val="bottom"/>
          </w:tcPr>
          <w:p>
            <w:pPr>
              <w:spacing w:after="0"/>
              <w:rPr>
                <w:sz w:val="22"/>
                <w:szCs w:val="22"/>
                <w:color w:val="auto"/>
              </w:rPr>
            </w:pPr>
          </w:p>
        </w:tc>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380" w:type="dxa"/>
            <w:vAlign w:val="bottom"/>
            <w:shd w:val="clear" w:color="auto" w:fill="CFF0FC"/>
          </w:tcPr>
          <w:p>
            <w:pPr>
              <w:spacing w:after="0"/>
              <w:rPr>
                <w:sz w:val="22"/>
                <w:szCs w:val="22"/>
                <w:color w:val="auto"/>
              </w:rPr>
            </w:pP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2"/>
                <w:szCs w:val="22"/>
                <w:color w:val="auto"/>
              </w:rPr>
            </w:pPr>
          </w:p>
        </w:tc>
        <w:tc>
          <w:tcPr>
            <w:tcW w:w="6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260" w:type="dxa"/>
            <w:vAlign w:val="bottom"/>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-1602105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-1584960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-1602105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-1584960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-1602105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-1584960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6" w:name="page27"/>
    <w:bookmarkEnd w:id="2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amounts included in this table are based on restricted stock units, performance stock units, and stock options outstanding at September 30, 2024 and assumes the requisite service period is fulfilled for all awards outstanding. Actual stock-based compensation expense in future periods may vary from those reflected in the 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(Loss) Earnings per Share</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((loss) earnings) and the denominator (number of shares) used in the basic and diluted (loss) earnings per share calculations: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2"/>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(12,702 )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(10,457 )</w:t>
            </w:r>
          </w:p>
        </w:tc>
        <w:tc>
          <w:tcPr>
            <w:tcW w:w="60" w:type="dxa"/>
            <w:vAlign w:val="bottom"/>
          </w:tcPr>
          <w:p>
            <w:pPr>
              <w:spacing w:after="0"/>
              <w:rPr>
                <w:sz w:val="21"/>
                <w:szCs w:val="21"/>
                <w:color w:val="auto"/>
              </w:rPr>
            </w:pPr>
          </w:p>
        </w:tc>
      </w:tr>
      <w:tr>
        <w:trPr>
          <w:trHeight w:val="243"/>
        </w:trPr>
        <w:tc>
          <w:tcPr>
            <w:tcW w:w="56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Percentage allocated to common stockholders</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 for basic (loss) earnings per common share</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(12,702 )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(10,457 )</w:t>
            </w:r>
          </w:p>
        </w:tc>
        <w:tc>
          <w:tcPr>
            <w:tcW w:w="60" w:type="dxa"/>
            <w:vAlign w:val="bottom"/>
          </w:tcPr>
          <w:p>
            <w:pPr>
              <w:spacing w:after="0"/>
              <w:rPr>
                <w:sz w:val="20"/>
                <w:szCs w:val="20"/>
                <w:color w:val="auto"/>
              </w:rPr>
            </w:pP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income allocated to Series A Warrants and Series B Warrants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(4,343 )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diluted loss per common share</w:t>
            </w:r>
          </w:p>
        </w:tc>
        <w:tc>
          <w:tcPr>
            <w:tcW w:w="1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(12,702 )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(10,457 )</w:t>
            </w:r>
          </w:p>
        </w:tc>
        <w:tc>
          <w:tcPr>
            <w:tcW w:w="6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5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common stock, basic</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Warrants and Series B Warrants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76"/>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common stock, diluted</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1"/>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(0.96 )</w:t>
            </w:r>
          </w:p>
        </w:tc>
        <w:tc>
          <w:tcPr>
            <w:tcW w:w="60" w:type="dxa"/>
            <w:vAlign w:val="bottom"/>
          </w:tcPr>
          <w:p>
            <w:pPr>
              <w:spacing w:after="0"/>
              <w:rPr>
                <w:sz w:val="22"/>
                <w:szCs w:val="22"/>
                <w:color w:val="auto"/>
              </w:rPr>
            </w:pP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(0.96 )</w:t>
            </w: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6"/>
        </w:trPr>
        <w:tc>
          <w:tcPr>
            <w:tcW w:w="5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680" w:type="dxa"/>
            <w:vAlign w:val="bottom"/>
          </w:tcPr>
          <w:p>
            <w:pPr>
              <w:ind w:left="20"/>
              <w:spacing w:after="0" w:line="243" w:lineRule="exact"/>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Basic weighted average common stock outstanding</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weighted average common stock and participating securities (Series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 Redeemable Convertible Preferred Stock, Series A Warrants, and Series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 Warrants)</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Percentage allocated to common stockholders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-2393950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-2393950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-2393950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-1425575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-1408430</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-1425575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-1408430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-1425575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-1408430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-1425575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-1408430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-1090930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-1073785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-1090930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-1073785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-1090930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-1073785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-1090930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-1073785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Basic (loss) earnings per common share is calculated by dividing the (loss) earnings attributable to common stockholders by the weighted-average number of shares of common stock outstanding during the period, without consideration of potentially dilutive securities. Diluted (loss) earnings per share is computed by dividing the (loss) earnings attributable to common stockholders by the weighted-average number of shares of common stock and potentially dilutive securities outstanding for the period. For purposes of the diluted (loss) earnings per share calculation, Series A Redeemable Convertible Preferred Stock, Series A Warrants, and Series B Warrants, stock options, restricted stock awards, and restricted stock units are considered to be potentially dilutive securities. Basic and diluted (loss) earnings attributable to common stockholders per share is presented in conformity with the two-class method required for participating securities. The Company considers Series A Redeemable Convertible Preferred Stock, Series A Warrants, and Series B Warrants to be participating securities, because holders of such instruments participate in the event a dividend is paid on common stock. The holder of the Series A Redeemable Convertible Preferred Stock, Series A Warrants and Series B Warrants does not have a contractual obligation to share in the Company’s losses. As such, losses are attributed entirely to common stockholders and for periods in which the Company has reported a net loss, diluted loss per common share is the same as basic loss per common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excluded the following amounts of equity securities from its diluted loss per share calculations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because their effect was anti-dilutive: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274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6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shd w:val="clear" w:color="auto" w:fill="CFF0FC"/>
          </w:tcPr>
          <w:p>
            <w:pPr>
              <w:spacing w:after="0"/>
              <w:rPr>
                <w:sz w:val="20"/>
                <w:szCs w:val="20"/>
                <w:color w:val="auto"/>
              </w:rPr>
            </w:pPr>
          </w:p>
        </w:tc>
      </w:tr>
      <w:tr>
        <w:trPr>
          <w:trHeight w:val="23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 Warrants and Series B Warrants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tcPr>
          <w:p>
            <w:pPr>
              <w:spacing w:after="0"/>
              <w:rPr>
                <w:sz w:val="20"/>
                <w:szCs w:val="20"/>
                <w:color w:val="auto"/>
              </w:rPr>
            </w:pPr>
          </w:p>
        </w:tc>
      </w:tr>
      <w:tr>
        <w:trPr>
          <w:trHeight w:val="247"/>
        </w:trPr>
        <w:tc>
          <w:tcPr>
            <w:tcW w:w="6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FF0FC"/>
          </w:tcPr>
          <w:p>
            <w:pPr>
              <w:spacing w:after="0"/>
              <w:rPr>
                <w:sz w:val="21"/>
                <w:szCs w:val="21"/>
                <w:color w:val="auto"/>
              </w:rPr>
            </w:pPr>
          </w:p>
        </w:tc>
      </w:tr>
      <w:tr>
        <w:trPr>
          <w:trHeight w:val="234"/>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00"/>
          </w:cols>
          <w:pgMar w:left="320" w:top="765" w:right="279" w:bottom="1440" w:gutter="0" w:footer="0" w:header="0"/>
        </w:sect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anti-dilutive weighted average shares excluded from the diluted loss per share calculations were: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7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7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Warrants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B Warrants</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5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-1096645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-1096645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-1096645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on Form 10-K for the fiscal year ended December 31, 2023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commercial-stage medical device company focused on designing, developing and marketing an advanced laser system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 more efficiently.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product portfolio includes the LENSAR Laser System, or LLS, and ALLY Robotic Cataract Laser System™, or ALLY System (collectively, the Systems)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focused on continuous innovation and have launched our proprietary next generation ALLY System. The ALLY System is designed to transform premium cataract surgery by utilizing our advanced robotic technologies with the ability to perform the entire procedure in a sterile operating room or in-office surgical suite, delivering operational efficiencies and reducing overhead. Our ALLY System received clearance from the U.S. Food and Drug Administration (“FDA”) in June 2022, and we executed a controlled and targeted initial launch of the ALLY System beginning in August 2022. The ALLY System is available to all U.S. and European Union, or EU, cataract surgeons and has also received regulatory clearance in India, Taiwan, as well as certain other countries. In 2022, we transitioned from manufacturing and selling our LLS to focus on our ALLY System. In addition, we are pursuing additional marketing or certification applications through our distributors in South Korea and China, but this process could take multiple years. Our growth, market presence and ability to sell the ALLY System will depend on whether the ALLY System receives additional regulatory clearances or certifications and the timing of these clearances or certifications, among other factors. Our future revenue and cash flows will depend on, among other factors, our installed base of Systems and the timing of and applicable clearances for our ALLY System.</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built and are continuing to grow our commercial organization, which includes a direct sales force in the United States and distributors in Germany, China, India,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September 30, 2024, consisted of approximately 65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increased from $9.8 million for the three months ended September 30, 2023 to $13.5 million for the three months ended September 30, 2024, representing an increase of 38%, primarily due to increased ALLY System sales and procedure volume. Our net (loss) profit was ($1.5 million) and $2.6 million for the three months ended September 30, 2024 and 2023, respectively. Our revenue increased from $30.1 million for the nine months ended September 30, 2023 to $36.8 million for the nine months ended September 30, 2024, representing an increase of 22%, primarily due to increased ALLY System sales and procedure volume. Our net loss was $12.7</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million and $10.5 million for the nine months ended September 30, 2024 and 2023, respectively. Net loss for the nine months ended September 30, 2024 included a $3.7 million impairment charge on intangible assets. Our installed base of Systems is approximately 355 as of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environment that involves a number of risks, some of which are beyond our control. We are subject to risks common to medical device companies, including risks inherent in:</w:t>
      </w:r>
    </w:p>
    <w:p>
      <w:pPr>
        <w:spacing w:after="0" w:line="54"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laser system development and commercialization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regulatory actions and marketing approvals or certifications;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network of international distributors and a network of suppliers;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coverage and reimbursement by government or other third-party payors for procedures using our products;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and ability to pay for procedures with significant costs not covered by or reimbursable through government or other third-party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patent and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future capital;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safety requirements and suggestions regarding patient treatment as required or suggested by health care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certification by regulatory agencies, including the FDA, or notified bodies for our ALLY System;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shortages, labor market shifts and price increases resulting from various macroeconomic factors;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associated with our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practices in jurisdictions where procedures using our Systems are performed, such as South Korea.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we will generate significant revenues or achieve and sustain profitability in the future. In addition, we can provide no assurance that we will have sufficient funding to meet our future capital requirements.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economic uncertainty and other factors have impeded global supply chains, resulted in longer lead times and delays in procuring component parts and raw materials, and resulted in inflationary cost increases in certain raw materials, labor and transportation. In particular, a global semiconductor supply shortage has had, and is continuing to have, wide-ranging effects across multiple industries. We have seen significant disruptions in the supply of, timing of delivery of and fluctuations in pricing for various component parts needed for our products, including the integrated circuits used in our Systems, and expect these trends may reappear in the future. While we are not directly exposed to economic conditions in Russia or Ukraine, the ongoing war between Russia and Ukraine has also had a substantial impact on global supply chains and may be a contributing factor to the supply chain shortages we are experiencing. Supply chain disruptions and broad-based inflationary impacts have negatively impacted the Company’s financial condition, results of operations and cash flows since 2020 and these supply chain constraints may result in future impacts to our business.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our historical results are not necessarily indicative of future performance, and any interim results we present are not indicative of the results that may be expected for the full fiscal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revenue comprises product revenue, service revenue and lease revenue. We derive product revenue from the sale of our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Systems that provide additional maintenance and service beyond our standard limited warranty. In some situations, we lease our Systems to surgeons, primarily through non-cancellable leases with a fixed lease payment. We consider all components of our revenue to be recurring source revenue, with the exception of sales of our Systems. The following table provides information about revenue and revenue attributable to recurring sources, which we consider to be all components of our revenue except for sales of our systems: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System</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Recurring source revenue: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Procedure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recurring source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29,359</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23,808</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36,763</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100" w:type="dxa"/>
            <w:vAlign w:val="bottom"/>
            <w:shd w:val="clear" w:color="auto" w:fill="CFF0FC"/>
          </w:tcPr>
          <w:p>
            <w:pPr>
              <w:spacing w:after="0"/>
              <w:rPr>
                <w:sz w:val="20"/>
                <w:szCs w:val="20"/>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Recurring source revenue %</w:t>
            </w:r>
          </w:p>
        </w:tc>
        <w:tc>
          <w:tcPr>
            <w:tcW w:w="260" w:type="dxa"/>
            <w:vAlign w:val="bottom"/>
          </w:tcPr>
          <w:p>
            <w:pPr>
              <w:spacing w:after="0"/>
              <w:rPr>
                <w:sz w:val="20"/>
                <w:szCs w:val="20"/>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-473710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-473710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-473710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revenue comprises cost of product 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cost of lease revenue and cost of service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selling, general and administrative expenses consist primarily of personnel costs, such as salaries and wages, including stock-based compensation and benefits, professional fees, marketing, insurance, travel and other expenses.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continuing to grow our sales efforts in the United States. We expect our selling, general and administrative expenses to continue to increase in association with our planned growth.</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LLS with a dual-modality laser, integrated in a small, compact cataract treatment system that is designed to allow surgeons to perform a sterile laser-assisted cataract surgery in a single operating room or in-office surgical suite.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11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the phacoemulsification component. During the three months ended June 30, 2024, the Company determined that the carrying value of the intangible assets exceeded the estimated recoverable amount of $0 and recorded an impairment of intangible assets of $3.9 million. The impairment charge was offset with the write-off of contract liabilities associated with the intangible assets of $0.2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1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consists of the change in estimated fair value of the warrant liabilities using recently quoted market prices of the Company's common stock and the Black-Scholes option pricing model.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Changes in our tax rates or exposure to additional tax liabilities could adversely affect our earnings and financial condition. Beginning in 2022, the Tax Cuts and Jobs Act eliminated the option of expensing all research and development expenditures in the current year, instead requiring amortization over five years for expenditures in the United States and over fifteen years for foreign-based expenditures, pursuant to Section 174 of the Code, or Section 174. The impact of Section 174 on the Company’s cash from operations depends primarily on the amount of research and development expenditures incurred. Section 174 has not had a material impact on the Company since its effective date. The Company will continue to review the application of Section 174 (together with any relevant Internal Revenue Service guidance, proposed legislation and Treasury Department regulations relevant thereto) and any impact on the Company’s cash from operations, and will adjust the estimates as necessary.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seasonal variations in the sales and leases of our products, with our fourth quarter typically being the strongest and the first or third quarter being the slowest. We believe these seasonal variations are consistent across our industry.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2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from Prior</w:t>
            </w: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from Prior</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2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Year (%)</w:t>
            </w: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 (%)</w:t>
            </w: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600" w:type="dxa"/>
            <w:vAlign w:val="bottom"/>
            <w:gridSpan w:val="4"/>
          </w:tcPr>
          <w:p>
            <w:pPr>
              <w:ind w:left="1000"/>
              <w:spacing w:after="0"/>
              <w:rPr>
                <w:sz w:val="20"/>
                <w:szCs w:val="20"/>
                <w:color w:val="auto"/>
              </w:rPr>
            </w:pPr>
            <w:r>
              <w:rPr>
                <w:rFonts w:ascii="Times New Roman" w:cs="Times New Roman" w:eastAsia="Times New Roman" w:hAnsi="Times New Roman"/>
                <w:sz w:val="18"/>
                <w:szCs w:val="18"/>
                <w:color w:val="auto"/>
              </w:rPr>
              <w:t>48 %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8"/>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4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5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4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6"/>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600" w:type="dxa"/>
            <w:vAlign w:val="bottom"/>
            <w:gridSpan w:val="4"/>
          </w:tcPr>
          <w:p>
            <w:pPr>
              <w:ind w:left="1000"/>
              <w:spacing w:after="0" w:line="236" w:lineRule="exact"/>
              <w:rPr>
                <w:sz w:val="20"/>
                <w:szCs w:val="20"/>
                <w:color w:val="auto"/>
              </w:rPr>
            </w:pPr>
            <w:r>
              <w:rPr>
                <w:rFonts w:ascii="Times New Roman" w:cs="Times New Roman" w:eastAsia="Times New Roman" w:hAnsi="Times New Roman"/>
                <w:sz w:val="15"/>
                <w:szCs w:val="15"/>
                <w:color w:val="auto"/>
              </w:rPr>
              <w:t xml:space="preserve">38 % </w:t>
            </w:r>
            <w:r>
              <w:rPr>
                <w:rFonts w:ascii="Times New Roman" w:cs="Times New Roman" w:eastAsia="Times New Roman" w:hAnsi="Times New Roman"/>
                <w:sz w:val="27"/>
                <w:szCs w:val="27"/>
                <w:color w:val="auto"/>
                <w:vertAlign w:val="super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 (excluding intangible amortization)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600" w:type="dxa"/>
            <w:vAlign w:val="bottom"/>
            <w:gridSpan w:val="4"/>
          </w:tcPr>
          <w:p>
            <w:pPr>
              <w:ind w:left="1000"/>
              <w:spacing w:after="0"/>
              <w:rPr>
                <w:sz w:val="20"/>
                <w:szCs w:val="20"/>
                <w:color w:val="auto"/>
              </w:rPr>
            </w:pPr>
            <w:r>
              <w:rPr>
                <w:rFonts w:ascii="Times New Roman" w:cs="Times New Roman" w:eastAsia="Times New Roman" w:hAnsi="Times New Roman"/>
                <w:sz w:val="18"/>
                <w:szCs w:val="18"/>
                <w:color w:val="auto"/>
              </w:rPr>
              <w:t>53 %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51 %</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5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4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38 %</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600" w:type="dxa"/>
            <w:vAlign w:val="bottom"/>
            <w:gridSpan w:val="4"/>
          </w:tcPr>
          <w:p>
            <w:pPr>
              <w:ind w:left="1000"/>
              <w:spacing w:after="0" w:line="236" w:lineRule="exact"/>
              <w:rPr>
                <w:sz w:val="20"/>
                <w:szCs w:val="20"/>
                <w:color w:val="auto"/>
              </w:rPr>
            </w:pPr>
            <w:r>
              <w:rPr>
                <w:rFonts w:ascii="Times New Roman" w:cs="Times New Roman" w:eastAsia="Times New Roman" w:hAnsi="Times New Roman"/>
                <w:sz w:val="15"/>
                <w:szCs w:val="15"/>
                <w:color w:val="auto"/>
              </w:rPr>
              <w:t xml:space="preserve">48 % </w:t>
            </w:r>
            <w:r>
              <w:rPr>
                <w:rFonts w:ascii="Times New Roman" w:cs="Times New Roman" w:eastAsia="Times New Roman" w:hAnsi="Times New Roman"/>
                <w:sz w:val="27"/>
                <w:szCs w:val="27"/>
                <w:color w:val="auto"/>
                <w:vertAlign w:val="super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180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with Three Months Ended September 30,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three months ended September 30, 2024 increased by $3.7 million, or 38%, compared to the three months ended September 30, 2023.</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Product revenue for the three months ended September 30, 2024 increased by $3.4 million, or 48%, compared to the three months ended September 30, 2023. The increase was primarily attributable to increased ALLY System sales of $1.7 million due to 11 ALLY Systems</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9" w:right="27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sold outside the United States following regulatory certification and clearance in the European Union and Taiwan in August 2024 and increased procedure volume of $1.7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revenue for the three months ended September 30, 2024 increased by $0.1 million, or 11%, compared to the three months ended September 30, 2023. Our U.S. sales represented 52% and 69% of product and service revenue for the three months ended September 30,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revenue for the three months ended September 30, 2024 increased by $0.2 million, or 13%, compared to the three months ended September 30,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with Nine Months Ended September 30,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nine months ended September 30, 2024 increased by $6.7 million, or 22%, compared to the nine months ended September 30,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revenue for the nine months ended September 30, 2024 increased by $5.4 million, or 24%, compared to the nine months ended September 30, 2023. The increase was primarily attributable to increased procedure volume of $4.2 million and increased ALLY System sales of $1.2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revenue for the nine months ended September 30, 2024 increased by $0.6 million, or 19%, compared to the nine months ended September 30, 2023. Our U.S. sales represented 64% and 69% of product and service revenue for the nine months ended September 30,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revenue for the nine months ended September 30, 2024 increased by $0.8 million, or 16%, compared to the nine months ended September 30,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with Three Months Ended September 30, 2023</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cost of revenue for the three months ended September 30, 2024 increased by $2.4 million, or 48%, compared to the three months ended September 30,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 revenue for the three months ended September 30, 2024 increased by $1.5 million, or 53%, compared to the three months ended September 30, 2023. The increased cost of product revenue was attributable to increased Systems sales, which have a lower gross margin than procedure licenses, as well as the full costing of raw materials for ALLY Systems as raw materials in 2024, whereas raw materials were previously charged to research and development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revenue for the three months ended September 30, 2024 increased by $0.5 million, or 38%, compared to the three months ended September 30, 2023, primarily due to the increased number of Systems placements.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lease revenue for the three months ended September 30, 2024 increased by $0.3 million, or 51%, compared to three months ended September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with Nine Months Ended September 30, 2023</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cost of revenue for the nine months ended September 30, 2024 increased by $3.9 million, or 28%, compared to the nine months ended September 30,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 revenue for the nine months ended September 30, 2024 increased by $2.0 million, or 23%, compared to the nine months ended September 30, 2023. The increased cost of product revenue was attributable to increased Systems sales, which have a lower gross margin than procedure licenses, as well as the full costing of raw materials for ALLY Systems as raw materials in 2024, whereas raw materials were previously charged to research and development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revenue for the nine months ended September 30, 2024 increased by $1.4 million, or 37%, compared to the nine months ended September 30, 2023, primarily due to the increased number of Systems placements.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lease revenue for the nine months ended September 30, 2024 increased by $0.5 million, or 36%, compared to the nine months ended September 30,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with Three Months Ended September 30, 2023</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for the three months ended September 30, 2024 increased by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19%, compared to the three months ended September 30, 2023. General and administrative expenses increased in the quarter due to recording an Employee Retention Credit, or ERC, of $1.4 million in the three months ended September 30, 2023, which significantly reduced expenses in the third quarter of 2023. Excluding the $1.4 million attributable to the ERC, selling, general and administrative expenses decreased $0.4 million due to lower stock-based compensation expense and lower cash-based general and administrative expenses partially offset by a 16% increase in selling and marketing expenses in the third quarter of 2024 supporting the continued ALLY System growth in placements and procedures.</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for the three months ended September 30, 2024 decreased by $0.3 million, or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three months ended September 30,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was $0.2 million for the three months ended September 30, 2024,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with Nine Months Ended September 30, 2023</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for the nine months ended September 30, 2024 decreased by $0.1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0%, compared to the nine months ended September 30, 2023. General and administrative expenses increased in the period due to recording an ERC of $1.4 million in the nine months ended September 30, 2023, which significantly reduced expenses in 2023. Excluding the ERC, selling, general and administrative expenses decreased due to lower stock-based compensation expense and lower cash-based general and administrative expenses partially offset by a 16% increase in selling and marketing expenses in the third quarter of 2024 supporting the continued ALLY System growth in placements and procedures.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for the nine months ended September 30, 2024 decreased by $0.7 million, or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nine months ended September 30,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for the nine months ended September 30, 2024 decreased by $0.1 million, or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impairment recorded in the three months ended June 30, 2024.</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Impairment of Intangible Assets. </w:t>
      </w:r>
      <w:r>
        <w:rPr>
          <w:rFonts w:ascii="Times New Roman" w:cs="Times New Roman" w:eastAsia="Times New Roman" w:hAnsi="Times New Roman"/>
          <w:sz w:val="18"/>
          <w:szCs w:val="18"/>
          <w:color w:val="auto"/>
        </w:rPr>
        <w:t>In April 2024, the Company notified its third-party supplier of the phacoemulsification component in the ALLY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would no longer pursue integration with the supplier’s phacoemulsification unit. This resulted in a triggering event impacting certain acquired technology intangible assets and contract liabilities associated with the phacoemulsification component. During the nine months ended September 30, 2024, the Company determined that the carrying value of the intangible assets exceeded the estimated recoverable amount of $0 and recorded an impairment of intangible assets of $3.9 million. The impairment charge was offset with the write-off of contract liabilities associated with the intangible assets of $0.2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income and expenses, net for the three months ended September 30, 2024 were $0.3 million of expense as compared to $4.6 million of income for the three months ended September 30, 2023. Non-operating income and expenses consisted primarily of the change in fair value of warrant liabilities in each period.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Non-operating income and expenses, net for the nine months ended September 30, 2024 were $3.3 million as compared to $1.2 million for the nine months ended September 30, 2023. Non-operating income and expenses consisted primarily of the change in fair value of warrant liabilities in each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three and nine months ended September 30, 2024 and 2023.</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8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(12,702 )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(10,457 )</w:t>
            </w: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(153 )</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(265 )</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(511 )</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(465 )</w:t>
            </w:r>
          </w:p>
        </w:tc>
      </w:tr>
      <w:tr>
        <w:trPr>
          <w:trHeight w:val="24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 expense</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80" w:type="dxa"/>
            <w:vAlign w:val="bottom"/>
            <w:shd w:val="clear" w:color="auto" w:fill="CFF0FC"/>
          </w:tcPr>
          <w:p>
            <w:pPr>
              <w:spacing w:after="0"/>
              <w:rPr>
                <w:sz w:val="21"/>
                <w:szCs w:val="21"/>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expense</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0"/>
                <w:szCs w:val="20"/>
                <w:color w:val="auto"/>
              </w:rPr>
            </w:pPr>
          </w:p>
        </w:tc>
      </w:tr>
      <w:tr>
        <w:trPr>
          <w:trHeight w:val="241"/>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(649 )</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(10,388 )</w:t>
            </w: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(8,331 )</w:t>
            </w: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80" w:type="dxa"/>
            <w:vAlign w:val="bottom"/>
          </w:tcPr>
          <w:p>
            <w:pPr>
              <w:spacing w:after="0"/>
              <w:rPr>
                <w:sz w:val="20"/>
                <w:szCs w:val="20"/>
                <w:color w:val="auto"/>
              </w:rPr>
            </w:pPr>
          </w:p>
        </w:tc>
      </w:tr>
      <w:tr>
        <w:trPr>
          <w:trHeight w:val="24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Change in fair value of warrant liabilities</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(4,343 )</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shd w:val="clear" w:color="auto" w:fill="CFF0FC"/>
          </w:tcPr>
          <w:p>
            <w:pPr>
              <w:spacing w:after="0"/>
              <w:rPr>
                <w:sz w:val="21"/>
                <w:szCs w:val="21"/>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Add: Impairment of intangible assets</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Employee retention credit</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(1,368 )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(1,368 )</w:t>
            </w:r>
          </w:p>
        </w:tc>
      </w:tr>
      <w:tr>
        <w:trPr>
          <w:trHeight w:val="20"/>
        </w:trPr>
        <w:tc>
          <w:tcPr>
            <w:tcW w:w="46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(3,322 )</w:t>
            </w:r>
          </w:p>
        </w:tc>
      </w:tr>
      <w:tr>
        <w:trPr>
          <w:trHeight w:val="20"/>
        </w:trPr>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-187960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impairment of intangible assets and the Employee Retention Credit, provides meaningful supplemental information for investors when evaluating our results and comparing us to peer companies as stock-based compensation expense and change in fair value of warrant liabilities are significant non-cash charges and impairment of intangible assets is a non-cash charge that is not indicative of our core operating results and the Employee Retention Credit is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and 2023, we had net losses of $12.7 million and $10.5 million, respectively, and as of September 30, 2024, we had an accumulated deficit of $124.6 million. The change in fair value of warrant liabilities increased net loss by $3.8 million in the nine months ended September 30, 2024, and it is difficult to predict how the fair value of warrant liabilities will impact our future results. We expect to continue to incur losses and operating cash outflows for the near-term future as we continue to build our commercial and clinical infrastructure and pursue further regulatory clearances of our ALLY System.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liquidity needs will be largely determined by our ability to successfully commercialize our products and the progression, additional regulatory clearances or certifications and launch of the ALLY System in additional jurisdictions in the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we transitioned from manufacturing and selling our LLS to focus on our ALLY System. The ALLY System has received regulatory approval in the United States, EU, India, Taiwan, as well as certain other countries. In addition, we are pursuing additional marketing or certification applications through our distributors in South Korea and China, but this process could take multiple years. Our growth, market presence and ability to sell the ALLY System will depend on whether the ALLY System receives additional regulatory clearances or certifications and the timing of these clearance or certifications, among other factors. In addition, our future revenue and cash flows will depend on, among other factors, our installed base of Systems and the timing of and applicable clearances for our ALLY System.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selling, general and administrative expenses to increase from current levels to support the expansion efforts in the U.S. and internationally for the ALLY System. The successful commercialization of the ALLY System depends in part on the Company’s ability to produce the ALLY System in sufficient quantities, within requested timing and at an acceptable price to satisfy customer demand.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and other macroeconomic conditions have negatively affected our capital requirements and more operating capital may be needed to fund our operations in the future. As of September 30, 2024, we expect our current cash, cash equivalents, and investments, together with cash generated from the future sale and lease of our products, to be sufficient to operate our business. Based on our current operating plan, we believe we have sufficient cash and cash equivalents on hand to support current operations for at least one year from the date of issuance of the financial statements included in this Quarterly Report.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revenue and expenses to increase in connection with our on-going activities, particularly as we continue to execute on our growth strategy, including expansion of our sales and customer support teams, as well as increasing our fleet of equipment under lease. The primary factors determining our cash needs are the funding of operations, which we expect to continue to expand as the business grows, and enhancing our product offerings through the commercialization of the ALLY System. Our future liquidity needs, and ability to address those needs, will largely be determined by the success of our commercial efforts and those of our distributors; the ongoing impact of global macroeconomic conditions and supply chain issues on our business; and the timing, scope and magnitude of our commercial and development activities.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or the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raise additional funds will depend, among other factors, on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material contractual obligations and commercial commitments at September 30, 2024 primarily consist of $1.9 million in operating lease liabilities for our facility lease and $9.3 million in remaining minimum purchase obligations for inventory components for the manufacture and supply of certain components within the next 18 months. 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previously filed a shelf registration statement on Form S-3 (No. 333-255136), or the Registration Statement, which provided for the Company’s offering of its securities in an amount of up to $100.0 million in the aggregate, and previously entered into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a sales agreement providing for the offering, issuance and sale by the Company of up to an aggregate $35.0 million of its common stock from time to time in “at-the-market”, or ATM, offerings under the Registration Statement. No shares were sold under the ATM during the quarter ended September 30, 2023, and the Registration Statement ceased to be effective in April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selected items in our condensed statements of cash flows:</w:t>
      </w:r>
    </w:p>
    <w:p>
      <w:pPr>
        <w:spacing w:after="0" w:line="11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(5,932 )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(9,179 )</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(4,153 )</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(94 )</w:t>
            </w: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80" w:type="dxa"/>
            <w:vAlign w:val="bottom"/>
            <w:shd w:val="clear" w:color="auto" w:fill="CFF0FC"/>
          </w:tcPr>
          <w:p>
            <w:pPr>
              <w:spacing w:after="0"/>
              <w:rPr>
                <w:sz w:val="21"/>
                <w:szCs w:val="2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(10,179 )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8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$5.9 million, consisting primarily of a net loss of $12.7 million and a decrease in net operating assets of $6.0 million, partially offset by non-cash charges of $12.7 million. The decrease in net operating assets was primarily due to changes in inventories. Non-cash charges primarily consisted of impairment of intangible assets, depreciation, amortization, stock-based compensation, and change in fair value of warrant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$9.2 million, consisting primarily of a net loss of $10.5 million and a decrease in net operating assets of $8.2 million, partially offset by non-cash charges of $9.4 million. The decrease in net operating assets was primarily due to changes in inventories, accounts payable and prepaid and other current assets offset by changes in accounts receivable. Non-cash charges primarily consisted of depreciation, amortization, stock-based compensation, and change in fair value of warrant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$4.2 million, consisting primarily of the purchase of investments, offset by investment maturities. Investing activities for the nine months ended September 30, 2023 were not significant.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2024 was not significant.</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$19.6 million, primarily due to the net proceeds from issuance of Series A Redeemable Convertible Preferred Stock and Warrants of $19.5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Incentive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2020 Incentive Award Plan and 2024 Employment Inducement Incentive Award Plan provide for the grant of stock options, restricted stock, restricted stock unit awards, performance stock unit awards and other stock-based awards to recipients. During 2022, 2023 and the nine months ended September 30, 2024, we granted stock options, restricted stock units and performance stock units to directors, employees and non-employees. We intend to grant stock options. restricted stock units and performance stock units as part of our overall compensation package to directors, employees, and non-employees.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At September 30, 2024, there was approximately $1.9 million and $1.4 million of total unrecognized compensation expense related to restricted stock units and performance stock units and stock options, respectively, which is expected to be recognized over 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231F20"/>
        </w:rPr>
        <w:t>weighted-average period of 2.1 years and 1.7 years, respectively. Total unrecognized stock-based compensation expense is expected to be amortized as follows:</w:t>
      </w:r>
    </w:p>
    <w:p>
      <w:pPr>
        <w:spacing w:after="0" w:line="61"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60" w:type="dxa"/>
            <w:vAlign w:val="bottom"/>
            <w:shd w:val="clear" w:color="auto" w:fill="CFF0FC"/>
          </w:tcPr>
          <w:p>
            <w:pPr>
              <w:spacing w:after="0"/>
              <w:rPr>
                <w:sz w:val="20"/>
                <w:szCs w:val="20"/>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Pr>
          <w:p>
            <w:pPr>
              <w:spacing w:after="0"/>
              <w:rPr>
                <w:sz w:val="20"/>
                <w:szCs w:val="20"/>
                <w:color w:val="auto"/>
              </w:rPr>
            </w:pPr>
          </w:p>
        </w:tc>
      </w:tr>
      <w:tr>
        <w:trPr>
          <w:trHeight w:val="243"/>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6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amounts included in this table are based on restricted stock awards, restricted stock units, performance stock units and stock options outstanding at September 30, 2024 and assumes the requisite service period is fulfilled for all awards outstanding. Actual stock-based compensation expense in future periods may vary from those reflected in the 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and material changes in our critical accounting estimates during the three months ended September 30, 2024, as compared to those disclosed in “Management's Discussion and Analysis of Financial Condition and Results of Operations” included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unaudited condensed financial statements included in this Quarterly Report for a discussion of recently adopted accounting pronouncements and recently issued accounting pronouncements not yet adopted as of September 30, 2024.</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cash, cash equivalents and short-term and long-term investments of $18.6 million as of September 30, 2024. We generally hold our cash and cash equivalents in interest-bearing bank accounts, money market funds, and U.S. treasury bills. Our investments consist primarily of U.S. treasury bills and agency bonds, as well as certificates of deposit.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September 30,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a system’s ability to operate for lack of payment and, in the case of notes receivable, repossess the system if scheduled payments lapse. As of September 30, 2024, one customer accounted for approximately 20% of our accounts receivable, net.</w:t>
      </w:r>
    </w:p>
    <w:p>
      <w:pPr>
        <w:spacing w:after="0" w:line="18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We currently have limited exposure to foreign currency fluctuations and do not engage in any hedging activities as part of our normal course of business.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September 30,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September 30, 2024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14, 2023, stockholders Ryan Schaper and Christopher P. Bolster filed a Verified Amended Class Action Complaint (“Amended Complaint”) against the Company and certain of its officers and members of the board of directors (“Defendants”) in the matter captioned Schaper v. LENSAR, Inc., et al., Case No. 1:23-cv-00692-JLH (D. Del.). Plaintiffs allege that Defendants violated Sections 14(a) and 20(a) of the Exchange Act, as well as Rule 14d-9 promulgated thereunder, and assert claims challenging the adequacy of disclosures in the definitive proxy statement filed with the SEC on June 20, 2023, or the Proxy, in connection with the Private Placement. On August 18, 2023, the parties filed a joint stipulation extending Defendants’ time to respond to the complaint. On December 12, 2023, the Court appointed Ryan Schaper and Christopher P. Bolster as Lead Plaintiffs. On December 22, 2023, the parties filed a joint stipulation providing that Lead Plaintiffs will file a second amended complaint or designate the Amended Complaint as operative on or before January 12, 2024. On January 12, 2024, Lead Plaintiffs filed a Verified Second Amended Class Action Complaint (“Second Amended Complaint”). The Second Amended Complaint alleges that the Proxy failed to disclose details about North Run, discussion with stockholders regarding possible financing alternatives, LENSAR’s internal budget, the basis for the Board’s recommendation on the vote, potential costs to LENSAR if shareholders voted against the proposal, and purported conflicts of interest. Defendants filed a motion to dismiss on February 26, 2024. The parties completed briefing on the motion to dismiss in May 2024.</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vigorously denies that the Proxy was deficient in any respect or that supplemental disclosures were required or necessary under applicable laws. At this time, the Company cannot predict the outcome, or provide a reasonable estimate or range of estimates of the possible outcome or loss, if any, in this matter.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matter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in the past, and could be in the future, adversely affected by economic uncertainty or deteriorations in economic conditions.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economic uncertainty, including due to factors such as increased inflation and rising interest rates,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since 2020,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operating losses for the near-term future and we cannot assure you that we will be able to generate sufficient revenue to achieve or sustain profitability.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2023, we had net losses of $19.9 million and $14.4 million, respectively, and for the nine months ended September 30, 2023 and 2024, we had net losses of $10.5 million and $12.7 million, respectively. As of September 30,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8"/>
          <w:szCs w:val="18"/>
          <w:color w:val="auto"/>
        </w:rPr>
        <w:t>2024, we had an accumulated deficit of $124.6 million. We expect to continue to incur losses for the near-term future as a result of building our commercial and clinical infrastructure, pursuing further U.S. Food and Drug Administration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derived our revenue from the sale or lease of our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In 2022, we transitioned from manufacturing and selling our LLS to focus on our ALLY System. The ALLY System has also received regulatory approval in the European Union, or EU, India, Taiwan, as well as certain other countries. In addition, we are pursuing additional marketing or certification applications through our distributors in South Korea and China. Our growth, market presence and ability to sell the ALLY System will depend on whether the ALLY System receives additional regulatory clearances or certifications and the timing of these clearances or certifications, among other factors. In addition, our future revenue and cash flows will depend on, among other factors, our installed base of Systems.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maintain our market share, execute our growth strategy, achieve commercial success and become profitable will depend upon the adoption and continued acceptance of our LLS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LLS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w:t>
      </w:r>
    </w:p>
    <w:p>
      <w:pPr>
        <w:spacing w:after="0" w:line="188"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visual outcomes and economic data that show the safety, efficacy, cost effectiveness and other patient benefits from use of our Systems or other future products;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cataract surgeons and others in the medical community of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and disadvantages of our Systems as compared to competing products;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for procedures in which our Systems or other future products is used but for which limited reimbursement by third-party payors, including government authorities, is available;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of those of our international distributors;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complications associated with using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reliability and convenience of our Systems relative to competing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competing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outcomes for patients in procedures in which surgeons use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and post-market clinical studies relating to the use of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leadership of our research and development teams;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third party blocking intellectual property;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our products to the market with speed and on time with our projected timelines;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larger, well-capitalized and product-diverse competitors, corporate-owned ASCs, group purchasing organizations, and government payors;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for procedures using our Systems or other future products from third-party payors, including government authorities.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maintain or increase market acceptance would limit our ability to generate revenue and would have a material adverse effect on our business, financial condition and results of operations.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gain regulatory clearances and certifications, as well as our ability to meet production goals for our ALLY System.</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ALLY System, which has received clearance from the FDA, enables cataract surgeons to complete the laser-assisted cataract surgery seamlessly in a single, sterile environment. The ALLY System is available to all U.S. and EU cataract surgeons and has also received regulatory clearance in India, Taiwan, as well as certain other countries. In addition, we are pursuing additional marketing or certification applications through our distributors in South Korea and China. In addition, our ability to meet production goals can also be impacted by supply chain interruptions. Our ability to place Systems in 2022 was limited by supply chain constraints that delayed the delivery of certain ALLY System raw materials and the completion and testing of ALLY Systems for use as launch-stock. If we experience further supply chain constraints, we may be unable to deliver ALLY Systems as planned.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ALLY System or any other new product offering or product enhancements we pursue will depend on several factors, including our ability to:</w:t>
      </w:r>
    </w:p>
    <w:p>
      <w:pPr>
        <w:spacing w:after="0" w:line="162"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cataract surgeon and patient needs;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competition based on our intellectual property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third-parties;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certifications or approvals for expanded indications, new products or product modifications;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fully FDA (or other regulatory authority)-compliant with manufacturing and marketing of new devices or modified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these products;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procedures performed with our ALLY System or any other products we may develop in the future;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not successful in expanding our product offering, our ability to increase our revenue may be impaired, which could have a material adverse effect on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Systems, or procedures involving similar laser systems that meets their expectations. If patients are not adequately satisfied with the results of such procedures, they or their surgeons may be less willing to recommend these procedures to other patients.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weak or uncertain economic conditions may cause individuals to be less willing to pay for advanced cataract procedures. Although we anticipate use of our ALLY System in certain aspects of the standard cataract procedure will be covered by or reimbursable through government or other third-party payors, our current LLS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rely exclusively on a network of independent distributors to generate sales and leases of our Systems as well as purchases of our consumables and licensed applications outside of the United States. For the nine months ended September 30, 2024, one customer accounted for 12%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Systems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revenues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future.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Quarterly Report, we expect our current cash and cash equivalents, together with cash generated from the future sale and lease of our products, to be sufficient to operate our business for at least one year from the date of issuance of the condensed financial statements included in this Quarterly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w:t>
      </w:r>
    </w:p>
    <w:p>
      <w:pPr>
        <w:spacing w:after="0" w:line="183"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the sale, lease or use of our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sales and marketing efforts;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procuring, manufacturing and selling our Systems, including increased costs, uncertainties, and delays associated with global supply chain disruptions and inflationary pressures;</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commercializing the ALLY System, including increased costs associated with supply chain disruptions and inflationary pressures or other new products or technologies;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studies that we are currently conducting or may conduct in the future;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and maintaining regulatory approval, certification or clearance of our products and planned or future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 that may occur;</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complying with state, federal and foreign laws and regulations;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defending and enforcing our patent and other intellectual property rights;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third-party patent or other intellectual property rights;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enforcing or defending against non-competition claims;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acquisitions and other strategic transactions;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increased capital expenditures;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and unanticipated general and administrative expenses, including expenses related to operating as a public company and insurance expenses; and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capital may not be available on favorable terms, or at all. The existence of inflation in the economy has resulted in, and may continue to result in, higher interest rates and capital costs, which may impact our ability to obtain additional capital on favorable terms.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51.5% of our total outstanding shares of common stock based on our shares outstanding as of September 30, 2024,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included elsewhere in this Quarterly Report); create, authorize, or issue shares of capital stock that are senior or pari passu to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(including a resurgence of COVID-19 and its variants), epidemic or infectious disease, this could materially impact our ability to operate.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If one or more of our suppliers cease to provide us with sufficient quantities of materials in a timely manner or on terms acceptable to us,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and other macroeconomic conditions may necessitate an increase in the overall cost to customers, which in turn may have an adverse impact on customer demand.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some of our suppliers and contract facilities are required to comply with regulatory requirements of the FDA (and other regulatory authorities). In particular, the FDA’s Quality System Regulation, or QSR, which includes FDA’s current Good Manufacturing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compete, and expect to compete in the future, against other companies, some of which have longer operating histories, more established products or greater resources than we do.</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current and potential competitors are large publicly traded companies or divisions of publicly-traded companies and have several competitive advantages, including:</w:t>
      </w:r>
    </w:p>
    <w:p>
      <w:pPr>
        <w:spacing w:after="0" w:line="162"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and sales and marketing;</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and marketing programs and distribution networks.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many of our competitors have their own intraocular lens, or IOLs, while we do not, which could put us at a competitive disadvantage. If we are unable to compete effectively in this environment, it could adversely affect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successfully market, sell and lease our products in markets outside of the United States, we must address many international business risks with which we have limited experience.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sold and leased a significant portion of our LLS outside of the United States through a network of independent distributors and intend to increase our international presence in Germany, China, India, and South Korea, as well as other international markets, including through sales and leases of our ALLY System once regulatory clearance in these regions has been obtained. Our international business operations are subject to a number of risks, including:</w:t>
      </w:r>
    </w:p>
    <w:p>
      <w:pPr>
        <w:spacing w:after="0" w:line="180"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as a result of more products and procedures receiving regulatory approval, certification or clearance or otherwise becoming free to market in international markets;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restrictions, trade regulations, and foreign tax laws;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effective marketing campaigns in unfamiliar international markets;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clearance and shipping delays;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including the ongoing war between Russia and Ukraine, conflicts in the Middle East, potential conflict between China and Taiwan, terrorist attacks, and security concerns in general;</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produced products;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 In addition, the war between Russia and Ukraine has not had a direct material impact on our revenue to date; however, that could change depending on the magnitude of the conflict and the imposition of additional sanctions by the U.S. and other countries or the spread of the conflict to surrounding areas. Further, while we are not directly exposed to economic conditions in Russia or Ukraine, the conflict has had a substantial impact on global supply chains and may be a contributing factor to the supply chain shortages we are experiencing.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some of our customers, which could result in material losses.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customer demand and our inventory levels.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do not maintain large volumes of finished goods and anticipating demand for our products may be challenging as cataract surgeon demand and adoption rates can be unpredictable. In addition, as use of our Systems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In connection with the commercial launch of the ALLY System, we have modified our manufacturing operations from producing the LLS to the ALLY System. We could underestimate the worldwide demand for the ALLY System and be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unable to fulfill customer requests. Conversely, if we overestimate customer demand, our excess or obsolete inventory may increase significantly, which would reduce our gross margin and adversely affect our financial results.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secure adequate coverage or reimbursement by government or other third-party payors for certain procedures using our ALLY System or our other future products, or changes in current coverage or reimbursement, could materially impact our revenue and future growth.</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Adequate coverage and reimbursement from third-party payors, including government programs such as Medicare and Medicaid, private insurance plans and managed care programs, for certain procedures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a limited warranty for our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brought against us could cause us to incur substantial liabilities, limit the selling or leasing of our existing products and interfere with commercialization of any products that we may develop.</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significantly and may not fully reflect the underlying performance of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or third quarter being the slowest. We believe these seasonal changes are consistent across our industry. Other factors that may cause fluctuations in our quarterly and annual results include:</w:t>
      </w:r>
    </w:p>
    <w:p>
      <w:pPr>
        <w:spacing w:after="0" w:line="187" w:lineRule="exact"/>
        <w:rPr>
          <w:sz w:val="20"/>
          <w:szCs w:val="20"/>
          <w:color w:val="auto"/>
        </w:rPr>
      </w:pPr>
    </w:p>
    <w:p>
      <w:pPr>
        <w:ind w:left="5540" w:right="3260" w:hanging="5532"/>
        <w:spacing w:after="0" w:line="532" w:lineRule="auto"/>
        <w:tabs>
          <w:tab w:leader="none" w:pos="3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demand for the more advanced, patient-pay procedures in which our Systems are used;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9" w:name="page50"/>
    <w:bookmarkEnd w:id="49"/>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our LLS and ALLY Systems;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and dedicated sales organization in the United States and network of independent distributors outside the United States;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applicable to our products from competitor pricing;</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studies on our products or competitive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sales and leases of our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delivery of Systems, new product offerings, acquisitions, licenses or other significant events by us or our competitors;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surgeons, hospitals and ASCs to defer acquisitions of Systems in anticipation of the introduction of new products or product enhancements by us or our competitors;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sampling by and additional training requirements for cataract surgeons upon the commercialization of a new product by us or one of our competitors;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clearances or certifications and legislative changes affecting the products we may offer or those of our competitors;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of, component and raw material deliveries by our suppliers;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industry and market developments;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obtain regulatory clearance, certification or approval for our product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anticipated growth effectively, or are unable to increase or maintain our manufacturing capacity, we may not be able to meet customer demand for our products and our business could suffer.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significant period-to-period growth in our business, with the exception of 2020 due to the impact of the COVID-19 pandemic on our operations, and we must continue to grow in order to meet our business and financial objectives. However, continued growth may create numerous challenges, including:</w:t>
      </w:r>
    </w:p>
    <w:p>
      <w:pPr>
        <w:spacing w:after="0" w:line="176"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increased responsibilities for our management team;</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our operating, financial and reporting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to anticipate and satisfy market demand;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manufacturing capacity requirements;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our ability to source a larger supply of components, including as a result of ongoing supply chain issues, in order to meet our required specifications on a timely basis;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increasing number of relationships with our customers, suppliers and other third parties;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international territories with unfamiliar regulations and business approaches;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train and manage additional qualified personnel;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transitioning manufacturing from our LLS to our ALLY System.</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choose to acquire new and complementary businesses, products or technologies, we may be unable to complete these acquisitions or to successfully integrate them in a cost-effective and non-disruptive manner.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our ability to retain members of our senior management and other key employees. If we are unable to retain or recruit qualified personnel for growth, our business results could suffer.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begun to experience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the use of information technology. Cybersecurity risks – any technology failures causing a material disruption to operational technology or cyber-attacks on our systems affecting our ability to protect the integrity and security of confidential customer and employee information – could harm our reputation and/or could disrupt our operations and negatively impact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certain personal information, including of our employees and contractors (collectively Confidential Information).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future operation, success and growth of our business depends on streamlined processes made available through our uninhibited access to information technology systems, global communications, internet activity and other network processes.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Like most companies, despite our current security measures, our information technology systems, and those of our third-party service providers, may be vulnerable to information security breaches, acts of vandalism, computer viruses and interruption,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Hackers and data thieves are increasingly sophisticated and operate large-scale and complex automated attacks which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We and certain of our service providers are from time to time subject to cyberattacks and security incidents. Any significant information technology system failure, accident or security breach could cause interruptions in our operations, result in damage to our reputation, the loss or misappropriation of Confidential Information, result in key personnel being unable to perform duties or communicate throughout the organization, significant costs associated with the investigation, data restoration and remediation, and potential notification of the breach to third-parties, including counter-parties and data subjects, and have other adverse impacts on our business.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if our network were compromised, it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carry cyber insurance, which may expose us to certain potential losses for damages or result in penalization with fines in an amount exceeding our resources.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to comply with data privacy and security laws and other obligations could have a material adverse effect on our business, results of operations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Confidential Information and in protecting the security of such information. We could be subject to attacks on our information technology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information or prevent use of their accounts.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or, collectively, HIPAA, the EU’s General Data Protection Regulation 2016/679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52" w:lineRule="auto"/>
        <w:rPr>
          <w:sz w:val="20"/>
          <w:szCs w:val="20"/>
          <w:color w:val="auto"/>
        </w:rPr>
      </w:pPr>
      <w:r>
        <w:rPr>
          <w:rFonts w:ascii="Times New Roman" w:cs="Times New Roman" w:eastAsia="Times New Roman" w:hAnsi="Times New Roman"/>
          <w:sz w:val="18"/>
          <w:szCs w:val="18"/>
          <w:color w:val="auto"/>
        </w:rPr>
        <w:t>applicable national supplementing laws, or GDPR, and the California Consumer Privacy Act, as amended by the California Privacy Rights Act, or, 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imposes comprehensive compliance obligations regarding our processing of personal data of individuals within the European Economic Area, or EEA, or in the context of our activities within the EEA, including a principle of accountability and the obligation to demonstrate that appropriate legal bases are in place to justify data processing activities. Additionally, we are subject to laws and regulations regarding cross-border transfers of personal data,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or SSCs - a standard form of contract approved by the European Commission as an adequate personal data transfer mechanism - alone may not necessarily be sufficient in all circumstances and that transfers must be assessed on a case-by-case basis. The European Commission adopted its Adequacy Decision in relation to the new EU-U.S. Data Privacy Framework, or DPF, on July 10, 2023, rendering the DPF effective as a GDPR transfer mechanism to U.S. entities self-certified under the DPF.</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rely on the SCCs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If we cannot rely on existing mechanisms for transferring personal data from the EEA, or other jurisdictions, we could be prevented from transferring personal data of individuals in those regions; we could suffer additional costs, complaints and/or regulatory investigations or fines; we may have to stop using certain tools and vendors and make other operational changes; we will have to implement revised SSCs for existing arrangements within required time frame; and/or it could otherwise adversely affect the manner in which we provide our services and thus materially affect our operations and financial results. Failure to comply with the GDPR could result in penalties for certain breaches of up to the greater of EUR 20 million or 4% of our global annual turnover. In addition to fines, a breach of the GDPR may result in regulatory investigations, reputational damage, orders to cease/change our data processing activities, enforcement notices, assessment notices (for a compulsory audit) and/ or civil claims (including class actions).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the United Kingdom General Data Protection Regulation and Data Protection Act 2018, which collectively impose separate but similar obligations to those under the GDPR and comparable penalties, including fines of up to £17.5 million or 4% of a noncompliant undertaking’s global annual revenue for the preceding financial year, whichever is greater. On October 12, 2023, the UK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For example, Washington State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to host or otherwise process some of this data. In some instances, these third parties have experienced immaterial failures to protect data privacy. There can be no assurances that the privacy and security-related measures and safeguards we have put in place in relation to these third parties will be effective to protect us and/ or the relevant personal information from the risks associated with the third-party processing of such data. Any failure by a third party to prevent security breaches could have adverse consequences for us,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could adversely affect our business and harm our reputation and ability to provide our products on a timely basis.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would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on our books may lead to significant impairment charges.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have incurred and may incur significant impairment charges if the fair value of the intangible assets would be less than their carrying value on our balance sheet at any point in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continuing contingent liabilities of PDL BioPharma, Inc. following the Spin-Off.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2020, we completed the Spin-Off and became an independent public company. There are several significant areas where the liabilities of PDL may become our obligations, notwithstanding the Spin-Off. For example, under the Internal Revenue Code of 1986, as amended, or the Code, and the related rules and regulations, each corporation that was a member of the PDL consolidated U.S. federal income tax reporting group during any taxable period or portion of any taxable period ending on or before the effective time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the Spin-Off is jointly and severally liable for the U.S. federal income tax liability of the entire PDL consolidated tax reporting group for that taxable period. In addition, the Tax Matters Agreement with PDL allocates the responsibility for taxes between PDL and us. Pursuant to this allocation, we may be responsible for taxes that we would not have otherwise incurred, or that we would have incurred but in different amounts or at different times, on a standalone basis outside of the PDL consolidated group, and the amount of such taxes could be significant. If PDL is unable to pay any prior period taxes for which it is responsible, we could be required to pay the entire amount of such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indemnification obligations to PDL pursuant to the Separation and Distribution Agreement could materially and adversely affect 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Spin-Off, the Company and PDL entered into a Separation and Distribution Agreement, dated September 30, 2020, or the Separation and Distribution Agreement, which sets forth the agreements between PDL and the Company regarding the principal transactions necessary to separate the Company from PDL and other agreements that govern certain aspects of the relationship with PDL after the completion of the Spin-Off. Among other things, the Separation and Distribution Agreement provides for indemnification obligations designed to make us financially responsible for substantially all of the liabilities that may exist relating to our business activities, whether incurred prior to or after the Spin-Off. If we are required to indemnify PDL under the circumstances set forth in the Separation and Distribution Agreement, we may be subject to substantial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18"/>
          <w:szCs w:val="18"/>
          <w:color w:val="auto"/>
        </w:rPr>
        <w:t>“predicate”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we have obtained clearance of our Systems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ALLY System, which has received clearance from the FDA, enables cataract surgeons to complete the laser-assisted procedure seamlessly in a single, sterile environment. The ALLY System is available to all U.S. and EU cataract surgeons and has also received regulatory clearance in India, Taiwan, as well as certain other countries. In addition, we are pursuing additional marketing or certification applications through our distributors in South Korea and China.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foreign regulatory authorities or notified bodies can delay, limit or deny clearance, certification or approval of a device for many reasons, including:</w:t>
      </w:r>
    </w:p>
    <w:p>
      <w:pPr>
        <w:spacing w:after="0" w:line="162" w:lineRule="exact"/>
        <w:rPr>
          <w:sz w:val="20"/>
          <w:szCs w:val="20"/>
          <w:color w:val="auto"/>
        </w:rPr>
      </w:pPr>
    </w:p>
    <w:p>
      <w:pPr>
        <w:ind w:left="38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foreign regulatory authority or notified body that our products are safe or effective for their intended uses;</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authority or notified body with the design or implementation of our clinical trials or the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certification or approval, where required;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or certification policies or regulations of the FDA or applicable foreign regulatory authority or notified body to change significantly in a manner rendering our clinical data or regulatory filings insufficient for clearance, certification or approval.</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transitional provisions and in order to sell our products in EU member states, our products must comply with the general safety and performance requirements of the EU Medical Devices Regulation, which repeals and replaces the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UK, on June 26, 2022, the Medicines and Healthcare products Regulatory Agency, or MHRA, published its response to a 10-week consultation on the future regulation of medical devices in the United Kingdom. The MHRA proposes amendments to the UK Medical Devices Regulations 2002 (which are based on EU legislation, primarily the EU Medical Devices Directive), in particular to create new access pathways to support innovation, create an innovative framework for regulating software and artificial intelligence as medical devices, reform in vitro diagnostic regulation, and foster sustainability through the reuse and remanufacture of medical devices. Regulations implementing the new regime were originally scheduled to come into force in July 2023, but the MHRA has recently updated guidance to reflect that it is now aiming for core aspects of the future regime for medical devices to apply from July 1, 2025. Medical devices bearing CE marks issued by EU notified bodies under the EU Medical Devices Regulation or EU Medical Devices Directive are now subject to transitional arrangements. Medical devices compliant with the EU Medical Devices Directive or EU Active Implantable Medical Devices Directive with a valid declaration and CE marking can be placed on the Great Britain market up until the sooner of expiry of certificate or June 30, 2028. Medical devices compliant with the EU Medical Devices Regulation can be placed on the Great Britain market up until June 30, 2030. Following these transitional periods, all medical devices will require a UK Conformity Assessed, or UKCA, mark. Manufacturers may choose to use the UKCA mark on a voluntary basis prior to the regulations coming into force; however, UKCA marking will not be recognized in the EU. Following the transitional period, compliance with the UK regulations will be a prerequisite to be able to affix the UKCA mark to medical devices, without which they cannot be sold or marketed in Great Britain. The rules for placing medical devices on the Northern Ireland market will differ from those in the Great Britain and will continue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to be governed according to EU requirements. These modifications may have an effect on the way we intend to conduct our business in these countries.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w:t>
      </w:r>
    </w:p>
    <w:p>
      <w:pPr>
        <w:spacing w:after="0" w:line="189"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certifications or approvals (including foreign regulatory approvals) of new products, new intended uses, or modifications to existing products;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our current 510(k) clearances or certifications, resulting in prohibitions on sales of our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federal, state and foreign regulations, and we or any of our suppliers could be forced to recall products or terminate production if we fail to comply with these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LLS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Systems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international regulatory registrations, clearances, certifications or approvals for our products, we will be unable to market and sell our products outside of the United States.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trial process is lengthy and expensive with uncertain outcomes. Results of earlier studies may not be predictive of future clinical trial results, or the safety or efficacy profile for such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76" w:lineRule="exact"/>
        <w:rPr>
          <w:sz w:val="20"/>
          <w:szCs w:val="20"/>
          <w:color w:val="auto"/>
        </w:rPr>
      </w:pPr>
    </w:p>
    <w:p>
      <w:pPr>
        <w:jc w:val="both"/>
        <w:ind w:left="38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other reviewing bodies may not authorize us or our investigators to commence a clinical trial, or to conduct or continue a clinical trial at a prospective or specific trial site;</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negative or inconclusive results, and we may decide, or regulators or notified bodies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for various reasons, including a finding that the subjects are being exposed to unacceptable health risks;</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(or other reviewing bodies), regulatory authorities, or both, for re-examination;</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other reviewing bodies, or other parties may require or recommend that we or our investigators suspend or terminate clinical research for various reasons, including safety signals or noncompliance with regulatory requirements;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the clinical protocol or may drop out of a clinical trial;</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or certification policies or regulations of FDA or applicable foreign regulatory agencies may change in a manner rendering our clinical data insufficient for certification or approval; and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any further disruptions related to public health crises, such as a resurgence of COVID-19,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in November 2018, FDA officials announced steps that the FDA intended to take to modernize the premarket notification pathway under Section 510(k) of the Federal Food, Drug, and Cosmetic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regulatory landscape related to medical devices in the EU recently evolved.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and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and any resurgence of the COVID-19 virus or emergence of new variants may lead to further inspectional delays. Regulatory authorities outside the United States have also adopted similar restrictions or other policy measures at times in response to the COVID-19 pandemic and may adopt similar restrictions or other policy measures in the future. If a prolonged government shutdown occurs, or if global health concerns continue to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notified bodies must be officially designated to certify products and services in accordance with the EU Medical Devices Regulation. Their designation process, which is significantly stricter under the new Regulation, has experienced considerable delays due to the COVID-19 pandemic.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commercialize our ALLY System or other products we may develop in the future and may affect the prices we may set.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EU states, in December 2021, the EU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federal, state and foreign laws pertaining to healthcare fraud and abuse, including anti-kickback, self-referral, false claims and fraud laws, and any violations by us of such laws could result in fines or other penalties.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w:t>
      </w:r>
    </w:p>
    <w:p>
      <w:pPr>
        <w:spacing w:after="0" w:line="180" w:lineRule="exact"/>
        <w:rPr>
          <w:sz w:val="20"/>
          <w:szCs w:val="20"/>
          <w:color w:val="auto"/>
        </w:rPr>
      </w:pPr>
    </w:p>
    <w:p>
      <w:pPr>
        <w:jc w:val="both"/>
        <w:ind w:left="380" w:hanging="372"/>
        <w:spacing w:after="0" w:line="258"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4" w:name="page65"/>
    <w:bookmarkEnd w:id="64"/>
    <w:p>
      <w:pPr>
        <w:jc w:val="both"/>
        <w:ind w:left="380" w:hanging="372"/>
        <w:spacing w:after="0" w:line="255"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w:t>
      </w:r>
    </w:p>
    <w:p>
      <w:pPr>
        <w:spacing w:after="0" w:line="188" w:lineRule="exact"/>
        <w:rPr>
          <w:rFonts w:ascii="Times New Roman" w:cs="Times New Roman" w:eastAsia="Times New Roman" w:hAnsi="Times New Roman"/>
          <w:sz w:val="18"/>
          <w:szCs w:val="18"/>
          <w:color w:val="auto"/>
        </w:rPr>
      </w:pPr>
    </w:p>
    <w:p>
      <w:pPr>
        <w:jc w:val="both"/>
        <w:ind w:left="380" w:right="2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spacing w:after="0" w:line="18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any violations by us of such laws could result in fines or other penalties.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vendors, distributors and contract research organizations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w:t>
      </w:r>
    </w:p>
    <w:p>
      <w:pPr>
        <w:spacing w:after="0" w:line="3" w:lineRule="exact"/>
        <w:rPr>
          <w:sz w:val="20"/>
          <w:szCs w:val="20"/>
          <w:color w:val="auto"/>
        </w:rPr>
      </w:pPr>
    </w:p>
    <w:p>
      <w:pPr>
        <w:jc w:val="both"/>
        <w:ind w:firstLine="8"/>
        <w:spacing w:after="0" w:line="251" w:lineRule="auto"/>
        <w:tabs>
          <w:tab w:leader="none" w:pos="3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and protect our intellectual property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efforts to enter into confidentiality agreements with our employees, consultants, clients and other vendors who have access to such information, our trade secrets, data and know-how may not prevent unauthorized use, misappropriation, or disclosure to unauthorized parties, and could otherwise become known or be independently discovered by third parties. Our intellectual property, including trademarks, could be challenged, invalidated, infringed,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enforcing of any patents or other intellectual property rights. The process of applying for and obtaining a patent is expensive, time-consuming and complex, and we may not be able to file, prosecute, maintain, enforce or license all necessary or desirable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patent applications at a reasonable cost, in a timely manner, or in all jurisdictions where protection may be commercially advantageous, or we may not be able to protect our proprietary rights at all. We may not be successful in protecting our proprietary rights, and unauthorized parties may be able to obtain and use information that we regard as proprietary.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September 30, 2024, we owned approximately 64 U.S. patents, 31 pending U.S. patent applications, 170 issued foreign patents, and 85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or circumvented. Proceedings challenging our patents could result in either loss of the patent, or denial or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products on a substantial scale, if approved, before our relevant patents we may have expire;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we are able to obtain patent protection, such patent protection may be of insufficient scope to achieve our business objectives. Issued patents may be challenged, narrowed, invalidated or circumvented. Decisions by courts and governmental patent agencies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55" w:lineRule="auto"/>
        <w:rPr>
          <w:sz w:val="20"/>
          <w:szCs w:val="20"/>
          <w:color w:val="auto"/>
        </w:rPr>
      </w:pPr>
      <w:r>
        <w:rPr>
          <w:rFonts w:ascii="Times New Roman" w:cs="Times New Roman" w:eastAsia="Times New Roman" w:hAnsi="Times New Roman"/>
          <w:sz w:val="18"/>
          <w:szCs w:val="18"/>
          <w:color w:val="auto"/>
        </w:rPr>
        <w:t>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reviving the patent or application, there is a risk that the revival can be challenged by third parties in proceeding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technology on reasonable terms, we may not be able to successfully commercialize our products. Our licensed or acquired technology may lose value or utility or over time.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we have licensed technology from third parties and may choose or need to do so in the future, including to develop or commercialize new products or services. We may also need to negotiate licenses to patents or patent applications before or after introducing a commercial product, and we may not be able to obtain necessary licenses to such patents or patent applications.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of in the industry, in our business objectives, others’ technology, our dispute with the licensor, and other circumstances outside our control. In return for the use of a third party’s technology,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 consuming and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third-party’s patent or trademark or of misappropriating a third-party’s trade secret.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a court agrees, we would lose our rights to those challenged patents or have the scope of those rights narrowed.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patent applications or other intellectual property, as a result of the work they performed on our behalf. Our general requirement that our employees and consultants and any other partners or collaborators who have access to our proprietary know-how, information or technology assign or grant similar rights to their inventions to us may not fully protect us from intellectual property claims. Additionally, we cannot be certain that we have executed such agreements with all parties who may have contributed to our intellectual property, nor can we be certain that our agreements with such parties will be upheld in the face of a potential challenge, that such agreements will adequately protect us, or that they will not be breached, for which we may not have an adequate remedy.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lawsuits relating to intellectual property rights could subject us to significant liability for damages and invalidate our proprietary rights. Any potential intellectual property litigation also could force us to do one or more of the following:</w:t>
      </w:r>
    </w:p>
    <w:p>
      <w:pPr>
        <w:spacing w:after="0" w:line="162"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making, selling or using products or technologies that allegedly infringe the asserted intellectual property;</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intellectual property to others or to collect royalty payments based upon successful protection and assertion of our intellectual property rights against others; incur significant legal expenses;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or technologies that contain the allegedly infringing intellectual property, which could be costly and disruptive, and may be infeasible;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willfully infringe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make any necessary changes to our products 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technologies, we may have to withdraw existing products from the market or may be unable to commercialize one or more of our products.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generally indemnify our customers with respect to infringement by our products of the proprietary rights of third parties. However,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parties review, post grant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proprietary information, our business and competitive position may be harmed.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protection of trade secrets, know-how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The protections we place on our intellectual property or other proprietary rights may not be sufficient.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confidential or proprietary information. Any of the foregoing could materially and adversely affect our business, financial condition and results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p>
    <w:p>
      <w:pPr>
        <w:spacing w:after="0" w:line="162"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to our standards or legal requirements;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produce reliable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in a timely manner;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maintain confidentiality of our proprietary information;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rights to technology developed with our partners, and those disputes may be resolved against us;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could cause delays in, or termination of, the research, development or commercialization of our products or result in litigation or arbitration.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trademarks, service marks, trade names and brand names to distinguish our products from the products of our competitors, and have registered or applied to register many of these trademarks. It is possible that some of our trademark applications may not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Risks Related to Artificial Intelligence Technologies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technologies in our business, and the deployment, use, and maintenance of these technologies involve significant technological and legal risks.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 artificial intelligence (“AI”), machine learning, and automated decision-making technologies, including proprietary AI and machine learning algorithms and models (collectively, “AI Technologies”), throughout our business, and are making significant investments in this area.</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we use AI Technologies in our ALLY System to register and analyze patients’ eyes and determine eye surface and cataract density, which helps optimize laser patterns and energy settings in cataract procedures, with the goal of minimizing the overall energy delivered in the eye for quicker visual recovery and better patient outcomes.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for example: incorrectly designed or implemented; trained or reliant on incomplete, inadequate, inaccurate, biased or otherwise poor quality data;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without limitation, material performance problems, undetected defects or errors. We may be unsuccessful in our ongoing development and maintenance of these technologies in the face of novel and evolving technical factors. Further, our ability to continue to develop or use such technologies may be dependent on access to specific third-party software, services and infrastructure, such as processing hardware, and we cannot control the availability or pricing of such third-party software and infrastructure, especially in a highly competitive environment.</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obtain sufficient intellectual property protection for our AI Technologies to prevent competitors from implementing the same or similar technology in their businesses, and other individuals may apply for or obtain intellectual property protection which could limit our ability to use technology that we are currently developing.</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If we fail to obtain protection for the intellectual property rights concerning our AI Technologies or products that incorporate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long history of development of AI Technologies, other parties may have (or in the future may obtain) patents or other proprietary rights that would prevent, limit, or interfere with our ability to make or use our proprietary AI Technologies.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governing the use of AI Technologies is rapidly evolving, and we cannot predict how future legislation and regulation will impact our ability to offer products or services that we develop which leverage AI Technologies.</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or standards may have on our business and may not always be able to anticipate how to respond to these laws or regulations.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Already, certain existing legal regimes (e.g., relating to data privacy) regulate certain aspects of AI Technologies, and new laws regulating AI Technologies are expected to enter into force in the United States and the EU in 2024. In the United States, the Biden administration issued a broad Executive Order on the Safe, Secure, and Trustworthy Development and Use of Artificial Intelligence (the “2023 AI Order”) that sets out principles intended to guide AI design and deployment for the public and private sector and signals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3" w:name="page74"/>
    <w:bookmarkEnd w:id="73"/>
    <w:p>
      <w:pPr>
        <w:jc w:val="both"/>
        <w:spacing w:after="0" w:line="252" w:lineRule="auto"/>
        <w:rPr>
          <w:sz w:val="20"/>
          <w:szCs w:val="20"/>
          <w:color w:val="auto"/>
        </w:rPr>
      </w:pPr>
      <w:r>
        <w:rPr>
          <w:rFonts w:ascii="Times New Roman" w:cs="Times New Roman" w:eastAsia="Times New Roman" w:hAnsi="Times New Roman"/>
          <w:sz w:val="18"/>
          <w:szCs w:val="18"/>
          <w:color w:val="auto"/>
        </w:rPr>
        <w:t>increase in governmental involvement and regulation over AI Technologies. The 2023 AI Order established certain new requirements for the training, testing and cybersecurity of sophisticated AI models and large-scale compute centers used to train AI models. The 2023 AI Order also instructed several other federal agencies to promulgate additional regulations within specific timeframes from the date of the 2023 AI Order regarding the use and development of AI Technologies. Already agencies such as the Department of Commerce and the Federal Trade Commission have issued proposed rules governing the use and development of AI Technologies. Legislation related to AI Technologies has also been introduced at the federal level and is advancing at the state level. For example, on March 13, 2024, Utah passed the Utah AI Policy Act, which took effect in May 2024, imposing certain disclosure requirements on the use of AI, and on May 17, 2024, Colorado enacted the Colorado AI Act, which will take effect in February 2026. Further, the California Privacy Protection Agency is currently in the process of finalizing regulations under the CCPA regarding the use of automated decision-making. In September 2024, California Governor Newsom signed seventeen new bills that further regulate use of AI Technologies and provide consumers with additional protections around companies’ use of AI Technologies, such as requiring companies to disclose certain uses of generative AI. These new bills may affect how we use AI Technologies in our business. For example, AB 1008 amends the CCPA to clarify that AI Technologies can generate output that is considered personal information, which would mean that California consumers have a right to request that such personal information generated by AI Technologies be deleted or corrected, pursuant to their rights under the CCPA. Such additional regulations may impact our ability to develop, use and commercialize AI Technologies in the future.</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Europe, on May 21, 2024, the European Union legislators approved the EU Artificial Intelligence Act (the “EU AI Act”), which establishes a comprehensive, risk-based governance framework for AI in the EU market. The EU AI Act is expected to enter into force on August 1, 2024, and the majority of the substantive requirements will apply two years later. The EU AI Act will apply to companies that develop, use and/or provide AI in the EU and includes requirements around transparency, conformity assessments and monitoring, risk assessments, human oversight, security, accuracy, general purpose AI and foundation models, and proposes fines for breach of up to 7% of worldwide annual turnover. In addition, on September 28, 2022, the European Commission proposed two Directives seeking to establish a harmonized civil liability regime for AI in the EU, in order to facilitate civil claims in respect of harm caused by AI and to include AI-enabled products within the scope of the EU’s existing strict product liability regime. Once fully applicable, the EU AI Act and the Liability Directives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spacing w:after="0" w:line="19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51.5% of our total outstanding shares of common stock based on our shares outstanding as of September 30, 2024, assuming full conversion of the Series A Redeemable Convertible Preferred Stock and full exercise of the Warrants for cash. We may file additional registration statements relating to shares or awards held by our management and board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disclosure requirements applicable to us will make our common stock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As a result of this election, our financial statements may not be comparable to the financial statements of other public companies.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also currently intend to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remain an “emerging growth company” until as late as December 31, 2025 (the fiscal year-end following the fifth anniversary of the completion of the spin-off), though we may cease to be an “emerging growth company” earlier under certain circumstances, including (1) if the market value of our common stock that is held by non-affiliates exceeds $700.0 million as of any June 30, in which case we would cease to be an “emerging growth company” as of December 31, (2) if our gross revenue exceeds $1.235 billion in any fiscal year or (3) if we issue more than $1.0 billion in nonconvertible notes in any three-year period.</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there may be a less active trading market for our common stock and our stock price may decline or become more volatile.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shares of redeemable convertible preferred stock, and may in the future issue additional shares of preferred stock, with terms that could dilute the voting power or reduce the value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SPA, we issued an aggregate of 20,000 shares of a newly established series of preferred stock designated as “Series A Convertible Preferred Stock, par value $0.01 per share,” which have a stated value of $1,000 per share and are convertible into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cs="Times New Roman" w:eastAsia="Times New Roman" w:hAnsi="Times New Roman"/>
          <w:sz w:val="18"/>
          <w:szCs w:val="18"/>
          <w:i w:val="1"/>
          <w:iCs w:val="1"/>
          <w:color w:val="auto"/>
        </w:rPr>
        <w:t>Redeemable 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included elsewhere in this Quarterly Report); create, authorize, or issue shares of capital stock that are senior or pari passu to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Redeemable Convertible Preferred Stock; complete an acquisition with consideration above $1.0 million; incur debt in excess of $1.0 million; change our line of business; or enter into certain related-party transactions.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Run and its affiliates’ ownership may limit or preclude other stockholders’ ability to influence corporate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North Run Capital, LP, or North Run, and its affiliates held 46.3% of the voting power of our capital stock based on shares outstanding as of September 30, 2024,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stock appreciation for any return on their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Delaware law could discourage takeover attempts and lead to management entrenchment and, therefore, may depress the trading price of our common stock.</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162" w:lineRule="exact"/>
        <w:rPr>
          <w:sz w:val="20"/>
          <w:szCs w:val="20"/>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or be sustained, and the trading price of our common stock is likely to be volatile.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w:t>
      </w:r>
    </w:p>
    <w:p>
      <w:pPr>
        <w:spacing w:after="0" w:line="180"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condition and operating performance;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similar companies;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us or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as needed;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performance of the equity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publicly owned and available for trading;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governmental investigations;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affecting our business, including tax legislation;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earnings guidance;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changes in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volumes of sales of our shares of common stock by existing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common stock;</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our industry; and</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or general economic conditions, including the effects of recession or slow economic growth in the U.S. and abroad, interest rates, fuel prices, international currency fluctuations, corruption, political instability, acts of war, including the ongoing war between Russia and Ukraine and the conflicts in the Middle East, acts of terrorism, natural disasters and public health crises, such as a resurgence of COVID-19.</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For example, on August 14, 2023, two stockholders filed a Verified Amended Class Action Complaint against the Company and certain of its officers and members of the board of directors in the matter captioned Schaper v. LENSAR, Inc., et al., Case No. 1:23-cv-00692-JLH (D. Del.), alleging violations of Sections 14(a) and 20(a) of the Exchange Act, as well as Rule 14d-9 promulgated thereunder, and asserting claims challenging the adequacy of disclosures in the definitive proxy statement filed with the SEC on June 20, 2023. Plaintiffs filed a Verified Second Amended Class Action Complaint on January 12, 2024, alleging substantially the same claims. This type of litigation could result in very substantial costs, divert our management’s attention and resources, and could have a material adverse effect on our business, financial condition and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 over financial reporting and will be subject to other requirements that will be burdensome and costly.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as long as we are an “emerging growth company” under the JOBS Act or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and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stakeholder expectations regarding environmental, social, and governance matters may cause us to incur expenses and liabilities or otherwise adversely impact our business, financial condition, or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18"/>
          <w:szCs w:val="18"/>
          <w:color w:val="auto"/>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rapidly,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net operating loss, or NOL, carryforwards of $32.5 million for federal income tax purposes and $22.6 million for state income tax purposes, which may be available to offset our future taxable income, if any. Our federal NOL carryforwards are not subject to expiration, but may generally only be used to offset 80% of future taxable income in a given year. Our state NOL carryforwards begin to expire in 2028. Our state NOL carryforwards could expire unused, to the extent subject to expiration, and be unavailable to offset future taxable income.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Code, a corporation that undergoes an “ownership change”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(by value) over a rolling three-year period. Similar rules may apply under state tax laws. We completed an ownership change analysis pursuant to Section 382 of the Code through our taxable year ended December 31, 2023, and determined we experienced an ownership change on May 18, 2023 in connection with the Private Placement of Series A Redeemable Convertible Preferred Stock. Our ability to utilize our NOL carryforwards and other tax attributes to offset future taxable income or income taxes is limited as a result of such ownership change. However, we may have experienced additional ownership changes since December 31, 2023, and we may experience ownership changes in the future as a result of future transactions in our stock, some of which may be outside our control. If we have undergone additional ownership changes, or if we undergo ownership changes in the future, our ability to use our NOL carryforwards could be further limited.</w:t>
      </w:r>
    </w:p>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jc w:val="both"/>
        <w:ind w:firstLine="8"/>
        <w:spacing w:after="0" w:line="266" w:lineRule="auto"/>
        <w:tabs>
          <w:tab w:leader="none" w:pos="2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5, 2024, the Company’s Board of Directors approved and adopted amendments to the Company’s second amended and restated bylaws (as amended, the “Amended and Restated Bylaws”), which became effective the same day. Among other things, the amendments contained in the Amended and Restated Bylaws: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58"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advance notice disclosure requirements in connection with stockholder nominations of directors and submissions of proposals regarding other business at stockholder meetings (other than proposals to be included in the Company’s proxy materials pursuant to Rule 14a-8 under the Exchange Act to require the notice from stockholders to include certain information from the stockholder providing notice, beneficial owners on whose behalf notice is made and other participants in the solicitation, and remove the requirement for the notice to include information from persons that are “associates” of the proposing stockholder;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ind w:left="1020" w:right="10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the universal proxy rules adopted by the SEC, by clarifying that no person may solicit proxies in support of a director nominee other than the Board’s nominees unless such person has complied with Rule 14a-19 under the Exchange Act, including applicable notice and solicitation requirements;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procedural mechanics and disclosure requirements in connection with stockholder nominations of directors and submissions of proposals regarding other business at stockholder meetings, including, without limitation, requiring certain additional background information and disclosures regarding proposing stockholders and other persons participating in a stockholder’s solicitation of proxies, and regarding the proposed nominees, including a representation that such candidate intends to serve the entire term, if elected; and</w:t>
      </w:r>
    </w:p>
    <w:p>
      <w:pPr>
        <w:spacing w:after="0" w:line="71"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stockholder directly or indirectly soliciting proxies from other stockholders use a proxy card color other than white, which will be reserved for exclusive use by the Board of Directors.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and Restated Bylaws also incorporate certain modernizing, clarifying, conforming and additional changes.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Bylaws does not purport to be complete and is qualified in its entirety by reference to the full text of the Amended and Restated Bylaws, a copy of which is attached hereto as Exhibit 3.2 and incorporated herein by reference.</w:t>
      </w:r>
    </w:p>
    <w:p>
      <w:pPr>
        <w:spacing w:after="0" w:line="54"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2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no directors or “officers” (as defined in Rule 16a-1(f) under the Exchange Act) of the Company adopted, modified or terminated a “Rule 10b5-1 trading arrangement” and/or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740" w:type="dxa"/>
            <w:vAlign w:val="bottom"/>
            <w:gridSpan w:val="14"/>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29"/>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434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6"/>
                <w:szCs w:val="16"/>
                <w:color w:val="auto"/>
              </w:rPr>
            </w:pPr>
          </w:p>
        </w:tc>
        <w:tc>
          <w:tcPr>
            <w:tcW w:w="434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6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400" w:type="dxa"/>
            <w:vAlign w:val="bottom"/>
          </w:tcPr>
          <w:p>
            <w:pPr>
              <w:spacing w:after="0"/>
              <w:rPr>
                <w:sz w:val="24"/>
                <w:szCs w:val="24"/>
                <w:color w:val="auto"/>
              </w:rPr>
            </w:pPr>
          </w:p>
        </w:tc>
        <w:tc>
          <w:tcPr>
            <w:tcW w:w="4340" w:type="dxa"/>
            <w:vAlign w:val="bottom"/>
            <w:gridSpan w:val="13"/>
          </w:tcPr>
          <w:p>
            <w:pPr>
              <w:spacing w:after="0"/>
              <w:rPr>
                <w:rFonts w:ascii="Times New Roman" w:cs="Times New Roman" w:eastAsia="Times New Roman" w:hAnsi="Times New Roman"/>
                <w:sz w:val="16"/>
                <w:szCs w:val="16"/>
                <w:color w:val="0000FF"/>
              </w:rPr>
            </w:pPr>
            <w:hyperlink r:id="rId325">
              <w:r>
                <w:rPr>
                  <w:rFonts w:ascii="Times New Roman" w:cs="Times New Roman" w:eastAsia="Times New Roman" w:hAnsi="Times New Roman"/>
                  <w:sz w:val="16"/>
                  <w:szCs w:val="16"/>
                  <w:color w:val="0000FF"/>
                </w:rPr>
                <w:t>Separation and Distribution Agreement between PDL BioPharma,</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340" w:type="dxa"/>
            <w:vAlign w:val="bottom"/>
            <w:gridSpan w:val="13"/>
            <w:vMerge w:val="restart"/>
          </w:tcPr>
          <w:p>
            <w:pPr>
              <w:spacing w:after="0" w:line="183" w:lineRule="exact"/>
              <w:rPr>
                <w:rFonts w:ascii="Times New Roman" w:cs="Times New Roman" w:eastAsia="Times New Roman" w:hAnsi="Times New Roman"/>
                <w:sz w:val="16"/>
                <w:szCs w:val="16"/>
                <w:color w:val="0000FF"/>
              </w:rPr>
            </w:pPr>
            <w:hyperlink r:id="rId325">
              <w:r>
                <w:rPr>
                  <w:rFonts w:ascii="Times New Roman" w:cs="Times New Roman" w:eastAsia="Times New Roman" w:hAnsi="Times New Roman"/>
                  <w:sz w:val="16"/>
                  <w:szCs w:val="16"/>
                  <w:color w:val="0000FF"/>
                </w:rPr>
                <w:t>Inc. and LENSAR, Inc.</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34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24"/>
                <w:szCs w:val="24"/>
                <w:color w:val="auto"/>
              </w:rPr>
            </w:pPr>
          </w:p>
        </w:tc>
        <w:tc>
          <w:tcPr>
            <w:tcW w:w="4340" w:type="dxa"/>
            <w:vAlign w:val="bottom"/>
            <w:gridSpan w:val="13"/>
          </w:tcPr>
          <w:p>
            <w:pPr>
              <w:spacing w:after="0"/>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Amended and Restated Certificate of Incorporation of LENSAR,</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340" w:type="dxa"/>
            <w:vAlign w:val="bottom"/>
            <w:gridSpan w:val="13"/>
            <w:vMerge w:val="restart"/>
          </w:tcPr>
          <w:p>
            <w:pPr>
              <w:spacing w:after="0" w:line="183" w:lineRule="exact"/>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Inc.</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34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Amended and Restated Bylaws of LENSAR, Inc.</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3.3</w:t>
            </w:r>
          </w:p>
        </w:tc>
        <w:tc>
          <w:tcPr>
            <w:tcW w:w="400" w:type="dxa"/>
            <w:vAlign w:val="bottom"/>
          </w:tcPr>
          <w:p>
            <w:pPr>
              <w:spacing w:after="0"/>
              <w:rPr>
                <w:sz w:val="24"/>
                <w:szCs w:val="24"/>
                <w:color w:val="auto"/>
              </w:rPr>
            </w:pPr>
          </w:p>
        </w:tc>
        <w:tc>
          <w:tcPr>
            <w:tcW w:w="4340" w:type="dxa"/>
            <w:vAlign w:val="bottom"/>
            <w:gridSpan w:val="13"/>
          </w:tcPr>
          <w:p>
            <w:pPr>
              <w:spacing w:after="0"/>
              <w:rPr>
                <w:rFonts w:ascii="Times New Roman" w:cs="Times New Roman" w:eastAsia="Times New Roman" w:hAnsi="Times New Roman"/>
                <w:sz w:val="16"/>
                <w:szCs w:val="16"/>
                <w:color w:val="0000FF"/>
              </w:rPr>
            </w:pPr>
            <w:hyperlink r:id="rId327">
              <w:r>
                <w:rPr>
                  <w:rFonts w:ascii="Times New Roman" w:cs="Times New Roman" w:eastAsia="Times New Roman" w:hAnsi="Times New Roman"/>
                  <w:sz w:val="16"/>
                  <w:szCs w:val="16"/>
                  <w:color w:val="0000FF"/>
                </w:rPr>
                <w:t>Certificate of Designations, Preferences and Rights of Series A</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340" w:type="dxa"/>
            <w:vAlign w:val="bottom"/>
            <w:gridSpan w:val="13"/>
            <w:vMerge w:val="restart"/>
          </w:tcPr>
          <w:p>
            <w:pPr>
              <w:spacing w:after="0" w:line="183" w:lineRule="exact"/>
              <w:rPr>
                <w:rFonts w:ascii="Times New Roman" w:cs="Times New Roman" w:eastAsia="Times New Roman" w:hAnsi="Times New Roman"/>
                <w:sz w:val="16"/>
                <w:szCs w:val="16"/>
                <w:color w:val="0000FF"/>
              </w:rPr>
            </w:pPr>
            <w:hyperlink r:id="rId327">
              <w:r>
                <w:rPr>
                  <w:rFonts w:ascii="Times New Roman" w:cs="Times New Roman" w:eastAsia="Times New Roman" w:hAnsi="Times New Roman"/>
                  <w:sz w:val="16"/>
                  <w:szCs w:val="16"/>
                  <w:color w:val="0000FF"/>
                </w:rPr>
                <w:t>Convertible Preferred Stock filed May 18, 2023</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34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4.1</w:t>
            </w:r>
          </w:p>
        </w:tc>
        <w:tc>
          <w:tcPr>
            <w:tcW w:w="400" w:type="dxa"/>
            <w:vAlign w:val="bottom"/>
          </w:tcPr>
          <w:p>
            <w:pPr>
              <w:spacing w:after="0"/>
              <w:rPr>
                <w:sz w:val="24"/>
                <w:szCs w:val="24"/>
                <w:color w:val="auto"/>
              </w:rPr>
            </w:pPr>
          </w:p>
        </w:tc>
        <w:tc>
          <w:tcPr>
            <w:tcW w:w="4340" w:type="dxa"/>
            <w:vAlign w:val="bottom"/>
            <w:gridSpan w:val="13"/>
          </w:tcPr>
          <w:p>
            <w:pPr>
              <w:spacing w:after="0"/>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Form of Certificate of Common Stock</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4.2</w:t>
            </w:r>
          </w:p>
        </w:tc>
        <w:tc>
          <w:tcPr>
            <w:tcW w:w="400" w:type="dxa"/>
            <w:vAlign w:val="bottom"/>
          </w:tcPr>
          <w:p>
            <w:pPr>
              <w:spacing w:after="0"/>
              <w:rPr>
                <w:sz w:val="24"/>
                <w:szCs w:val="24"/>
                <w:color w:val="auto"/>
              </w:rPr>
            </w:pPr>
          </w:p>
        </w:tc>
        <w:tc>
          <w:tcPr>
            <w:tcW w:w="4340" w:type="dxa"/>
            <w:vAlign w:val="bottom"/>
            <w:gridSpan w:val="13"/>
          </w:tcPr>
          <w:p>
            <w:pPr>
              <w:spacing w:after="0"/>
              <w:rPr>
                <w:rFonts w:ascii="Times New Roman" w:cs="Times New Roman" w:eastAsia="Times New Roman" w:hAnsi="Times New Roman"/>
                <w:sz w:val="16"/>
                <w:szCs w:val="16"/>
                <w:color w:val="0000FF"/>
              </w:rPr>
            </w:pPr>
            <w:hyperlink r:id="rId329">
              <w:r>
                <w:rPr>
                  <w:rFonts w:ascii="Times New Roman" w:cs="Times New Roman" w:eastAsia="Times New Roman" w:hAnsi="Times New Roman"/>
                  <w:sz w:val="16"/>
                  <w:szCs w:val="16"/>
                  <w:color w:val="0000FF"/>
                </w:rPr>
                <w:t>Registration Rights Agreement, dated May 12, 2023, between</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340" w:type="dxa"/>
            <w:vAlign w:val="bottom"/>
            <w:gridSpan w:val="13"/>
            <w:vMerge w:val="restart"/>
          </w:tcPr>
          <w:p>
            <w:pPr>
              <w:spacing w:after="0" w:line="183" w:lineRule="exact"/>
              <w:rPr>
                <w:rFonts w:ascii="Times New Roman" w:cs="Times New Roman" w:eastAsia="Times New Roman" w:hAnsi="Times New Roman"/>
                <w:sz w:val="16"/>
                <w:szCs w:val="16"/>
                <w:color w:val="0000FF"/>
              </w:rPr>
            </w:pPr>
            <w:hyperlink r:id="rId329">
              <w:r>
                <w:rPr>
                  <w:rFonts w:ascii="Times New Roman" w:cs="Times New Roman" w:eastAsia="Times New Roman" w:hAnsi="Times New Roman"/>
                  <w:sz w:val="16"/>
                  <w:szCs w:val="16"/>
                  <w:color w:val="0000FF"/>
                </w:rPr>
                <w:t>LENSAR, Inc, and NR-GRI Partners, LP</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34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gridSpan w:val="3"/>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4.3</w:t>
            </w:r>
          </w:p>
        </w:tc>
        <w:tc>
          <w:tcPr>
            <w:tcW w:w="400" w:type="dxa"/>
            <w:vAlign w:val="bottom"/>
          </w:tcPr>
          <w:p>
            <w:pPr>
              <w:spacing w:after="0"/>
              <w:rPr>
                <w:sz w:val="24"/>
                <w:szCs w:val="24"/>
                <w:color w:val="auto"/>
              </w:rPr>
            </w:pPr>
          </w:p>
        </w:tc>
        <w:tc>
          <w:tcPr>
            <w:tcW w:w="4340" w:type="dxa"/>
            <w:vAlign w:val="bottom"/>
            <w:gridSpan w:val="13"/>
          </w:tcPr>
          <w:p>
            <w:pPr>
              <w:spacing w:after="0"/>
              <w:rPr>
                <w:rFonts w:ascii="Times New Roman" w:cs="Times New Roman" w:eastAsia="Times New Roman" w:hAnsi="Times New Roman"/>
                <w:sz w:val="16"/>
                <w:szCs w:val="16"/>
                <w:color w:val="0000FF"/>
              </w:rPr>
            </w:pPr>
            <w:hyperlink r:id="rId330">
              <w:r>
                <w:rPr>
                  <w:rFonts w:ascii="Times New Roman" w:cs="Times New Roman" w:eastAsia="Times New Roman" w:hAnsi="Times New Roman"/>
                  <w:sz w:val="16"/>
                  <w:szCs w:val="16"/>
                  <w:color w:val="0000FF"/>
                </w:rPr>
                <w:t>Class A Common Stock Purchase Warrant, dated May 18, 2023</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4.4</w:t>
            </w:r>
          </w:p>
        </w:tc>
        <w:tc>
          <w:tcPr>
            <w:tcW w:w="400" w:type="dxa"/>
            <w:vAlign w:val="bottom"/>
          </w:tcPr>
          <w:p>
            <w:pPr>
              <w:spacing w:after="0"/>
              <w:rPr>
                <w:sz w:val="24"/>
                <w:szCs w:val="24"/>
                <w:color w:val="auto"/>
              </w:rPr>
            </w:pPr>
          </w:p>
        </w:tc>
        <w:tc>
          <w:tcPr>
            <w:tcW w:w="4340" w:type="dxa"/>
            <w:vAlign w:val="bottom"/>
            <w:gridSpan w:val="13"/>
          </w:tcPr>
          <w:p>
            <w:pPr>
              <w:spacing w:after="0"/>
              <w:rPr>
                <w:rFonts w:ascii="Times New Roman" w:cs="Times New Roman" w:eastAsia="Times New Roman" w:hAnsi="Times New Roman"/>
                <w:sz w:val="16"/>
                <w:szCs w:val="16"/>
                <w:color w:val="0000FF"/>
              </w:rPr>
            </w:pPr>
            <w:hyperlink r:id="rId331">
              <w:r>
                <w:rPr>
                  <w:rFonts w:ascii="Times New Roman" w:cs="Times New Roman" w:eastAsia="Times New Roman" w:hAnsi="Times New Roman"/>
                  <w:sz w:val="16"/>
                  <w:szCs w:val="16"/>
                  <w:color w:val="0000FF"/>
                </w:rPr>
                <w:t>Class B Common Stock Purchase Warrant, dated May 18, 2023</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EE"/>
            </w:tcBorders>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w w:val="99"/>
              </w:rPr>
              <w:t>31.1</w:t>
            </w:r>
          </w:p>
        </w:tc>
        <w:tc>
          <w:tcPr>
            <w:tcW w:w="400" w:type="dxa"/>
            <w:vAlign w:val="bottom"/>
          </w:tcPr>
          <w:p>
            <w:pPr>
              <w:spacing w:after="0"/>
              <w:rPr>
                <w:sz w:val="15"/>
                <w:szCs w:val="15"/>
                <w:color w:val="auto"/>
              </w:rPr>
            </w:pPr>
          </w:p>
        </w:tc>
        <w:tc>
          <w:tcPr>
            <w:tcW w:w="434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14(a) or Rule 15d-14(a) of the Securities Exchange Act of 1934, as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4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amended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296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w w:val="99"/>
              </w:rPr>
              <w:t>31.2</w:t>
            </w:r>
          </w:p>
        </w:tc>
        <w:tc>
          <w:tcPr>
            <w:tcW w:w="400" w:type="dxa"/>
            <w:vAlign w:val="bottom"/>
          </w:tcPr>
          <w:p>
            <w:pPr>
              <w:spacing w:after="0"/>
              <w:rPr>
                <w:sz w:val="15"/>
                <w:szCs w:val="15"/>
                <w:color w:val="auto"/>
              </w:rPr>
            </w:pPr>
          </w:p>
        </w:tc>
        <w:tc>
          <w:tcPr>
            <w:tcW w:w="434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14(a) or Rule 15d-14(a) of the Securities Exchange Act of 1934, as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4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amended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w w:val="99"/>
              </w:rPr>
              <w:t>32.1</w:t>
            </w:r>
          </w:p>
        </w:tc>
        <w:tc>
          <w:tcPr>
            <w:tcW w:w="400" w:type="dxa"/>
            <w:vAlign w:val="bottom"/>
          </w:tcPr>
          <w:p>
            <w:pPr>
              <w:spacing w:after="0"/>
              <w:rPr>
                <w:sz w:val="15"/>
                <w:szCs w:val="15"/>
                <w:color w:val="auto"/>
              </w:rPr>
            </w:pPr>
          </w:p>
        </w:tc>
        <w:tc>
          <w:tcPr>
            <w:tcW w:w="434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4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w w:val="99"/>
              </w:rPr>
              <w:t>32.2</w:t>
            </w:r>
          </w:p>
        </w:tc>
        <w:tc>
          <w:tcPr>
            <w:tcW w:w="400" w:type="dxa"/>
            <w:vAlign w:val="bottom"/>
          </w:tcPr>
          <w:p>
            <w:pPr>
              <w:spacing w:after="0"/>
              <w:rPr>
                <w:sz w:val="15"/>
                <w:szCs w:val="15"/>
                <w:color w:val="auto"/>
              </w:rPr>
            </w:pPr>
          </w:p>
        </w:tc>
        <w:tc>
          <w:tcPr>
            <w:tcW w:w="434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426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4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31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0" w:type="dxa"/>
            <w:vAlign w:val="bottom"/>
          </w:tcPr>
          <w:p>
            <w:pPr>
              <w:spacing w:after="0"/>
              <w:rPr>
                <w:sz w:val="1"/>
                <w:szCs w:val="1"/>
                <w:color w:val="auto"/>
              </w:rPr>
            </w:pPr>
          </w:p>
        </w:tc>
      </w:tr>
      <w:tr>
        <w:trPr>
          <w:trHeight w:val="203"/>
        </w:trPr>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400" w:type="dxa"/>
            <w:vAlign w:val="bottom"/>
          </w:tcPr>
          <w:p>
            <w:pPr>
              <w:spacing w:after="0"/>
              <w:rPr>
                <w:sz w:val="17"/>
                <w:szCs w:val="17"/>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0" w:type="dxa"/>
            <w:vAlign w:val="bottom"/>
          </w:tcPr>
          <w:p>
            <w:pPr>
              <w:spacing w:after="0"/>
              <w:rPr>
                <w:sz w:val="1"/>
                <w:szCs w:val="1"/>
                <w:color w:val="auto"/>
              </w:rPr>
            </w:pPr>
          </w:p>
        </w:tc>
      </w:tr>
    </w:tbl>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101.SCH</w:t>
            </w:r>
          </w:p>
        </w:tc>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 With Embedded</w:t>
            </w:r>
          </w:p>
        </w:tc>
        <w:tc>
          <w:tcPr>
            <w:tcW w:w="0" w:type="dxa"/>
            <w:vAlign w:val="bottom"/>
          </w:tcPr>
          <w:p>
            <w:pPr>
              <w:spacing w:after="0"/>
              <w:rPr>
                <w:sz w:val="1"/>
                <w:szCs w:val="1"/>
                <w:color w:val="auto"/>
              </w:rPr>
            </w:pPr>
          </w:p>
        </w:tc>
      </w:tr>
      <w:tr>
        <w:trPr>
          <w:trHeight w:val="102"/>
        </w:trPr>
        <w:tc>
          <w:tcPr>
            <w:tcW w:w="800" w:type="dxa"/>
            <w:vAlign w:val="bottom"/>
            <w:vMerge w:val="continue"/>
          </w:tcPr>
          <w:p>
            <w:pPr>
              <w:spacing w:after="0"/>
              <w:rPr>
                <w:sz w:val="8"/>
                <w:szCs w:val="8"/>
                <w:color w:val="auto"/>
              </w:rPr>
            </w:pPr>
          </w:p>
        </w:tc>
        <w:tc>
          <w:tcPr>
            <w:tcW w:w="41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Linkbase Documents</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020" w:right="260" w:hanging="999"/>
        <w:spacing w:after="0" w:line="183" w:lineRule="auto"/>
        <w:tabs>
          <w:tab w:leader="none" w:pos="1020" w:val="left"/>
        </w:tabs>
        <w:numPr>
          <w:ilvl w:val="0"/>
          <w:numId w:val="39"/>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Cover Page Interactive Data File (as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0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tcPr>
          <w:p>
            <w:pPr>
              <w:jc w:val="center"/>
              <w:ind w:left="186"/>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9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90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50"/>
        </w:trPr>
        <w:tc>
          <w:tcPr>
            <w:tcW w:w="90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10/2/2020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0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10/2/2020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jc w:val="center"/>
              <w:ind w:left="186"/>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73"/>
        </w:trPr>
        <w:tc>
          <w:tcPr>
            <w:tcW w:w="90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5/18/2023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0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w w:val="98"/>
              </w:rPr>
              <w:t>Form 10/A</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9/14/2020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0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5/15/2023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0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5/18/2023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5/18/2023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w:t>
      </w:r>
    </w:p>
    <w:p>
      <w:pPr>
        <w:spacing w:after="0" w:line="333" w:lineRule="exact"/>
        <w:rPr>
          <w:sz w:val="20"/>
          <w:szCs w:val="20"/>
          <w:color w:val="auto"/>
        </w:rPr>
      </w:pPr>
    </w:p>
    <w:p>
      <w:pPr>
        <w:sectPr>
          <w:pgSz w:w="11900" w:h="16838" w:orient="portrait"/>
          <w:cols w:equalWidth="0" w:num="2">
            <w:col w:w="5380" w:space="240"/>
            <w:col w:w="5300"/>
          </w:cols>
          <w:pgMar w:left="320" w:top="981" w:right="659" w:bottom="1440" w:gutter="0" w:footer="0" w:header="0"/>
        </w:sectPr>
      </w:pPr>
    </w:p>
    <w:p>
      <w:pPr>
        <w:spacing w:after="0" w:line="45" w:lineRule="exact"/>
        <w:rPr>
          <w:sz w:val="20"/>
          <w:szCs w:val="20"/>
          <w:color w:val="auto"/>
        </w:rPr>
      </w:pPr>
    </w:p>
    <w:p>
      <w:pPr>
        <w:ind w:right="1760" w:firstLine="8"/>
        <w:spacing w:after="0" w:line="375" w:lineRule="auto"/>
        <w:tabs>
          <w:tab w:leader="none" w:pos="1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attachments to certain of these exhibits have been omitted pursuant to Regulation S-K, Item 601(a)(5).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81" w:right="65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rPr>
              <w:t>LENSAR, Inc.</w:t>
            </w:r>
          </w:p>
        </w:tc>
      </w:tr>
      <w:tr>
        <w:trPr>
          <w:trHeight w:val="45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2024</w:t>
            </w:r>
          </w:p>
        </w:tc>
        <w:tc>
          <w:tcPr>
            <w:tcW w:w="78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By: /s/ NICHOLAS T. CURTIS</w:t>
            </w:r>
          </w:p>
        </w:tc>
      </w:tr>
      <w:tr>
        <w:trPr>
          <w:trHeight w:val="234"/>
        </w:trPr>
        <w:tc>
          <w:tcPr>
            <w:tcW w:w="34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Nicholas T. Curtis</w:t>
            </w:r>
          </w:p>
        </w:tc>
      </w:tr>
      <w:tr>
        <w:trPr>
          <w:trHeight w:val="238"/>
        </w:trPr>
        <w:tc>
          <w:tcPr>
            <w:tcW w:w="34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4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2024</w:t>
            </w:r>
          </w:p>
        </w:tc>
        <w:tc>
          <w:tcPr>
            <w:tcW w:w="3760" w:type="dxa"/>
            <w:vAlign w:val="bottom"/>
          </w:tcPr>
          <w:p>
            <w:pPr>
              <w:spacing w:after="0"/>
              <w:rPr>
                <w:sz w:val="24"/>
                <w:szCs w:val="24"/>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R. STAAB, II</w:t>
            </w:r>
          </w:p>
        </w:tc>
      </w:tr>
      <w:tr>
        <w:trPr>
          <w:trHeight w:val="234"/>
        </w:trPr>
        <w:tc>
          <w:tcPr>
            <w:tcW w:w="34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 Staab, II</w:t>
            </w:r>
          </w:p>
        </w:tc>
      </w:tr>
      <w:tr>
        <w:trPr>
          <w:trHeight w:val="238"/>
        </w:trPr>
        <w:tc>
          <w:tcPr>
            <w:tcW w:w="34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4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2024</w:t>
            </w:r>
          </w:p>
        </w:tc>
        <w:tc>
          <w:tcPr>
            <w:tcW w:w="3760" w:type="dxa"/>
            <w:vAlign w:val="bottom"/>
          </w:tcPr>
          <w:p>
            <w:pPr>
              <w:spacing w:after="0"/>
              <w:rPr>
                <w:sz w:val="24"/>
                <w:szCs w:val="24"/>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KENDRA W. WONG</w:t>
            </w:r>
          </w:p>
        </w:tc>
      </w:tr>
      <w:tr>
        <w:trPr>
          <w:trHeight w:val="234"/>
        </w:trPr>
        <w:tc>
          <w:tcPr>
            <w:tcW w:w="34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Kendra W. Wong</w:t>
            </w:r>
          </w:p>
        </w:tc>
      </w:tr>
      <w:tr>
        <w:trPr>
          <w:trHeight w:val="238"/>
        </w:trPr>
        <w:tc>
          <w:tcPr>
            <w:tcW w:w="34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43"/>
        </w:trPr>
        <w:tc>
          <w:tcPr>
            <w:tcW w:w="34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62"/>
        </w:trPr>
        <w:tc>
          <w:tcPr>
            <w:tcW w:w="3440" w:type="dxa"/>
            <w:vAlign w:val="bottom"/>
          </w:tcPr>
          <w:p>
            <w:pPr>
              <w:spacing w:after="0"/>
              <w:rPr>
                <w:sz w:val="24"/>
                <w:szCs w:val="24"/>
                <w:color w:val="auto"/>
              </w:rPr>
            </w:pPr>
          </w:p>
        </w:tc>
        <w:tc>
          <w:tcPr>
            <w:tcW w:w="37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78</w:t>
            </w:r>
          </w:p>
        </w:tc>
        <w:tc>
          <w:tcPr>
            <w:tcW w:w="404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color w:val="auto"/>
        </w:rPr>
        <w:t>Exhibit 3.2</w:t>
      </w:r>
    </w:p>
    <w:p>
      <w:pPr>
        <w:spacing w:after="0" w:line="3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AMENDED AND RESTATED BYLAWS OF</w:t>
      </w:r>
    </w:p>
    <w:p>
      <w:pPr>
        <w:spacing w:after="0" w:line="20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LENSAR, INC.</w:t>
      </w:r>
    </w:p>
    <w:p>
      <w:pPr>
        <w:spacing w:after="0" w:line="2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2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as of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4" w:name="page85"/>
    <w:bookmarkEnd w:id="84"/>
    <w:tbl>
      <w:tblPr>
        <w:tblLayout w:type="fixed"/>
        <w:tblInd w:w="20" w:type="dxa"/>
        <w:tblCellMar>
          <w:top w:w="0" w:type="dxa"/>
          <w:left w:w="0" w:type="dxa"/>
          <w:bottom w:w="0" w:type="dxa"/>
          <w:right w:w="0" w:type="dxa"/>
        </w:tblCellMar>
      </w:tblPr>
      <w:tr>
        <w:trPr>
          <w:trHeight w:val="286"/>
        </w:trPr>
        <w:tc>
          <w:tcPr>
            <w:tcW w:w="1080" w:type="dxa"/>
            <w:vAlign w:val="bottom"/>
          </w:tcPr>
          <w:p>
            <w:pPr>
              <w:spacing w:after="0"/>
              <w:rPr>
                <w:sz w:val="24"/>
                <w:szCs w:val="24"/>
                <w:color w:val="auto"/>
              </w:rPr>
            </w:pPr>
          </w:p>
        </w:tc>
        <w:tc>
          <w:tcPr>
            <w:tcW w:w="9700" w:type="dxa"/>
            <w:vAlign w:val="bottom"/>
          </w:tcPr>
          <w:p>
            <w:pPr>
              <w:ind w:left="37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tcPr>
          <w:p>
            <w:pPr>
              <w:spacing w:after="0"/>
              <w:rPr>
                <w:sz w:val="24"/>
                <w:szCs w:val="24"/>
                <w:color w:val="auto"/>
              </w:rPr>
            </w:pPr>
          </w:p>
        </w:tc>
      </w:tr>
      <w:tr>
        <w:trPr>
          <w:trHeight w:val="406"/>
        </w:trPr>
        <w:tc>
          <w:tcPr>
            <w:tcW w:w="108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05"/>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 CORPORATE OFFICES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74"/>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1.1</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Registered Office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1.2</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Other Offices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86"/>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II MEETINGS OF STOCKHOLDERS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74"/>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2.1</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Place of Meetings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2.2</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Annual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2.3</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Special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2.4</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Notice of Business to be Brought before a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2.5</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Notice of Nominations for Election to the Board of Directors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1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0000FF"/>
              </w:rPr>
              <w:t>2.6</w:t>
            </w:r>
          </w:p>
        </w:tc>
        <w:tc>
          <w:tcPr>
            <w:tcW w:w="97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0000FF"/>
                <w:w w:val="99"/>
              </w:rPr>
              <w:t>Additional Requirements for Valid Nomination of Candidates to Serve as Director and, if Elected, to be</w:t>
            </w:r>
          </w:p>
        </w:tc>
        <w:tc>
          <w:tcPr>
            <w:tcW w:w="440" w:type="dxa"/>
            <w:vAlign w:val="bottom"/>
          </w:tcPr>
          <w:p>
            <w:pPr>
              <w:spacing w:after="0"/>
              <w:rPr>
                <w:sz w:val="21"/>
                <w:szCs w:val="21"/>
                <w:color w:val="auto"/>
              </w:rPr>
            </w:pPr>
          </w:p>
        </w:tc>
      </w:tr>
      <w:tr>
        <w:trPr>
          <w:trHeight w:val="270"/>
        </w:trPr>
        <w:tc>
          <w:tcPr>
            <w:tcW w:w="1080" w:type="dxa"/>
            <w:vAlign w:val="bottom"/>
          </w:tcPr>
          <w:p>
            <w:pPr>
              <w:spacing w:after="0"/>
              <w:rPr>
                <w:sz w:val="23"/>
                <w:szCs w:val="23"/>
                <w:color w:val="auto"/>
              </w:rPr>
            </w:pP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Seated as Directors.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2.7</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Notice of Stockholders’ Meetings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2.8</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Quorum</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2.9</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Adjourned Meeting; Notice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2.10</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Conduct of 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2.11</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Voting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2.12</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Record Date for Stockholder Meetings and Other Purposes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2.13</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Proxies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2.14</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List of Stockholders Entitled to Vote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2.15</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Inspectors of Election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82"/>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2.16</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Delivery to the Corporation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86"/>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III DIRECTORS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74"/>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3.1</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Powers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3.2</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Number of Directors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3.3</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Election, Qualification and Term of Office of Directors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3.4</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Resignation and Vacancies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3.5</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Place of Meetings; Meetings by Telephone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3.6</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Regular Meetings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3.7</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Special Meetings; Notice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3.8</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Quorum</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3.9</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Board Action without a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82"/>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3.10</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Fees and Compensation of Directors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86"/>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IV COMMITTEES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74"/>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4.1</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Committees of Directors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4.2</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Committee Minutes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4.3</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Meetings and Actions of Committees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82"/>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4.4</w:t>
            </w:r>
          </w:p>
        </w:tc>
        <w:tc>
          <w:tcPr>
            <w:tcW w:w="970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Subcommittees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5" w:name="page86"/>
    <w:bookmarkEnd w:id="85"/>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74"/>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5.1</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5.2</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Appointment of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5.3</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Subordinate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5.4</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Removal and Resignation of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5.5</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Vacancies in Offices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5.6</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Representation of Shares of Other Corporations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5.7</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Authority and Duties of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82"/>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5.8</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Compensation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86"/>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VI RECORDS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702"/>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VII GENERAL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74"/>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7.1</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Execution of Corporate Contracts and Instruments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7.2</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Stock Certificates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7.3</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Special Designation of Certificates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7.4</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Lost Certificates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7.5</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Shares Without Certificates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7.6</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Construction; Definitions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7.7</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Dividends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7.8</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Fiscal Year</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7.9</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Seal</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7.10</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Transfer of Stock</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7.11</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Stock Transfer Agreements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7.12</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Registered Stockholders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82"/>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7.13</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Waiver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86"/>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VIII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86"/>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8.1</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Delivery of Notice; Notice by Electronic Transmission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86"/>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IX INDEMNIFICATION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74"/>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9.1</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Indemnification of Directors and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9.2</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Indemnification of Others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9.3</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Prepayment of Expenses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9.4</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Determination; Claim</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9.5</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Non-Exclusivity of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9.6</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Insurance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9.7</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Other Indemnification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9.8</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Continuation of Indemnification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82"/>
        </w:trPr>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0000FF"/>
              </w:rPr>
              <w:t>9.9</w:t>
            </w:r>
          </w:p>
        </w:tc>
        <w:tc>
          <w:tcPr>
            <w:tcW w:w="7620" w:type="dxa"/>
            <w:vAlign w:val="bottom"/>
          </w:tcPr>
          <w:p>
            <w:pPr>
              <w:ind w:left="600"/>
              <w:spacing w:after="0"/>
              <w:rPr>
                <w:sz w:val="20"/>
                <w:szCs w:val="20"/>
                <w:color w:val="auto"/>
              </w:rPr>
            </w:pPr>
            <w:r>
              <w:rPr>
                <w:rFonts w:ascii="Times New Roman" w:cs="Times New Roman" w:eastAsia="Times New Roman" w:hAnsi="Times New Roman"/>
                <w:sz w:val="22"/>
                <w:szCs w:val="22"/>
                <w:color w:val="0000FF"/>
              </w:rPr>
              <w:t>Amendment or Repeal; Interpretation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X AMENDMENTS</w:t>
            </w:r>
          </w:p>
        </w:tc>
        <w:tc>
          <w:tcPr>
            <w:tcW w:w="6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702"/>
        </w:trPr>
        <w:tc>
          <w:tcPr>
            <w:tcW w:w="4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XI FORUM SELECTION</w:t>
            </w:r>
          </w:p>
        </w:tc>
        <w:tc>
          <w:tcPr>
            <w:tcW w:w="6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702"/>
        </w:trPr>
        <w:tc>
          <w:tcPr>
            <w:tcW w:w="4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XII DEFINITIONS</w:t>
            </w:r>
          </w:p>
        </w:tc>
        <w:tc>
          <w:tcPr>
            <w:tcW w:w="6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729"/>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840" w:type="dxa"/>
            <w:vAlign w:val="bottom"/>
          </w:tcPr>
          <w:p>
            <w:pPr>
              <w:jc w:val="right"/>
              <w:ind w:right="5412"/>
              <w:spacing w:after="0"/>
              <w:rPr>
                <w:sz w:val="20"/>
                <w:szCs w:val="20"/>
                <w:color w:val="auto"/>
              </w:rPr>
            </w:pPr>
            <w:r>
              <w:rPr>
                <w:rFonts w:ascii="Times New Roman" w:cs="Times New Roman" w:eastAsia="Times New Roman" w:hAnsi="Times New Roman"/>
                <w:sz w:val="22"/>
                <w:szCs w:val="22"/>
                <w:color w:val="auto"/>
              </w:rPr>
              <w:t>iii</w:t>
            </w:r>
          </w:p>
        </w:tc>
        <w:tc>
          <w:tcPr>
            <w:tcW w:w="0" w:type="dxa"/>
            <w:vAlign w:val="bottom"/>
          </w:tcPr>
          <w:p>
            <w:pPr>
              <w:spacing w:after="0"/>
              <w:rPr>
                <w:sz w:val="1"/>
                <w:szCs w:val="1"/>
                <w:color w:val="auto"/>
              </w:rPr>
            </w:pPr>
          </w:p>
        </w:tc>
      </w:tr>
      <w:tr>
        <w:trPr>
          <w:trHeight w:val="154"/>
        </w:trPr>
        <w:tc>
          <w:tcPr>
            <w:tcW w:w="4400" w:type="dxa"/>
            <w:vAlign w:val="bottom"/>
            <w:vMerge w:val="continue"/>
          </w:tcPr>
          <w:p>
            <w:pPr>
              <w:spacing w:after="0"/>
              <w:rPr>
                <w:sz w:val="13"/>
                <w:szCs w:val="13"/>
                <w:color w:val="auto"/>
              </w:rPr>
            </w:pPr>
          </w:p>
        </w:tc>
        <w:tc>
          <w:tcPr>
            <w:tcW w:w="6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6"/>
        </w:trPr>
        <w:tc>
          <w:tcPr>
            <w:tcW w:w="440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LENSAR, INC.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CORPORATE OFFICES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1.1 Registered Office</w:t>
      </w:r>
      <w:r>
        <w:rPr>
          <w:rFonts w:ascii="Times New Roman" w:cs="Times New Roman" w:eastAsia="Times New Roman" w:hAnsi="Times New Roman"/>
          <w:sz w:val="22"/>
          <w:szCs w:val="22"/>
          <w:color w:val="auto"/>
        </w:rPr>
        <w:t>. The address of the registered office of LENSAR,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1.2 Other Offices</w:t>
      </w:r>
      <w:r>
        <w:rPr>
          <w:rFonts w:ascii="Times New Roman" w:cs="Times New Roman" w:eastAsia="Times New Roman" w:hAnsi="Times New Roman"/>
          <w:sz w:val="22"/>
          <w:szCs w:val="22"/>
          <w:color w:val="auto"/>
        </w:rPr>
        <w:t>. The Corporation may have additional offices at any place or places, within or outside the State of Delaware, as the Corporation’s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may from time to time establish or as the business of the Corporation may require.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2.1 Place of Meetings</w:t>
      </w:r>
      <w:r>
        <w:rPr>
          <w:rFonts w:ascii="Times New Roman" w:cs="Times New Roman" w:eastAsia="Times New Roman" w:hAnsi="Times New Roman"/>
          <w:sz w:val="22"/>
          <w:szCs w:val="22"/>
          <w:color w:val="auto"/>
        </w:rPr>
        <w:t>. 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In the absence of any such designation or determination, stockholders’ meetings shall be held at the Corporation’s principal executive office.</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2.2 Annual Meeting</w:t>
      </w:r>
      <w:r>
        <w:rPr>
          <w:rFonts w:ascii="Times New Roman" w:cs="Times New Roman" w:eastAsia="Times New Roman" w:hAnsi="Times New Roman"/>
          <w:sz w:val="22"/>
          <w:szCs w:val="22"/>
          <w:color w:val="auto"/>
        </w:rPr>
        <w:t>. 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2.3 Special Meeting</w:t>
      </w:r>
      <w:r>
        <w:rPr>
          <w:rFonts w:ascii="Times New Roman" w:cs="Times New Roman" w:eastAsia="Times New Roman" w:hAnsi="Times New Roman"/>
          <w:sz w:val="22"/>
          <w:szCs w:val="22"/>
          <w:color w:val="auto"/>
        </w:rPr>
        <w:t>. Special meetings of the stockholders may be called only by such persons and only in such manner as set forth in the Certificate of Incorporation.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2.4 Notice of Business to be Brought before a Meeting</w:t>
      </w:r>
      <w:r>
        <w:rPr>
          <w:rFonts w:ascii="Times New Roman" w:cs="Times New Roman" w:eastAsia="Times New Roman" w:hAnsi="Times New Roman"/>
          <w:sz w:val="22"/>
          <w:szCs w:val="22"/>
          <w:color w:val="auto"/>
        </w:rPr>
        <w:t>. (i) 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or at the direction of the Board, or (c) otherwise properly brought before the meeting by a stockholder present in person who (A)(1) was a record owner of shares of capital stock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8" w:name="page89"/>
    <w:bookmarkEnd w:id="88"/>
    <w:p>
      <w:pPr>
        <w:jc w:val="both"/>
        <w:spacing w:after="0" w:line="233" w:lineRule="auto"/>
        <w:rPr>
          <w:sz w:val="20"/>
          <w:szCs w:val="20"/>
          <w:color w:val="auto"/>
        </w:rPr>
      </w:pPr>
      <w:r>
        <w:rPr>
          <w:rFonts w:ascii="Times New Roman" w:cs="Times New Roman" w:eastAsia="Times New Roman" w:hAnsi="Times New Roman"/>
          <w:sz w:val="22"/>
          <w:szCs w:val="22"/>
          <w:color w:val="auto"/>
        </w:rPr>
        <w:t>rules and regulations thereunder (as so amended and inclusive of such rules and regulations,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foregoing clause (c)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and stockholders shall not be permitted to propose business to be brought before a special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must comply with Section 2.5 and 2.6 of these bylaws, and this Section 2.4 shall not be applicable to nominations except as expressly provided in Section 2.5 and 2.6.</w:t>
      </w:r>
    </w:p>
    <w:p>
      <w:pPr>
        <w:spacing w:after="0" w:line="180" w:lineRule="exact"/>
        <w:rPr>
          <w:sz w:val="20"/>
          <w:szCs w:val="20"/>
          <w:color w:val="auto"/>
        </w:rPr>
      </w:pPr>
    </w:p>
    <w:p>
      <w:pPr>
        <w:jc w:val="both"/>
        <w:ind w:firstLine="757"/>
        <w:spacing w:after="0" w:line="229" w:lineRule="auto"/>
        <w:tabs>
          <w:tab w:leader="none" w:pos="118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qualification, for business to be properly brought before an annual meeting by a stockholder, the stockholder must (a) provide Timely Notice (as defined below) thereof in writing and in proper form to the Secretary of the Corporation and (b)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date of the annual meeting is more than thirty (30) days before or more than sixty (60) days after such anniversary date, notice by the stockholder to be timely must be so delivered, or mailed and received, not more than the hundred 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annual meeting and not later than (i) the ninetieth (90</w:t>
      </w:r>
      <w:r>
        <w:rPr>
          <w:rFonts w:ascii="Times New Roman" w:cs="Times New Roman" w:eastAsia="Times New Roman" w:hAnsi="Times New Roman"/>
          <w:sz w:val="17"/>
          <w:szCs w:val="17"/>
          <w:color w:val="auto"/>
        </w:rPr>
        <w:t>th</w:t>
      </w:r>
      <w:r>
        <w:rPr>
          <w:rFonts w:ascii="Times New Roman" w:cs="Times New Roman" w:eastAsia="Times New Roman" w:hAnsi="Times New Roman"/>
          <w:sz w:val="22"/>
          <w:szCs w:val="22"/>
          <w:color w:val="auto"/>
        </w:rPr>
        <w:t>) day prior to such annual meeting or, (ii) if later, the tenth (10</w:t>
      </w:r>
      <w:r>
        <w:rPr>
          <w:rFonts w:ascii="Times New Roman" w:cs="Times New Roman" w:eastAsia="Times New Roman" w:hAnsi="Times New Roman"/>
          <w:sz w:val="17"/>
          <w:szCs w:val="17"/>
          <w:color w:val="auto"/>
        </w:rPr>
        <w:t>th</w:t>
      </w:r>
      <w:r>
        <w:rPr>
          <w:rFonts w:ascii="Times New Roman" w:cs="Times New Roman" w:eastAsia="Times New Roman" w:hAnsi="Times New Roman"/>
          <w:sz w:val="22"/>
          <w:szCs w:val="22"/>
          <w:color w:val="auto"/>
        </w:rPr>
        <w:t>) day following the day on which public disclosure of the date of such annual meeting was first made by the Corporation(such notice within such time periods, “</w:t>
      </w:r>
      <w:r>
        <w:rPr>
          <w:rFonts w:ascii="Times New Roman" w:cs="Times New Roman" w:eastAsia="Times New Roman" w:hAnsi="Times New Roman"/>
          <w:sz w:val="22"/>
          <w:szCs w:val="22"/>
          <w:u w:val="single" w:color="auto"/>
          <w:color w:val="auto"/>
        </w:rPr>
        <w:t>Timely Notice</w:t>
      </w:r>
      <w:r>
        <w:rPr>
          <w:rFonts w:ascii="Times New Roman" w:cs="Times New Roman" w:eastAsia="Times New Roman" w:hAnsi="Times New Roman"/>
          <w:sz w:val="22"/>
          <w:szCs w:val="22"/>
          <w:color w:val="auto"/>
        </w:rPr>
        <w:t>”). In no event shall any adjournment or postponement of an annual meeting or the announcement thereof commence a new time period for the giving of Timely Notice as described above.</w:t>
      </w:r>
    </w:p>
    <w:p>
      <w:pPr>
        <w:spacing w:after="0" w:line="18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for purposes of this Section 2.4, a stockholder’s notice to the Secretary shall set forth:</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9" w:name="page90"/>
    <w:bookmarkEnd w:id="89"/>
    <w:p>
      <w:pPr>
        <w:ind w:left="760" w:right="20"/>
        <w:spacing w:after="0" w:line="258" w:lineRule="auto"/>
        <w:rPr>
          <w:sz w:val="20"/>
          <w:szCs w:val="20"/>
          <w:color w:val="auto"/>
        </w:rPr>
      </w:pPr>
      <w:r>
        <w:rPr>
          <w:rFonts w:ascii="Times New Roman" w:cs="Times New Roman" w:eastAsia="Times New Roman" w:hAnsi="Times New Roman"/>
          <w:sz w:val="22"/>
          <w:szCs w:val="22"/>
          <w:color w:val="auto"/>
        </w:rPr>
        <w:t>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22"/>
          <w:szCs w:val="22"/>
          <w:u w:val="single" w:color="auto"/>
          <w:color w:val="auto"/>
        </w:rPr>
        <w:t>Stockholder Information</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940" w:hanging="435"/>
        <w:spacing w:after="0"/>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60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w:t>
      </w:r>
      <w:r>
        <w:rPr>
          <w:rFonts w:ascii="Times New Roman" w:cs="Times New Roman" w:eastAsia="Times New Roman" w:hAnsi="Times New Roman"/>
          <w:sz w:val="22"/>
          <w:szCs w:val="22"/>
          <w:u w:val="single" w:color="auto"/>
          <w:color w:val="auto"/>
        </w:rPr>
        <w:t>Synthetic Equity Position</w:t>
      </w:r>
      <w:r>
        <w:rPr>
          <w:rFonts w:ascii="Times New Roman" w:cs="Times New Roman" w:eastAsia="Times New Roman" w:hAnsi="Times New Roman"/>
          <w:sz w:val="22"/>
          <w:szCs w:val="22"/>
          <w:color w:val="auto"/>
        </w:rPr>
        <w:t>”) that is, directly or indirectly, held or maintained by, held for the benefit of, or involving such Proposing Person, including, without limitation,</w:t>
      </w:r>
    </w:p>
    <w:p>
      <w:pPr>
        <w:spacing w:after="0" w:line="181" w:lineRule="exact"/>
        <w:rPr>
          <w:rFonts w:ascii="Times New Roman" w:cs="Times New Roman" w:eastAsia="Times New Roman" w:hAnsi="Times New Roman"/>
          <w:sz w:val="22"/>
          <w:szCs w:val="22"/>
          <w:color w:val="auto"/>
        </w:rPr>
      </w:pPr>
    </w:p>
    <w:p>
      <w:pPr>
        <w:jc w:val="both"/>
        <w:ind w:left="2260" w:firstLine="743"/>
        <w:spacing w:after="0" w:line="239" w:lineRule="auto"/>
        <w:tabs>
          <w:tab w:leader="none" w:pos="334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w:t>
      </w:r>
    </w:p>
    <w:p>
      <w:pPr>
        <w:spacing w:after="0" w:line="180" w:lineRule="exact"/>
        <w:rPr>
          <w:rFonts w:ascii="Times New Roman" w:cs="Times New Roman" w:eastAsia="Times New Roman" w:hAnsi="Times New Roman"/>
          <w:sz w:val="22"/>
          <w:szCs w:val="22"/>
          <w:color w:val="auto"/>
        </w:rPr>
      </w:pPr>
    </w:p>
    <w:p>
      <w:pPr>
        <w:jc w:val="both"/>
        <w:ind w:left="2260" w:firstLine="743"/>
        <w:spacing w:after="0" w:line="244" w:lineRule="auto"/>
        <w:tabs>
          <w:tab w:leader="none" w:pos="3335"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w:t>
      </w:r>
    </w:p>
    <w:p>
      <w:pPr>
        <w:spacing w:after="0" w:line="173" w:lineRule="exact"/>
        <w:rPr>
          <w:rFonts w:ascii="Times New Roman" w:cs="Times New Roman" w:eastAsia="Times New Roman" w:hAnsi="Times New Roman"/>
          <w:sz w:val="22"/>
          <w:szCs w:val="22"/>
          <w:color w:val="auto"/>
        </w:rPr>
      </w:pPr>
    </w:p>
    <w:p>
      <w:pPr>
        <w:ind w:left="3300" w:hanging="297"/>
        <w:spacing w:after="0"/>
        <w:tabs>
          <w:tab w:leader="none" w:pos="330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derivative, swap or other transaction or series of transactions designed to</w:t>
      </w:r>
    </w:p>
    <w:p>
      <w:pPr>
        <w:spacing w:after="0" w:line="206" w:lineRule="exact"/>
        <w:rPr>
          <w:rFonts w:ascii="Times New Roman" w:cs="Times New Roman" w:eastAsia="Times New Roman" w:hAnsi="Times New Roman"/>
          <w:sz w:val="22"/>
          <w:szCs w:val="22"/>
          <w:color w:val="auto"/>
        </w:rPr>
      </w:pPr>
    </w:p>
    <w:p>
      <w:pPr>
        <w:ind w:left="3000" w:firstLine="752"/>
        <w:spacing w:after="0" w:line="258" w:lineRule="auto"/>
        <w:tabs>
          <w:tab w:leader="none" w:pos="4149" w:val="left"/>
        </w:tabs>
        <w:numPr>
          <w:ilvl w:val="3"/>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produce economic benefits and risks that correspond substantially to the ownership of any class or series of shares of capital stock of the Corporation,</w:t>
      </w:r>
    </w:p>
    <w:p>
      <w:pPr>
        <w:spacing w:after="0" w:line="158" w:lineRule="exact"/>
        <w:rPr>
          <w:rFonts w:ascii="Times New Roman" w:cs="Times New Roman" w:eastAsia="Times New Roman" w:hAnsi="Times New Roman"/>
          <w:sz w:val="22"/>
          <w:szCs w:val="22"/>
          <w:color w:val="auto"/>
        </w:rPr>
      </w:pPr>
    </w:p>
    <w:p>
      <w:pPr>
        <w:jc w:val="both"/>
        <w:ind w:left="3000" w:firstLine="752"/>
        <w:spacing w:after="0" w:line="244" w:lineRule="auto"/>
        <w:tabs>
          <w:tab w:leader="none" w:pos="4057" w:val="left"/>
        </w:tabs>
        <w:numPr>
          <w:ilvl w:val="3"/>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mitigate any loss relating to, reduce the economic risk (of ownership or otherwise) of, or manage the risk of share price decrease in, any class or series of shares of capital stock of the Corporation, or</w:t>
      </w:r>
    </w:p>
    <w:p>
      <w:pPr>
        <w:spacing w:after="0" w:line="173" w:lineRule="exact"/>
        <w:rPr>
          <w:rFonts w:ascii="Times New Roman" w:cs="Times New Roman" w:eastAsia="Times New Roman" w:hAnsi="Times New Roman"/>
          <w:sz w:val="22"/>
          <w:szCs w:val="22"/>
          <w:color w:val="auto"/>
        </w:rPr>
      </w:pPr>
    </w:p>
    <w:p>
      <w:pPr>
        <w:jc w:val="both"/>
        <w:ind w:left="3000" w:firstLine="752"/>
        <w:spacing w:after="0" w:line="244" w:lineRule="auto"/>
        <w:tabs>
          <w:tab w:leader="none" w:pos="4051" w:val="left"/>
        </w:tabs>
        <w:numPr>
          <w:ilvl w:val="3"/>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or decrease the voting power in respect of any class or series of shares of capital stock of the Corporation held or maintained by, held for the benefit of, or involving such Proposing Person,</w:t>
      </w:r>
    </w:p>
    <w:p>
      <w:pPr>
        <w:spacing w:after="0" w:line="173" w:lineRule="exact"/>
        <w:rPr>
          <w:sz w:val="20"/>
          <w:szCs w:val="20"/>
          <w:color w:val="auto"/>
        </w:rPr>
      </w:pPr>
    </w:p>
    <w:p>
      <w:pPr>
        <w:jc w:val="both"/>
        <w:ind w:left="3000" w:firstLine="749"/>
        <w:spacing w:after="0" w:line="244" w:lineRule="auto"/>
        <w:rPr>
          <w:sz w:val="20"/>
          <w:szCs w:val="20"/>
          <w:color w:val="auto"/>
        </w:rPr>
      </w:pPr>
      <w:r>
        <w:rPr>
          <w:rFonts w:ascii="Times New Roman" w:cs="Times New Roman" w:eastAsia="Times New Roman" w:hAnsi="Times New Roman"/>
          <w:sz w:val="22"/>
          <w:szCs w:val="22"/>
          <w:color w:val="auto"/>
        </w:rPr>
        <w:t>including, without limitation, due to the fact that the value of such contract, derivative, swap or other transaction or series of transactions is determined by reference to the price, value 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0" w:name="page91"/>
    <w:bookmarkEnd w:id="90"/>
    <w:p>
      <w:pPr>
        <w:jc w:val="both"/>
        <w:ind w:left="3000"/>
        <w:spacing w:after="0" w:line="235" w:lineRule="auto"/>
        <w:rPr>
          <w:sz w:val="20"/>
          <w:szCs w:val="20"/>
          <w:color w:val="auto"/>
        </w:rPr>
      </w:pPr>
      <w:r>
        <w:rPr>
          <w:rFonts w:ascii="Times New Roman" w:cs="Times New Roman" w:eastAsia="Times New Roman" w:hAnsi="Times New Roman"/>
          <w:sz w:val="22"/>
          <w:szCs w:val="22"/>
          <w:color w:val="auto"/>
        </w:rPr>
        <w:t>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w:t>
      </w:r>
    </w:p>
    <w:p>
      <w:pPr>
        <w:spacing w:after="0" w:line="174" w:lineRule="exact"/>
        <w:rPr>
          <w:sz w:val="20"/>
          <w:szCs w:val="20"/>
          <w:color w:val="auto"/>
        </w:rPr>
      </w:pPr>
    </w:p>
    <w:p>
      <w:pPr>
        <w:jc w:val="both"/>
        <w:ind w:left="2260" w:firstLine="843"/>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for the purposes of the definition of “Synthetic Equity Position,” the 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p>
    <w:p>
      <w:pPr>
        <w:spacing w:after="0" w:line="184" w:lineRule="exact"/>
        <w:rPr>
          <w:sz w:val="20"/>
          <w:szCs w:val="20"/>
          <w:color w:val="auto"/>
        </w:rPr>
      </w:pPr>
    </w:p>
    <w:p>
      <w:pPr>
        <w:jc w:val="both"/>
        <w:ind w:left="1500" w:firstLine="754"/>
        <w:spacing w:after="0" w:line="244" w:lineRule="auto"/>
        <w:tabs>
          <w:tab w:leader="none" w:pos="263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to dividends on the shares of any class or series of shares of capital stock of the Corporation owned beneficially by such Proposing Person that are separated or separable from the underlying shares of capital stock of the Corporation,</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0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pending or threatened legal proceeding in which such Proposing Person is a party or material participant involving the Corporation or any of its officers or directors, or any affiliate of the Corporation,</w:t>
      </w:r>
    </w:p>
    <w:p>
      <w:pPr>
        <w:spacing w:after="0" w:line="173" w:lineRule="exact"/>
        <w:rPr>
          <w:rFonts w:ascii="Times New Roman" w:cs="Times New Roman" w:eastAsia="Times New Roman" w:hAnsi="Times New Roman"/>
          <w:sz w:val="22"/>
          <w:szCs w:val="22"/>
          <w:color w:val="auto"/>
        </w:rPr>
      </w:pPr>
    </w:p>
    <w:p>
      <w:pPr>
        <w:ind w:left="1500" w:firstLine="754"/>
        <w:spacing w:after="0" w:line="258" w:lineRule="auto"/>
        <w:tabs>
          <w:tab w:leader="none" w:pos="267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material relationship between such Proposing Person, on the one hand, and the Corporation or any affiliate of the Corporation, on the other hand,</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1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material interest in any material contract or agreement of such Proposing Person with the Corporation or any affiliate of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1" w:name="page92"/>
    <w:bookmarkEnd w:id="91"/>
    <w:p>
      <w:pPr>
        <w:ind w:left="1500"/>
        <w:spacing w:after="0" w:line="258" w:lineRule="auto"/>
        <w:rPr>
          <w:sz w:val="20"/>
          <w:szCs w:val="20"/>
          <w:color w:val="auto"/>
        </w:rPr>
      </w:pPr>
      <w:r>
        <w:rPr>
          <w:rFonts w:ascii="Times New Roman" w:cs="Times New Roman" w:eastAsia="Times New Roman" w:hAnsi="Times New Roman"/>
          <w:sz w:val="22"/>
          <w:szCs w:val="22"/>
          <w:color w:val="auto"/>
        </w:rPr>
        <w:t>Corporation (including, in any such case, any employment agreement, collective bargaining agreement or consulting agreement),</w:t>
      </w:r>
    </w:p>
    <w:p>
      <w:pPr>
        <w:spacing w:after="0" w:line="158" w:lineRule="exact"/>
        <w:rPr>
          <w:sz w:val="20"/>
          <w:szCs w:val="20"/>
          <w:color w:val="auto"/>
        </w:rPr>
      </w:pPr>
    </w:p>
    <w:p>
      <w:pPr>
        <w:jc w:val="both"/>
        <w:ind w:left="1500" w:firstLine="754"/>
        <w:spacing w:after="0" w:line="236" w:lineRule="auto"/>
        <w:tabs>
          <w:tab w:leader="none" w:pos="261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p>
    <w:p>
      <w:pPr>
        <w:spacing w:after="0" w:line="181"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2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from stockholders in support of such proposal and</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60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 w:cs="Times New Roman" w:eastAsia="Times New Roman" w:hAnsi="Times New Roman"/>
          <w:sz w:val="22"/>
          <w:szCs w:val="22"/>
          <w:u w:val="single" w:color="auto"/>
          <w:color w:val="auto"/>
        </w:rPr>
        <w:t>Disclosable Interests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78" w:lineRule="exact"/>
        <w:rPr>
          <w:rFonts w:ascii="Times New Roman" w:cs="Times New Roman" w:eastAsia="Times New Roman" w:hAnsi="Times New Roman"/>
          <w:sz w:val="22"/>
          <w:szCs w:val="22"/>
          <w:color w:val="auto"/>
        </w:rPr>
      </w:pPr>
    </w:p>
    <w:p>
      <w:pPr>
        <w:jc w:val="both"/>
        <w:ind w:left="760" w:right="20" w:firstLine="745"/>
        <w:spacing w:after="0" w:line="249" w:lineRule="auto"/>
        <w:tabs>
          <w:tab w:leader="none" w:pos="194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w:t>
      </w:r>
    </w:p>
    <w:p>
      <w:pPr>
        <w:spacing w:after="0" w:line="1"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1"/>
          <w:szCs w:val="21"/>
          <w:color w:val="auto"/>
        </w:rPr>
        <w:t xml:space="preserve">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 Proposing Persons or (y) between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disclosures required by this paragraph (c)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purposes of this Section 2.4, the term “</w:t>
      </w:r>
      <w:r>
        <w:rPr>
          <w:rFonts w:ascii="Times New Roman" w:cs="Times New Roman" w:eastAsia="Times New Roman" w:hAnsi="Times New Roman"/>
          <w:sz w:val="22"/>
          <w:szCs w:val="22"/>
          <w:u w:val="single" w:color="auto"/>
          <w:color w:val="auto"/>
        </w:rPr>
        <w:t>Proposing Person</w:t>
      </w:r>
      <w:r>
        <w:rPr>
          <w:rFonts w:ascii="Times New Roman" w:cs="Times New Roman" w:eastAsia="Times New Roman" w:hAnsi="Times New Roman"/>
          <w:sz w:val="22"/>
          <w:szCs w:val="22"/>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and (c) any participant (as defined in paragraphs (a)(ii)-(vi) of Instruction 3 to Item 4 of Schedule 14A) with such stockholder in such solicitation.</w:t>
      </w:r>
    </w:p>
    <w:p>
      <w:pPr>
        <w:spacing w:after="0" w:line="180" w:lineRule="exact"/>
        <w:rPr>
          <w:sz w:val="20"/>
          <w:szCs w:val="20"/>
          <w:color w:val="auto"/>
        </w:rPr>
      </w:pPr>
    </w:p>
    <w:p>
      <w:pPr>
        <w:jc w:val="both"/>
        <w:ind w:firstLine="757"/>
        <w:spacing w:after="0" w:line="244" w:lineRule="auto"/>
        <w:tabs>
          <w:tab w:leader="none" w:pos="11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request that any Proposing Person furnish such additional information as may be reasonably required by the Board. Such Proposing Person shall provide such additional information within ten (10) days after it has been requested by the Board.</w:t>
      </w:r>
    </w:p>
    <w:p>
      <w:pPr>
        <w:spacing w:after="0" w:line="173"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77"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3" w:name="page94"/>
    <w:bookmarkEnd w:id="93"/>
    <w:p>
      <w:pPr>
        <w:jc w:val="both"/>
        <w:ind w:firstLine="757"/>
        <w:spacing w:after="0" w:line="244" w:lineRule="auto"/>
        <w:tabs>
          <w:tab w:leader="none" w:pos="161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these bylaws, “ </w:t>
      </w:r>
      <w:r>
        <w:rPr>
          <w:rFonts w:ascii="Times New Roman" w:cs="Times New Roman" w:eastAsia="Times New Roman" w:hAnsi="Times New Roman"/>
          <w:sz w:val="22"/>
          <w:szCs w:val="22"/>
          <w:u w:val="single" w:color="auto"/>
          <w:color w:val="auto"/>
        </w:rPr>
        <w:t>public disclosure</w:t>
      </w:r>
      <w:r>
        <w:rPr>
          <w:rFonts w:ascii="Times New Roman" w:cs="Times New Roman" w:eastAsia="Times New Roman" w:hAnsi="Times New Roman"/>
          <w:sz w:val="22"/>
          <w:szCs w:val="22"/>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2.5 Notice of Nominations for Election to the Board of Directors</w:t>
      </w:r>
      <w:r>
        <w:rPr>
          <w:rFonts w:ascii="Times New Roman" w:cs="Times New Roman" w:eastAsia="Times New Roman" w:hAnsi="Times New Roman"/>
          <w:sz w:val="21"/>
          <w:szCs w:val="21"/>
          <w:color w:val="auto"/>
        </w:rPr>
        <w:t>. (i) 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(A) by or at the direction of the Board, including by any committee or persons authorized to do so by the Board or these bylaws, or (B) by a stockholder present in person who (1) was a record owner of shares of capital stock of the Corporation both at the time of giving the notice provided for in this Section 2.5 and at the time of the meeting, (2) is entitled to vote at the meeting, and (3) has complied with this Section 2.5 and Section 2.6 as to such notice and nomination. For purposes of this Section 2.5, “present in person” shall mean that the stockholder nominating any person for election to the Board at the meeting of the Corporation, or a qualified representative of such stockholder, appear at such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 (B) shall be the exclusive means for a stockholder to make any nomination of a person or persons for election to the Board at an annual meeting or special meeting.</w:t>
      </w:r>
    </w:p>
    <w:p>
      <w:pPr>
        <w:spacing w:after="0" w:line="178" w:lineRule="exact"/>
        <w:rPr>
          <w:sz w:val="20"/>
          <w:szCs w:val="20"/>
          <w:color w:val="auto"/>
        </w:rPr>
      </w:pPr>
    </w:p>
    <w:p>
      <w:pPr>
        <w:jc w:val="both"/>
        <w:ind w:left="760" w:firstLine="745"/>
        <w:spacing w:after="0" w:line="236"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qualification, for a stockholder to make any nomination of a person or persons for election to the Board at an annual meeting, the stockholder must (A) provide Timely Notice (as defined in Section 2.4(ii)) thereof in writing and in proper form to the Secretary of the Corporation, (B) provide the information, agreements and questionnaires with respect to each Nominating Person (as defined below) and its candidate for nomination as required to be set forth by this Section 2.5 and Section 2.6 and (C) provide any updates or supplements to such notice at the times and in the forms required by this Section 2.5 and Section 2.6.</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Section 2.5 and Section 2.6, and (C)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4" w:name="page95"/>
    <w:bookmarkEnd w:id="94"/>
    <w:p>
      <w:pPr>
        <w:ind w:left="760" w:right="20"/>
        <w:spacing w:after="0" w:line="258" w:lineRule="auto"/>
        <w:rPr>
          <w:sz w:val="20"/>
          <w:szCs w:val="20"/>
          <w:color w:val="auto"/>
        </w:rPr>
      </w:pPr>
      <w:r>
        <w:rPr>
          <w:rFonts w:ascii="Times New Roman" w:cs="Times New Roman" w:eastAsia="Times New Roman" w:hAnsi="Times New Roman"/>
          <w:sz w:val="22"/>
          <w:szCs w:val="22"/>
          <w:color w:val="auto"/>
        </w:rPr>
        <w:t>the tenth (10th) day following the day on which public disclosure (as defined in Section 2.4) of the date of such special meeting was first made (such notice within such time periods, “Special Meeting Timely Notice”).</w:t>
      </w:r>
    </w:p>
    <w:p>
      <w:pPr>
        <w:spacing w:after="0" w:line="158" w:lineRule="exact"/>
        <w:rPr>
          <w:sz w:val="20"/>
          <w:szCs w:val="20"/>
          <w:color w:val="auto"/>
        </w:rPr>
      </w:pPr>
    </w:p>
    <w:p>
      <w:pPr>
        <w:ind w:left="760" w:right="40" w:firstLine="745"/>
        <w:spacing w:after="0" w:line="258" w:lineRule="auto"/>
        <w:tabs>
          <w:tab w:leader="none" w:pos="194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any adjournment or postponement of an annual meeting or special meeting or the announcement thereof commence a new time period for the giving of a stockholder’s notice as described above.</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may a Nominating Person provide Timely Notice or Special Meeting Timely Notice, as applicable,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or Special Meeting Timely Notice, as applicable, or (ii) the tenth day following the date of public disclosure (as defined in Section 2.4) of such increase.</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for purposes of this Section 2.5, a stockholder’s notice to the Secretary shall set forth:</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Nominating Person, the Stockholder Information (as defined in Section 2.4(iii)(a), except that for purposes of this Section 2.5, the term “Nominating Person” shall be substituted for the term “Proposing Person” in all places it appears in Section 2.4(iii)(a));</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Nominating Person, any Disclosable Interests (as defined in Section 2.4(iii)(b), except that for purposes of this Section 2.5 the term “Nominating Person” shall be substituted for the term “Proposing Person” in all places it appears in Section 2.4(iii)(b) and the disclosure with respect to the business to be brought before the meeting in Section 2.4(iii)(c) shall be made with respect to the election of directors at the meeting); and provided that, in lieu of including the information set forth in Section 2.4(iii)(b)(G), the Nominating Person’s notice for purposes of this Section 2.5 shall include a representation as to whether the Nominating Person intends or is part of a group that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5" w:name="page96"/>
    <w:bookmarkEnd w:id="95"/>
    <w:p>
      <w:pPr>
        <w:jc w:val="both"/>
        <w:ind w:left="760"/>
        <w:spacing w:after="0" w:line="248" w:lineRule="auto"/>
        <w:rPr>
          <w:sz w:val="20"/>
          <w:szCs w:val="20"/>
          <w:color w:val="auto"/>
        </w:rPr>
      </w:pPr>
      <w:r>
        <w:rPr>
          <w:rFonts w:ascii="Times New Roman" w:cs="Times New Roman" w:eastAsia="Times New Roman" w:hAnsi="Times New Roman"/>
          <w:sz w:val="21"/>
          <w:szCs w:val="21"/>
          <w:color w:val="auto"/>
        </w:rPr>
        <w:t>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w:t>
      </w:r>
      <w:r>
        <w:rPr>
          <w:rFonts w:ascii="Times New Roman" w:cs="Times New Roman" w:eastAsia="Times New Roman" w:hAnsi="Times New Roman"/>
          <w:sz w:val="21"/>
          <w:szCs w:val="21"/>
          <w:u w:val="single" w:color="auto"/>
          <w:color w:val="auto"/>
        </w:rPr>
        <w:t>Nominee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and (C) a completed and signed questionnaire, representation and agreement as provided in Section 2.6(i).</w:t>
      </w:r>
    </w:p>
    <w:p>
      <w:pPr>
        <w:spacing w:after="0" w:line="17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For purposes of this Section 2.5, the term “</w:t>
      </w:r>
      <w:r>
        <w:rPr>
          <w:rFonts w:ascii="Times New Roman" w:cs="Times New Roman" w:eastAsia="Times New Roman" w:hAnsi="Times New Roman"/>
          <w:sz w:val="21"/>
          <w:szCs w:val="21"/>
          <w:u w:val="single" w:color="auto"/>
          <w:color w:val="auto"/>
        </w:rPr>
        <w:t>Nominating Person</w:t>
      </w:r>
      <w:r>
        <w:rPr>
          <w:rFonts w:ascii="Times New Roman" w:cs="Times New Roman" w:eastAsia="Times New Roman" w:hAnsi="Times New Roman"/>
          <w:sz w:val="21"/>
          <w:szCs w:val="21"/>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participant (as defined in paragraphs (a)(ii)-</w:t>
      </w:r>
    </w:p>
    <w:p>
      <w:pPr>
        <w:spacing w:after="0" w:line="1"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Instruction 3 to Item 4 of Schedule 14A) with such stockholder in such solicitation.</w:t>
      </w:r>
    </w:p>
    <w:p>
      <w:pPr>
        <w:spacing w:after="0" w:line="182"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173"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notice of any nomination proposed to be made at a meeting shall further update and supplement such notice or the materials delivered pursuant to this Section 2.5, as applicable,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spacing w:after="0" w:line="19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(a) no Nominating Person shall solicit proxies in support of director nominees other than the Corporation’s nominees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6" w:name="page97"/>
    <w:bookmarkEnd w:id="96"/>
    <w:p>
      <w:pPr>
        <w:jc w:val="both"/>
        <w:spacing w:after="0" w:line="232" w:lineRule="auto"/>
        <w:rPr>
          <w:sz w:val="20"/>
          <w:szCs w:val="20"/>
          <w:color w:val="auto"/>
        </w:rPr>
      </w:pPr>
      <w:r>
        <w:rPr>
          <w:rFonts w:ascii="Times New Roman" w:cs="Times New Roman" w:eastAsia="Times New Roman" w:hAnsi="Times New Roman"/>
          <w:sz w:val="22"/>
          <w:szCs w:val="22"/>
          <w:color w:val="auto"/>
        </w:rPr>
        <w:t>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2.5 or by Rule 14a-19 promulgated under the Exchange Act, as applicable and (b)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9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2.6 Additional Requirements for Valid Nomination of Candidates to Serve as Director and, if Elected, to be Seated as Directors.</w:t>
      </w:r>
    </w:p>
    <w:p>
      <w:pPr>
        <w:spacing w:after="0" w:line="158" w:lineRule="exact"/>
        <w:rPr>
          <w:sz w:val="20"/>
          <w:szCs w:val="20"/>
          <w:color w:val="auto"/>
        </w:rPr>
      </w:pPr>
    </w:p>
    <w:p>
      <w:pPr>
        <w:jc w:val="both"/>
        <w:ind w:firstLine="757"/>
        <w:spacing w:after="0" w:line="232" w:lineRule="auto"/>
        <w:tabs>
          <w:tab w:leader="none" w:pos="118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to the Secretary at the principal executive offices of the Corporation, (a) a completed written questionnaire (in the form provided by the Corporation upon written request of any stockholder of record therefor) with respect to the background, qualifications, stock ownership and independence of such proposed nominee and (b) a written representation and agreement (in the form provided by the Corporation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“Voting Commitment”)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7" w:name="page98"/>
    <w:bookmarkEnd w:id="97"/>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Corporation shall provide to such candidate for nomination all such policies and guidelines then in effect), and (D) if elected as a director of the Corporation, intends to serve the entire term until the next meeting at which such candidate would face re-election.</w:t>
      </w:r>
    </w:p>
    <w:p>
      <w:pPr>
        <w:spacing w:after="0" w:line="135" w:lineRule="exact"/>
        <w:rPr>
          <w:sz w:val="20"/>
          <w:szCs w:val="20"/>
          <w:color w:val="auto"/>
        </w:rPr>
      </w:pPr>
    </w:p>
    <w:p>
      <w:pPr>
        <w:jc w:val="both"/>
        <w:ind w:firstLine="757"/>
        <w:spacing w:after="0" w:line="244" w:lineRule="auto"/>
        <w:tabs>
          <w:tab w:leader="none" w:pos="1181"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also require any proposed candidate for nomination as a director to furnish such other information related to such candidate’s eligibility or qualification to serve as director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 five</w:t>
      </w:r>
    </w:p>
    <w:p>
      <w:pPr>
        <w:spacing w:after="0" w:line="6"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request by the Board has been delivered to, or mailed and received by, the Nominating Person.</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candidate for nomination as a director shall further update and supplement the materials delivered pursuant to Section 2.5 and this Section 2.6, if necessary, so that the information provided or required to be provided pursuant to Section 2.5 and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41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82"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candidate nominated pursuant to Section 2.5(i)(B) shall be eligible for nomination as a director of the Corporation unless such candidate for nomination and the Nominating Person seeking to place such candidate’s name in nomination has complied with Section 2.5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ind w:firstLine="757"/>
        <w:spacing w:after="0" w:line="282" w:lineRule="auto"/>
        <w:tabs>
          <w:tab w:leader="none" w:pos="118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these bylaws to the contrary, no candidate for nomination shall be eligible to be seated as a director of the Corporation unless nominated in accordance with Section 2.5 and this Section 2.6 and elected as a director.</w:t>
      </w:r>
    </w:p>
    <w:p>
      <w:pPr>
        <w:spacing w:after="0" w:line="13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2.7 Notice of Stockholders’ Meetings</w:t>
      </w:r>
      <w:r>
        <w:rPr>
          <w:rFonts w:ascii="Times New Roman" w:cs="Times New Roman" w:eastAsia="Times New Roman" w:hAnsi="Times New Roman"/>
          <w:sz w:val="22"/>
          <w:szCs w:val="22"/>
          <w:color w:val="auto"/>
        </w:rPr>
        <w:t>. 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2.8 Quorum</w:t>
      </w:r>
      <w:r>
        <w:rPr>
          <w:rFonts w:ascii="Times New Roman" w:cs="Times New Roman" w:eastAsia="Times New Roman" w:hAnsi="Times New Roman"/>
          <w:sz w:val="22"/>
          <w:szCs w:val="22"/>
          <w:color w:val="auto"/>
        </w:rPr>
        <w:t>. 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2.9 Adjourned Meeting; Notice</w:t>
      </w:r>
      <w:r>
        <w:rPr>
          <w:rFonts w:ascii="Times New Roman" w:cs="Times New Roman" w:eastAsia="Times New Roman" w:hAnsi="Times New Roman"/>
          <w:sz w:val="22"/>
          <w:szCs w:val="22"/>
          <w:color w:val="auto"/>
        </w:rPr>
        <w:t>.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2.10 Conduct of Business</w:t>
      </w:r>
      <w:r>
        <w:rPr>
          <w:rFonts w:ascii="Times New Roman" w:cs="Times New Roman" w:eastAsia="Times New Roman" w:hAnsi="Times New Roman"/>
          <w:sz w:val="22"/>
          <w:szCs w:val="22"/>
          <w:color w:val="auto"/>
        </w:rPr>
        <w:t>. Meetings of stockholders shall be presided over by the Chairperson of the Board, if any, or in his or her absence or at his or her direction by the Chief Executive Officer or in their absence, or at the direction of either the foregoing persons, by a director or officer of the Corporation. The Secretary of the Corporation shall act as Secretary of the meeting, but in his or her absence the chairperson of the meeting may appoint any person 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9" w:name="page100"/>
    <w:bookmarkEnd w:id="99"/>
    <w:p>
      <w:pPr>
        <w:jc w:val="both"/>
        <w:spacing w:after="0" w:line="243" w:lineRule="auto"/>
        <w:rPr>
          <w:sz w:val="20"/>
          <w:szCs w:val="20"/>
          <w:color w:val="auto"/>
        </w:rPr>
      </w:pPr>
      <w:r>
        <w:rPr>
          <w:rFonts w:ascii="Times New Roman" w:cs="Times New Roman" w:eastAsia="Times New Roman" w:hAnsi="Times New Roman"/>
          <w:sz w:val="21"/>
          <w:szCs w:val="21"/>
          <w:color w:val="auto"/>
        </w:rPr>
        <w:t>act as Secretary of the meeting. 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84"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2.11 Voting</w:t>
      </w:r>
      <w:r>
        <w:rPr>
          <w:rFonts w:ascii="Times New Roman" w:cs="Times New Roman" w:eastAsia="Times New Roman" w:hAnsi="Times New Roman"/>
          <w:sz w:val="22"/>
          <w:szCs w:val="22"/>
          <w:color w:val="auto"/>
        </w:rPr>
        <w:t>. Except as may be otherwise provided in the Certificate of Incorporation, these bylaws or the DGCL, each stockholder shall be entitled to one (1) vote for each share of capital stock held by such stockholder.</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2.12 Record Date for Stockholder Meetings and Other Purposes</w:t>
      </w:r>
      <w:r>
        <w:rPr>
          <w:rFonts w:ascii="Times New Roman" w:cs="Times New Roman" w:eastAsia="Times New Roman" w:hAnsi="Times New Roman"/>
          <w:sz w:val="22"/>
          <w:szCs w:val="22"/>
          <w:color w:val="auto"/>
        </w:rPr>
        <w:t>. 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0" w:name="page101"/>
    <w:bookmarkEnd w:id="100"/>
    <w:p>
      <w:pPr>
        <w:jc w:val="both"/>
        <w:spacing w:after="0" w:line="233" w:lineRule="auto"/>
        <w:rPr>
          <w:sz w:val="20"/>
          <w:szCs w:val="20"/>
          <w:color w:val="auto"/>
        </w:rPr>
      </w:pPr>
      <w:r>
        <w:rPr>
          <w:rFonts w:ascii="Times New Roman" w:cs="Times New Roman" w:eastAsia="Times New Roman" w:hAnsi="Times New Roman"/>
          <w:sz w:val="22"/>
          <w:szCs w:val="22"/>
          <w:color w:val="auto"/>
        </w:rPr>
        <w:t>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2.13 Proxies</w:t>
      </w:r>
      <w:r>
        <w:rPr>
          <w:rFonts w:ascii="Times New Roman" w:cs="Times New Roman" w:eastAsia="Times New Roman" w:hAnsi="Times New Roman"/>
          <w:sz w:val="22"/>
          <w:szCs w:val="22"/>
          <w:color w:val="auto"/>
        </w:rPr>
        <w:t>. 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the exclusive use by the Board.</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2.14 List of Stockholders Entitled to Vote</w:t>
      </w:r>
      <w:r>
        <w:rPr>
          <w:rFonts w:ascii="Times New Roman" w:cs="Times New Roman" w:eastAsia="Times New Roman" w:hAnsi="Times New Roman"/>
          <w:sz w:val="22"/>
          <w:szCs w:val="22"/>
          <w:color w:val="auto"/>
        </w:rPr>
        <w:t>. 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jc w:val="both"/>
        <w:spacing w:after="0" w:line="235" w:lineRule="auto"/>
        <w:rPr>
          <w:sz w:val="20"/>
          <w:szCs w:val="20"/>
          <w:color w:val="auto"/>
        </w:rPr>
      </w:pPr>
      <w:r>
        <w:rPr>
          <w:rFonts w:ascii="Times New Roman" w:cs="Times New Roman" w:eastAsia="Times New Roman" w:hAnsi="Times New Roman"/>
          <w:sz w:val="22"/>
          <w:szCs w:val="22"/>
          <w:color w:val="auto"/>
        </w:rPr>
        <w:t>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2.15 Inspectors of Election</w:t>
      </w:r>
      <w:r>
        <w:rPr>
          <w:rFonts w:ascii="Times New Roman" w:cs="Times New Roman" w:eastAsia="Times New Roman" w:hAnsi="Times New Roman"/>
          <w:sz w:val="22"/>
          <w:szCs w:val="22"/>
          <w:color w:val="auto"/>
        </w:rPr>
        <w:t>. 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Such inspectors shall:</w:t>
      </w:r>
    </w:p>
    <w:p>
      <w:pPr>
        <w:spacing w:after="0" w:line="206" w:lineRule="exact"/>
        <w:rPr>
          <w:sz w:val="20"/>
          <w:szCs w:val="20"/>
          <w:color w:val="auto"/>
        </w:rPr>
      </w:pPr>
    </w:p>
    <w:p>
      <w:pPr>
        <w:ind w:right="20" w:firstLine="757"/>
        <w:spacing w:after="0" w:line="258"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number of shares outstanding and the voting power of each, the number of shares represented at the meeting and the validity of any proxies and ballots;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 all votes or ballots;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 and tabulate all votes;</w:t>
      </w:r>
    </w:p>
    <w:p>
      <w:pPr>
        <w:spacing w:after="0" w:line="206" w:lineRule="exact"/>
        <w:rPr>
          <w:rFonts w:ascii="Times New Roman" w:cs="Times New Roman" w:eastAsia="Times New Roman" w:hAnsi="Times New Roman"/>
          <w:sz w:val="22"/>
          <w:szCs w:val="22"/>
          <w:color w:val="auto"/>
        </w:rPr>
      </w:pPr>
    </w:p>
    <w:p>
      <w:pPr>
        <w:ind w:right="80" w:firstLine="757"/>
        <w:spacing w:after="0" w:line="258"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and retain for a reasonable period a record of the disposition of any challenges made to any determination by the inspector(s);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certify its or their determination of the number of shares represented at the meeting and its or their count of all votes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ballots.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2.16 Delivery to the Corporation</w:t>
      </w:r>
      <w:r>
        <w:rPr>
          <w:rFonts w:ascii="Times New Roman" w:cs="Times New Roman" w:eastAsia="Times New Roman" w:hAnsi="Times New Roman"/>
          <w:sz w:val="21"/>
          <w:szCs w:val="21"/>
          <w:color w:val="auto"/>
        </w:rPr>
        <w:t>. 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22"/>
          <w:szCs w:val="22"/>
          <w:color w:val="auto"/>
        </w:rPr>
        <w:t>doubt, the Corporation expressly opts out of Section 116 of the DGCL with respect to the delivery of information and documents to the Corporation required by this Article II.</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18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3.1 Powers</w:t>
      </w:r>
      <w:r>
        <w:rPr>
          <w:rFonts w:ascii="Times New Roman" w:cs="Times New Roman" w:eastAsia="Times New Roman" w:hAnsi="Times New Roman"/>
          <w:sz w:val="22"/>
          <w:szCs w:val="22"/>
          <w:color w:val="auto"/>
        </w:rPr>
        <w:t>. Except as otherwise provided by the Certificate of Incorporation or the DGCL, the business and affairs of the Corporation shall be managed by or under the direction of the Board.</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3.2 Number of Directors</w:t>
      </w:r>
      <w:r>
        <w:rPr>
          <w:rFonts w:ascii="Times New Roman" w:cs="Times New Roman" w:eastAsia="Times New Roman" w:hAnsi="Times New Roman"/>
          <w:sz w:val="22"/>
          <w:szCs w:val="22"/>
          <w:color w:val="auto"/>
        </w:rPr>
        <w:t>. 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3.3 Election, Qualification and Term of Office of Directors</w:t>
      </w:r>
      <w:r>
        <w:rPr>
          <w:rFonts w:ascii="Times New Roman" w:cs="Times New Roman" w:eastAsia="Times New Roman" w:hAnsi="Times New Roman"/>
          <w:sz w:val="22"/>
          <w:szCs w:val="22"/>
          <w:color w:val="auto"/>
        </w:rPr>
        <w:t>. 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3.4 Resignation and Vacancies</w:t>
      </w:r>
      <w:r>
        <w:rPr>
          <w:rFonts w:ascii="Times New Roman" w:cs="Times New Roman" w:eastAsia="Times New Roman" w:hAnsi="Times New Roman"/>
          <w:sz w:val="22"/>
          <w:szCs w:val="22"/>
          <w:color w:val="auto"/>
        </w:rPr>
        <w:t>. 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3.5 Place of Meetings; Meetings by Telephone</w:t>
      </w:r>
      <w:r>
        <w:rPr>
          <w:rFonts w:ascii="Times New Roman" w:cs="Times New Roman" w:eastAsia="Times New Roman" w:hAnsi="Times New Roman"/>
          <w:sz w:val="22"/>
          <w:szCs w:val="22"/>
          <w:color w:val="auto"/>
        </w:rPr>
        <w:t>. The Board may hold meetings, both regular and special, either within or outside the State of Delaware. 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3.6 Regular Meetings</w:t>
      </w:r>
      <w:r>
        <w:rPr>
          <w:rFonts w:ascii="Times New Roman" w:cs="Times New Roman" w:eastAsia="Times New Roman" w:hAnsi="Times New Roman"/>
          <w:sz w:val="22"/>
          <w:szCs w:val="22"/>
          <w:color w:val="auto"/>
        </w:rPr>
        <w:t>. Regular meetings of the Board may be held within or outside the State of Delaware and at such time and at such place as which has been designated by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3" w:name="page104"/>
    <w:bookmarkEnd w:id="103"/>
    <w:p>
      <w:pPr>
        <w:jc w:val="both"/>
        <w:spacing w:after="0" w:line="244" w:lineRule="auto"/>
        <w:rPr>
          <w:sz w:val="20"/>
          <w:szCs w:val="20"/>
          <w:color w:val="auto"/>
        </w:rPr>
      </w:pPr>
      <w:r>
        <w:rPr>
          <w:rFonts w:ascii="Times New Roman" w:cs="Times New Roman" w:eastAsia="Times New Roman" w:hAnsi="Times New Roman"/>
          <w:sz w:val="22"/>
          <w:szCs w:val="22"/>
          <w:color w:val="auto"/>
        </w:rPr>
        <w:t>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3.7 Special Meetings; Notice</w:t>
      </w:r>
      <w:r>
        <w:rPr>
          <w:rFonts w:ascii="Times New Roman" w:cs="Times New Roman" w:eastAsia="Times New Roman" w:hAnsi="Times New Roman"/>
          <w:sz w:val="22"/>
          <w:szCs w:val="22"/>
          <w:color w:val="auto"/>
        </w:rPr>
        <w:t>. Special meetings of the Board for any purpose or purposes may be called at any time by the chairperson of the Board, the Chief Executive Officer, the Secretary or a majority of the total number of directors constituting the Board.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Notice of the time and place of special meetings shall be:</w:t>
      </w:r>
    </w:p>
    <w:p>
      <w:pPr>
        <w:spacing w:after="0" w:line="206" w:lineRule="exact"/>
        <w:rPr>
          <w:sz w:val="20"/>
          <w:szCs w:val="20"/>
          <w:color w:val="auto"/>
        </w:rPr>
      </w:pPr>
    </w:p>
    <w:p>
      <w:pPr>
        <w:ind w:left="1180" w:hanging="423"/>
        <w:spacing w:after="0"/>
        <w:tabs>
          <w:tab w:leader="none" w:pos="11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personally by hand, by courier or by telephone;</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 by United States first-class mail, postage prepaid;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 by facsimile or electronic mail; or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 by other means of electronic transmission,</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directed to each director at that director’s address, telephone number, facsimile number or electronic mail address, or other address for electronic transmission, as the case may be, as shown on the Corporation’s records.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the notice is (i) delivered personally by hand, by courier or by telephone, (ii) sent by facsimile or electronic mail, or</w:t>
      </w:r>
    </w:p>
    <w:p>
      <w:pPr>
        <w:spacing w:after="0" w:line="14" w:lineRule="exact"/>
        <w:rPr>
          <w:sz w:val="20"/>
          <w:szCs w:val="20"/>
          <w:color w:val="auto"/>
        </w:rPr>
      </w:pPr>
    </w:p>
    <w:p>
      <w:pPr>
        <w:jc w:val="both"/>
        <w:ind w:firstLine="8"/>
        <w:spacing w:after="0" w:line="234" w:lineRule="auto"/>
        <w:tabs>
          <w:tab w:leader="none" w:pos="38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3.8 Quorum</w:t>
      </w:r>
      <w:r>
        <w:rPr>
          <w:rFonts w:ascii="Times New Roman" w:cs="Times New Roman" w:eastAsia="Times New Roman" w:hAnsi="Times New Roman"/>
          <w:sz w:val="22"/>
          <w:szCs w:val="22"/>
          <w:color w:val="auto"/>
        </w:rPr>
        <w:t>. 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3.9 Board Action without a Meeting</w:t>
      </w:r>
      <w:r>
        <w:rPr>
          <w:rFonts w:ascii="Times New Roman" w:cs="Times New Roman" w:eastAsia="Times New Roman" w:hAnsi="Times New Roman"/>
          <w:sz w:val="22"/>
          <w:szCs w:val="22"/>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4" w:name="page105"/>
    <w:bookmarkEnd w:id="104"/>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3.10 Fees and Compensation of Directors</w:t>
      </w:r>
      <w:r>
        <w:rPr>
          <w:rFonts w:ascii="Times New Roman" w:cs="Times New Roman" w:eastAsia="Times New Roman" w:hAnsi="Times New Roman"/>
          <w:sz w:val="22"/>
          <w:szCs w:val="22"/>
          <w:color w:val="auto"/>
        </w:rPr>
        <w:t>. 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4.1  Committees of Directors</w:t>
      </w:r>
      <w:r>
        <w:rPr>
          <w:rFonts w:ascii="Times New Roman" w:cs="Times New Roman" w:eastAsia="Times New Roman" w:hAnsi="Times New Roman"/>
          <w:sz w:val="22"/>
          <w:szCs w:val="22"/>
          <w:color w:val="auto"/>
        </w:rPr>
        <w:t>. The Board may designate one (1) or more committees, each committee to consist, of one</w:t>
      </w:r>
    </w:p>
    <w:p>
      <w:pPr>
        <w:spacing w:after="0" w:line="14" w:lineRule="exact"/>
        <w:rPr>
          <w:sz w:val="20"/>
          <w:szCs w:val="20"/>
          <w:color w:val="auto"/>
        </w:rPr>
      </w:pPr>
    </w:p>
    <w:p>
      <w:pPr>
        <w:jc w:val="both"/>
        <w:ind w:firstLine="8"/>
        <w:spacing w:after="0" w:line="232" w:lineRule="auto"/>
        <w:tabs>
          <w:tab w:leader="none" w:pos="31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17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4.2 Committee Minutes</w:t>
      </w:r>
      <w:r>
        <w:rPr>
          <w:rFonts w:ascii="Times New Roman" w:cs="Times New Roman" w:eastAsia="Times New Roman" w:hAnsi="Times New Roman"/>
          <w:sz w:val="22"/>
          <w:szCs w:val="22"/>
          <w:color w:val="auto"/>
        </w:rPr>
        <w:t>. Each committee shall keep regular minutes of its meetings and report the same to the Board when required.</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4.3 Meetings and Actions of Committees</w:t>
      </w:r>
      <w:r>
        <w:rPr>
          <w:rFonts w:ascii="Times New Roman" w:cs="Times New Roman" w:eastAsia="Times New Roman" w:hAnsi="Times New Roman"/>
          <w:sz w:val="22"/>
          <w:szCs w:val="22"/>
          <w:color w:val="auto"/>
        </w:rPr>
        <w:t>. Meetings and actions of committees shall be governed by, and held and taken in accordance with, the provisions of:</w:t>
      </w:r>
    </w:p>
    <w:p>
      <w:pPr>
        <w:spacing w:after="0" w:line="158" w:lineRule="exact"/>
        <w:rPr>
          <w:sz w:val="20"/>
          <w:szCs w:val="20"/>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3.5 (place of meetings; meetings by telephone);</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3.6 (regular meetings);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3.7 (special meetings; notice);</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3.9 (board action without a meeting);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7.13 (waiver of notice),</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right="40" w:firstLine="745"/>
        <w:spacing w:after="0" w:line="258"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 of regular meetings of committees may be determined either by resolution of the Board or by resolution of the committee;</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meetings of committees may also be called by resolution of the Board or the chairperson of the applicable committee; 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jc w:val="both"/>
        <w:ind w:left="760" w:right="20" w:firstLine="745"/>
        <w:spacing w:after="0" w:line="244" w:lineRule="auto"/>
        <w:tabs>
          <w:tab w:leader="none" w:pos="19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7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u w:val="single" w:color="auto"/>
          <w:color w:val="auto"/>
        </w:rPr>
        <w:t>4.4 Subcommittees</w:t>
      </w:r>
      <w:r>
        <w:rPr>
          <w:rFonts w:ascii="Times New Roman" w:cs="Times New Roman" w:eastAsia="Times New Roman" w:hAnsi="Times New Roman"/>
          <w:sz w:val="21"/>
          <w:szCs w:val="21"/>
          <w:color w:val="auto"/>
        </w:rPr>
        <w:t>. Unless otherwise provided in the Certificate of Incorporation, these bylaws or the resolutions of the Board designating the committee, a committee may create one (1) or more subcommittees, each subcommittee to consist of 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or more members of the committee, and delegate to a subcommittee any or all of the powers and authority of the committee.</w:t>
      </w:r>
    </w:p>
    <w:p>
      <w:pPr>
        <w:spacing w:after="0" w:line="1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5.1 Officers</w:t>
      </w:r>
      <w:r>
        <w:rPr>
          <w:rFonts w:ascii="Times New Roman" w:cs="Times New Roman" w:eastAsia="Times New Roman" w:hAnsi="Times New Roman"/>
          <w:sz w:val="22"/>
          <w:szCs w:val="22"/>
          <w:color w:val="auto"/>
        </w:rPr>
        <w:t>. The officers of the Corporation shall include a Chief Executive Officer, a President, a Chief Financial Officer and a Secretary. The Corporation may also have, at the discretion of the Board, a Chairperson of the Board, a Vice Chairperson of the Board,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5.2 Appointment of Officers</w:t>
      </w:r>
      <w:r>
        <w:rPr>
          <w:rFonts w:ascii="Times New Roman" w:cs="Times New Roman" w:eastAsia="Times New Roman" w:hAnsi="Times New Roman"/>
          <w:sz w:val="22"/>
          <w:szCs w:val="22"/>
          <w:color w:val="auto"/>
        </w:rPr>
        <w:t>. The Board shall appoint the officers of the Corporation, except such officers as may be appointed in accordance with the provisions of Section 5.3 of these bylaws.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5.3 Subordinate Officers</w:t>
      </w:r>
      <w:r>
        <w:rPr>
          <w:rFonts w:ascii="Times New Roman" w:cs="Times New Roman" w:eastAsia="Times New Roman" w:hAnsi="Times New Roman"/>
          <w:sz w:val="22"/>
          <w:szCs w:val="22"/>
          <w:color w:val="auto"/>
        </w:rPr>
        <w:t>. 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5.4 Removal and Resignation of Officers</w:t>
      </w:r>
      <w:r>
        <w:rPr>
          <w:rFonts w:ascii="Times New Roman" w:cs="Times New Roman" w:eastAsia="Times New Roman" w:hAnsi="Times New Roman"/>
          <w:sz w:val="22"/>
          <w:szCs w:val="22"/>
          <w:color w:val="auto"/>
        </w:rPr>
        <w:t>. Subject to the rights, if any, of an officer under any contract of employment, any officer may be removed, either with or without cause, by the Board or by any officer upon whom such power of removal may be conferred by the Board.</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5.5 Vacancies in Offices</w:t>
      </w:r>
      <w:r>
        <w:rPr>
          <w:rFonts w:ascii="Times New Roman" w:cs="Times New Roman" w:eastAsia="Times New Roman" w:hAnsi="Times New Roman"/>
          <w:sz w:val="22"/>
          <w:szCs w:val="22"/>
          <w:color w:val="auto"/>
        </w:rPr>
        <w:t>. Any vacancy occurring in any office of the Corporation shall be filled by the Board or as provided in Section 5.2.</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5.6 Representation of Shares of Other Corporations</w:t>
      </w:r>
      <w:r>
        <w:rPr>
          <w:rFonts w:ascii="Times New Roman" w:cs="Times New Roman" w:eastAsia="Times New Roman" w:hAnsi="Times New Roman"/>
          <w:sz w:val="22"/>
          <w:szCs w:val="22"/>
          <w:color w:val="auto"/>
        </w:rPr>
        <w:t>. 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6" w:name="page107"/>
    <w:bookmarkEnd w:id="106"/>
    <w:p>
      <w:pPr>
        <w:jc w:val="both"/>
        <w:spacing w:after="0" w:line="244" w:lineRule="auto"/>
        <w:rPr>
          <w:sz w:val="20"/>
          <w:szCs w:val="20"/>
          <w:color w:val="auto"/>
        </w:rPr>
      </w:pPr>
      <w:r>
        <w:rPr>
          <w:rFonts w:ascii="Times New Roman" w:cs="Times New Roman" w:eastAsia="Times New Roman" w:hAnsi="Times New Roman"/>
          <w:sz w:val="22"/>
          <w:szCs w:val="22"/>
          <w:color w:val="auto"/>
        </w:rPr>
        <w:t>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u w:val="single" w:color="auto"/>
          <w:color w:val="auto"/>
        </w:rPr>
        <w:t>5.7 Authority and Duties of Officers</w:t>
      </w:r>
      <w:r>
        <w:rPr>
          <w:rFonts w:ascii="Times New Roman" w:cs="Times New Roman" w:eastAsia="Times New Roman" w:hAnsi="Times New Roman"/>
          <w:sz w:val="21"/>
          <w:szCs w:val="21"/>
          <w:color w:val="auto"/>
        </w:rPr>
        <w:t>. 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5.8 Compensation</w:t>
      </w:r>
      <w:r>
        <w:rPr>
          <w:rFonts w:ascii="Times New Roman" w:cs="Times New Roman" w:eastAsia="Times New Roman" w:hAnsi="Times New Roman"/>
          <w:sz w:val="22"/>
          <w:szCs w:val="22"/>
          <w:color w:val="auto"/>
        </w:rPr>
        <w:t>. 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6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RECORDS</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7.1 Execution of Corporate Contracts and Instruments</w:t>
      </w:r>
      <w:r>
        <w:rPr>
          <w:rFonts w:ascii="Times New Roman" w:cs="Times New Roman" w:eastAsia="Times New Roman" w:hAnsi="Times New Roman"/>
          <w:sz w:val="22"/>
          <w:szCs w:val="22"/>
          <w:color w:val="auto"/>
        </w:rPr>
        <w:t>. 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7.2 Stock Certificates</w:t>
      </w:r>
      <w:r>
        <w:rPr>
          <w:rFonts w:ascii="Times New Roman" w:cs="Times New Roman" w:eastAsia="Times New Roman" w:hAnsi="Times New Roman"/>
          <w:sz w:val="22"/>
          <w:szCs w:val="22"/>
          <w:color w:val="auto"/>
        </w:rPr>
        <w:t>. 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Every holder of stock represented by a certificate shall be entitled to have a certificate signed by, or in the name of the Corporation by, any two officers authorized to sign stock certificates representing the number of shares registered in certificate form. The Chairperson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jc w:val="both"/>
        <w:spacing w:after="0" w:line="238" w:lineRule="auto"/>
        <w:rPr>
          <w:sz w:val="20"/>
          <w:szCs w:val="20"/>
          <w:color w:val="auto"/>
        </w:rPr>
      </w:pPr>
      <w:r>
        <w:rPr>
          <w:rFonts w:ascii="Times New Roman" w:cs="Times New Roman" w:eastAsia="Times New Roman" w:hAnsi="Times New Roman"/>
          <w:sz w:val="22"/>
          <w:szCs w:val="22"/>
          <w:color w:val="auto"/>
        </w:rPr>
        <w:t>of the Board, the Chief Executive Officer, the President, the Chief Financial Officer, or the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7.3 Special Designation of Certificates</w:t>
      </w:r>
      <w:r>
        <w:rPr>
          <w:rFonts w:ascii="Times New Roman" w:cs="Times New Roman" w:eastAsia="Times New Roman" w:hAnsi="Times New Roman"/>
          <w:sz w:val="22"/>
          <w:szCs w:val="22"/>
          <w:color w:val="auto"/>
        </w:rPr>
        <w:t xml:space="preserve">.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7.4 Lost Certificates</w:t>
      </w:r>
      <w:r>
        <w:rPr>
          <w:rFonts w:ascii="Times New Roman" w:cs="Times New Roman" w:eastAsia="Times New Roman" w:hAnsi="Times New Roman"/>
          <w:sz w:val="22"/>
          <w:szCs w:val="22"/>
          <w:color w:val="auto"/>
        </w:rPr>
        <w:t>. 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7.5 Shares Without Certificates</w:t>
      </w:r>
      <w:r>
        <w:rPr>
          <w:rFonts w:ascii="Times New Roman" w:cs="Times New Roman" w:eastAsia="Times New Roman" w:hAnsi="Times New Roman"/>
          <w:sz w:val="22"/>
          <w:szCs w:val="22"/>
          <w:color w:val="auto"/>
        </w:rPr>
        <w:t>.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8" w:name="page109"/>
    <w:bookmarkEnd w:id="108"/>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7.6 Construction; Definitions</w:t>
      </w:r>
      <w:r>
        <w:rPr>
          <w:rFonts w:ascii="Times New Roman" w:cs="Times New Roman" w:eastAsia="Times New Roman" w:hAnsi="Times New Roman"/>
          <w:sz w:val="22"/>
          <w:szCs w:val="22"/>
          <w:color w:val="auto"/>
        </w:rPr>
        <w:t>.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7.7 Dividends</w:t>
      </w:r>
      <w:r>
        <w:rPr>
          <w:rFonts w:ascii="Times New Roman" w:cs="Times New Roman" w:eastAsia="Times New Roman" w:hAnsi="Times New Roman"/>
          <w:sz w:val="22"/>
          <w:szCs w:val="22"/>
          <w:color w:val="auto"/>
        </w:rPr>
        <w:t>. 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u w:val="single" w:color="auto"/>
          <w:color w:val="auto"/>
        </w:rPr>
        <w:t>7.8  Fiscal Year</w:t>
      </w:r>
      <w:r>
        <w:rPr>
          <w:rFonts w:ascii="Times New Roman" w:cs="Times New Roman" w:eastAsia="Times New Roman" w:hAnsi="Times New Roman"/>
          <w:sz w:val="21"/>
          <w:szCs w:val="21"/>
          <w:color w:val="auto"/>
        </w:rPr>
        <w:t>. The fiscal year of the Corporation shall be fixed by resolution of the Board and may be changed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7.9 Seal</w:t>
      </w:r>
      <w:r>
        <w:rPr>
          <w:rFonts w:ascii="Times New Roman" w:cs="Times New Roman" w:eastAsia="Times New Roman" w:hAnsi="Times New Roman"/>
          <w:sz w:val="22"/>
          <w:szCs w:val="22"/>
          <w:color w:val="auto"/>
        </w:rPr>
        <w:t>. 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7.10 Transfer of Stock</w:t>
      </w:r>
      <w:r>
        <w:rPr>
          <w:rFonts w:ascii="Times New Roman" w:cs="Times New Roman" w:eastAsia="Times New Roman" w:hAnsi="Times New Roman"/>
          <w:sz w:val="22"/>
          <w:szCs w:val="22"/>
          <w:color w:val="auto"/>
        </w:rPr>
        <w:t>. 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7.11 Stock Transfer Agreements</w:t>
      </w:r>
      <w:r>
        <w:rPr>
          <w:rFonts w:ascii="Times New Roman" w:cs="Times New Roman" w:eastAsia="Times New Roman" w:hAnsi="Times New Roman"/>
          <w:sz w:val="22"/>
          <w:szCs w:val="22"/>
          <w:color w:val="auto"/>
        </w:rPr>
        <w:t>. 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7.12 Registered Stockholders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Corporation:</w:t>
      </w:r>
    </w:p>
    <w:p>
      <w:pPr>
        <w:spacing w:after="0" w:line="206" w:lineRule="exact"/>
        <w:rPr>
          <w:sz w:val="20"/>
          <w:szCs w:val="20"/>
          <w:color w:val="auto"/>
        </w:rPr>
      </w:pPr>
    </w:p>
    <w:p>
      <w:pPr>
        <w:ind w:firstLine="757"/>
        <w:spacing w:after="0" w:line="258"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entitled to recognize the exclusive right of a person registered on its books as the owner of shares to receive dividends and to vote as such owner; and</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9" w:name="page110"/>
    <w:bookmarkEnd w:id="109"/>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7.13 Waiver of Notice</w:t>
      </w:r>
      <w:r>
        <w:rPr>
          <w:rFonts w:ascii="Times New Roman" w:cs="Times New Roman" w:eastAsia="Times New Roman" w:hAnsi="Times New Roman"/>
          <w:sz w:val="22"/>
          <w:szCs w:val="22"/>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NOTICE</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8.1 Delivery of Notice; Notice by Electronic Transmission</w:t>
      </w:r>
      <w:r>
        <w:rPr>
          <w:rFonts w:ascii="Times New Roman" w:cs="Times New Roman" w:eastAsia="Times New Roman" w:hAnsi="Times New Roman"/>
          <w:sz w:val="22"/>
          <w:szCs w:val="22"/>
          <w:color w:val="auto"/>
        </w:rPr>
        <w:t>. 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notice given pursuant to the preceding paragraph shall be deemed given:</w:t>
      </w:r>
    </w:p>
    <w:p>
      <w:pPr>
        <w:spacing w:after="0" w:line="206" w:lineRule="exact"/>
        <w:rPr>
          <w:sz w:val="20"/>
          <w:szCs w:val="20"/>
          <w:color w:val="auto"/>
        </w:rPr>
      </w:pPr>
    </w:p>
    <w:p>
      <w:pPr>
        <w:ind w:left="1180" w:hanging="423"/>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facsimile telecommunication, when directed to a number at which the stockholder has consented to receive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182" w:lineRule="exact"/>
        <w:rPr>
          <w:sz w:val="20"/>
          <w:szCs w:val="20"/>
          <w:color w:val="auto"/>
        </w:rPr>
      </w:pPr>
    </w:p>
    <w:p>
      <w:pPr>
        <w:ind w:right="20" w:firstLine="757"/>
        <w:spacing w:after="0" w:line="258"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a posting on an electronic network together with separate notice to the stockholder of such specific posting, upon the later of (A) such posting and (B) the giving of such separate notice;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any other form of electronic transmission, when directed to the stockholder.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0" w:name="page111"/>
    <w:bookmarkEnd w:id="110"/>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8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9.1 Indemnification of Directors and Officers</w:t>
      </w:r>
      <w:r>
        <w:rPr>
          <w:rFonts w:ascii="Times New Roman" w:cs="Times New Roman" w:eastAsia="Times New Roman" w:hAnsi="Times New Roman"/>
          <w:sz w:val="22"/>
          <w:szCs w:val="22"/>
          <w:color w:val="auto"/>
        </w:rPr>
        <w:t>. The Corporation shall indemnify and hold harmless, to the fullest extent permitted by applicable law as it presently exists or may hereafter be amended, any director or officer of the Corporation (a “covered person”)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covered person in connection with a Proceeding (or part thereof) initiated by such covered person only if the initiation of the Proceeding (or part thereof) was authorized in the specific case by the Board.</w:t>
      </w:r>
    </w:p>
    <w:p>
      <w:pPr>
        <w:spacing w:after="0" w:line="185"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u w:val="single" w:color="auto"/>
          <w:color w:val="auto"/>
        </w:rPr>
        <w:t>9.2 Indemnification of Others</w:t>
      </w:r>
      <w:r>
        <w:rPr>
          <w:rFonts w:ascii="Times New Roman" w:cs="Times New Roman" w:eastAsia="Times New Roman" w:hAnsi="Times New Roman"/>
          <w:sz w:val="21"/>
          <w:szCs w:val="21"/>
          <w:color w:val="auto"/>
        </w:rPr>
        <w:t>. 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7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9.3 Prepayment of Expenses</w:t>
      </w:r>
      <w:r>
        <w:rPr>
          <w:rFonts w:ascii="Times New Roman" w:cs="Times New Roman" w:eastAsia="Times New Roman" w:hAnsi="Times New Roman"/>
          <w:sz w:val="22"/>
          <w:szCs w:val="22"/>
          <w:color w:val="auto"/>
        </w:rPr>
        <w:t xml:space="preserve">. 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payment of expenses in advance of the final disposition of the Proceeding shall be made only upon receipt of 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jc w:val="both"/>
        <w:spacing w:after="0" w:line="258" w:lineRule="auto"/>
        <w:rPr>
          <w:sz w:val="20"/>
          <w:szCs w:val="20"/>
          <w:color w:val="auto"/>
        </w:rPr>
      </w:pPr>
      <w:r>
        <w:rPr>
          <w:rFonts w:ascii="Times New Roman" w:cs="Times New Roman" w:eastAsia="Times New Roman" w:hAnsi="Times New Roman"/>
          <w:sz w:val="22"/>
          <w:szCs w:val="22"/>
          <w:color w:val="auto"/>
        </w:rPr>
        <w:t>undertaking by the c</w:t>
      </w:r>
      <w:r>
        <w:rPr>
          <w:rFonts w:ascii="Times New Roman" w:cs="Times New Roman" w:eastAsia="Times New Roman" w:hAnsi="Times New Roman"/>
          <w:sz w:val="22"/>
          <w:szCs w:val="22"/>
          <w:u w:val="single" w:color="auto"/>
          <w:color w:val="auto"/>
        </w:rPr>
        <w:t>overed</w:t>
      </w:r>
      <w:r>
        <w:rPr>
          <w:rFonts w:ascii="Times New Roman" w:cs="Times New Roman" w:eastAsia="Times New Roman" w:hAnsi="Times New Roman"/>
          <w:sz w:val="22"/>
          <w:szCs w:val="22"/>
          <w:color w:val="auto"/>
        </w:rPr>
        <w:t xml:space="preserve"> person to repay all amounts advanced if it should be ultimately determined that the person is not entitled to be indemnified under this Article IX or otherwise.</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9.4 Determination; Claim</w:t>
      </w:r>
      <w:r>
        <w:rPr>
          <w:rFonts w:ascii="Times New Roman" w:cs="Times New Roman" w:eastAsia="Times New Roman" w:hAnsi="Times New Roman"/>
          <w:sz w:val="22"/>
          <w:szCs w:val="22"/>
          <w:color w:val="auto"/>
        </w:rPr>
        <w:t>. 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9.5 Non-Exclusivity of Rights</w:t>
      </w:r>
      <w:r>
        <w:rPr>
          <w:rFonts w:ascii="Times New Roman" w:cs="Times New Roman" w:eastAsia="Times New Roman" w:hAnsi="Times New Roman"/>
          <w:sz w:val="22"/>
          <w:szCs w:val="22"/>
          <w:color w:val="auto"/>
        </w:rPr>
        <w:t>. 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9.6 Insurance</w:t>
      </w:r>
      <w:r>
        <w:rPr>
          <w:rFonts w:ascii="Times New Roman" w:cs="Times New Roman" w:eastAsia="Times New Roman" w:hAnsi="Times New Roman"/>
          <w:sz w:val="22"/>
          <w:szCs w:val="22"/>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9.7 Other Indemnification</w:t>
      </w:r>
      <w:r>
        <w:rPr>
          <w:rFonts w:ascii="Times New Roman" w:cs="Times New Roman" w:eastAsia="Times New Roman" w:hAnsi="Times New Roman"/>
          <w:sz w:val="22"/>
          <w:szCs w:val="22"/>
          <w:color w:val="auto"/>
        </w:rPr>
        <w:t>.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u w:val="single" w:color="auto"/>
          <w:color w:val="auto"/>
        </w:rPr>
        <w:t>9.8 Continuation of Indemnification</w:t>
      </w:r>
      <w:r>
        <w:rPr>
          <w:rFonts w:ascii="Times New Roman" w:cs="Times New Roman" w:eastAsia="Times New Roman" w:hAnsi="Times New Roman"/>
          <w:sz w:val="21"/>
          <w:szCs w:val="21"/>
          <w:color w:val="auto"/>
        </w:rPr>
        <w:t>. 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5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9.9 Amendment or Repeal; Interpretation</w:t>
      </w:r>
      <w:r>
        <w:rPr>
          <w:rFonts w:ascii="Times New Roman" w:cs="Times New Roman" w:eastAsia="Times New Roman" w:hAnsi="Times New Roman"/>
          <w:sz w:val="22"/>
          <w:szCs w:val="22"/>
          <w:color w:val="auto"/>
        </w:rPr>
        <w:t>. 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jc w:val="both"/>
        <w:spacing w:after="0" w:line="236" w:lineRule="auto"/>
        <w:rPr>
          <w:sz w:val="20"/>
          <w:szCs w:val="20"/>
          <w:color w:val="auto"/>
        </w:rPr>
      </w:pPr>
      <w:r>
        <w:rPr>
          <w:rFonts w:ascii="Times New Roman" w:cs="Times New Roman" w:eastAsia="Times New Roman" w:hAnsi="Times New Roman"/>
          <w:sz w:val="22"/>
          <w:szCs w:val="22"/>
          <w:color w:val="auto"/>
        </w:rPr>
        <w:t>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1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FORUM SELECTION</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any action the subject matter of which is within the scope of clause (a) of Article X of the Certificate of Incorporation is filed in a court other than the courts in the State of Delaware (a “Foreign Action”) in the name of any stockholder, such stockholder shall be deemed to have consented to (x) the personal jurisdiction of the state and federal courts in the State of Delaware in connection with any action brought in any such court to enforce the provisions of clause (a) of Article X of the Certificate of Incorporation and (y) having service of process made upon such</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stockholder in any such action by service upon such stockholder’s counsel in the Foreign Action as agent for such stockholder.</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Article X of the Certificate of Incorporation and this Article XI of the bylaws are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17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 used in these bylaws, unless the context otherwise requires, the following terms shall have the following meanings: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electronic transmission</w:t>
      </w:r>
      <w:r>
        <w:rPr>
          <w:rFonts w:ascii="Times New Roman" w:cs="Times New Roman" w:eastAsia="Times New Roman" w:hAnsi="Times New Roman"/>
          <w:sz w:val="22"/>
          <w:szCs w:val="22"/>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electronic mail</w:t>
      </w:r>
      <w:r>
        <w:rPr>
          <w:rFonts w:ascii="Times New Roman" w:cs="Times New Roman" w:eastAsia="Times New Roman" w:hAnsi="Times New Roman"/>
          <w:sz w:val="22"/>
          <w:szCs w:val="22"/>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An “ </w:t>
      </w:r>
      <w:r>
        <w:rPr>
          <w:rFonts w:ascii="Times New Roman" w:cs="Times New Roman" w:eastAsia="Times New Roman" w:hAnsi="Times New Roman"/>
          <w:sz w:val="21"/>
          <w:szCs w:val="21"/>
          <w:u w:val="single" w:color="auto"/>
          <w:color w:val="auto"/>
        </w:rPr>
        <w:t>electronic mail address</w:t>
      </w:r>
      <w:r>
        <w:rPr>
          <w:rFonts w:ascii="Times New Roman" w:cs="Times New Roman" w:eastAsia="Times New Roman" w:hAnsi="Times New Roman"/>
          <w:sz w:val="21"/>
          <w:szCs w:val="21"/>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5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T. Curtis, certify that:</w:t>
      </w:r>
    </w:p>
    <w:p>
      <w:pPr>
        <w:spacing w:after="0" w:line="225"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LENSAR,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3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 Staab, II, certify that:</w:t>
      </w:r>
    </w:p>
    <w:p>
      <w:pPr>
        <w:spacing w:after="0" w:line="225"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LENSAR,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3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LENSAR, Inc. (the “Company”) for the quarterly period ended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47"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LENSAR, Inc. (the “Company”) for the quarterly period ended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2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47"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bullet"/>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lowerRoman"/>
      <w:start w:val="4"/>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1)"/>
      <w:numFmt w:val="lowerLetter"/>
      <w:start w:val="1"/>
    </w:lvl>
    <w:lvl w:ilvl="1">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lowerLetter"/>
      <w:start w:val="2"/>
    </w:lvl>
  </w:abstractNum>
  <w:abstractNum w:abstractNumId="38">
    <w:nsid w:val="4F4EF005"/>
    <w:multiLevelType w:val="hybridMultilevel"/>
    <w:lvl w:ilvl="0">
      <w:lvlJc w:val="left"/>
      <w:lvlText w:val="%1"/>
      <w:numFmt w:val="decimal"/>
      <w:start w:val="104"/>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lowerRoman"/>
      <w:start w:val="2"/>
    </w:lvl>
    <w:lvl w:ilvl="1">
      <w:lvlJc w:val="left"/>
      <w:lvlText w:val="(%2)"/>
      <w:numFmt w:val="lowerLetter"/>
      <w:start w:val="1"/>
    </w:lvl>
  </w:abstractNum>
  <w:abstractNum w:abstractNumId="41">
    <w:nsid w:val="275AC794"/>
    <w:multiLevelType w:val="hybridMultilevel"/>
    <w:lvl w:ilvl="0">
      <w:lvlJc w:val="left"/>
      <w:lvlText w:val="(%1)"/>
      <w:numFmt w:val="lowerLetter"/>
      <w:start w:val="2"/>
    </w:lvl>
    <w:lvl w:ilvl="1">
      <w:lvlJc w:val="left"/>
      <w:lvlText w:val="(%2)"/>
      <w:numFmt w:val="upperLetter"/>
      <w:start w:val="1"/>
    </w:lvl>
    <w:lvl w:ilvl="2">
      <w:lvlJc w:val="left"/>
      <w:lvlText w:val="(%3)"/>
      <w:numFmt w:val="decimal"/>
      <w:start w:val="1"/>
    </w:lvl>
    <w:lvl w:ilvl="3">
      <w:lvlJc w:val="left"/>
      <w:lvlText w:val="(%4)"/>
      <w:numFmt w:val="lowerLetter"/>
      <w:start w:val="24"/>
    </w:lvl>
  </w:abstractNum>
  <w:abstractNum w:abstractNumId="42">
    <w:nsid w:val="39386575"/>
    <w:multiLevelType w:val="hybridMultilevel"/>
    <w:lvl w:ilvl="0">
      <w:lvlJc w:val="left"/>
      <w:lvlText w:val="(%1)"/>
      <w:numFmt w:val="upperLetter"/>
      <w:start w:val="2"/>
    </w:lvl>
  </w:abstractNum>
  <w:abstractNum w:abstractNumId="43">
    <w:nsid w:val="1CF10FD8"/>
    <w:multiLevelType w:val="hybridMultilevel"/>
    <w:lvl w:ilvl="0">
      <w:lvlJc w:val="left"/>
      <w:lvlText w:val="%1"/>
      <w:numFmt w:val="lowerLetter"/>
      <w:start w:val="1"/>
    </w:lvl>
    <w:lvl w:ilvl="1">
      <w:lvlJc w:val="left"/>
      <w:lvlText w:val="(%2)"/>
      <w:numFmt w:val="upperLetter"/>
      <w:start w:val="6"/>
    </w:lvl>
  </w:abstractNum>
  <w:abstractNum w:abstractNumId="44">
    <w:nsid w:val="180115BE"/>
    <w:multiLevelType w:val="hybridMultilevel"/>
    <w:lvl w:ilvl="0">
      <w:lvlJc w:val="left"/>
      <w:lvlText w:val="(%1)"/>
      <w:numFmt w:val="lowerLetter"/>
      <w:start w:val="3"/>
    </w:lvl>
    <w:lvl w:ilvl="1">
      <w:lvlJc w:val="left"/>
      <w:lvlText w:val="%2"/>
      <w:numFmt w:val="upperLetter"/>
      <w:start w:val="1"/>
    </w:lvl>
  </w:abstractNum>
  <w:abstractNum w:abstractNumId="45">
    <w:nsid w:val="235BA861"/>
    <w:multiLevelType w:val="hybridMultilevel"/>
    <w:lvl w:ilvl="0">
      <w:lvlJc w:val="left"/>
      <w:lvlText w:val="(%1)"/>
      <w:numFmt w:val="lowerRoman"/>
      <w:start w:val="4"/>
    </w:lvl>
  </w:abstractNum>
  <w:abstractNum w:abstractNumId="46">
    <w:nsid w:val="47398C89"/>
    <w:multiLevelType w:val="hybridMultilevel"/>
    <w:lvl w:ilvl="0">
      <w:lvlJc w:val="left"/>
      <w:lvlText w:val="(%1)"/>
      <w:numFmt w:val="lowerRoman"/>
      <w:start w:val="8"/>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1"/>
    </w:lvl>
    <w:lvl w:ilvl="1">
      <w:lvlJc w:val="left"/>
      <w:lvlText w:val="(%2)"/>
      <w:numFmt w:val="lowerLetter"/>
      <w:start w:val="3"/>
    </w:lvl>
  </w:abstractNum>
  <w:abstractNum w:abstractNumId="49">
    <w:nsid w:val="741226BB"/>
    <w:multiLevelType w:val="hybridMultilevel"/>
    <w:lvl w:ilvl="0">
      <w:lvlJc w:val="left"/>
      <w:lvlText w:val="(%1)"/>
      <w:numFmt w:val="lowerLetter"/>
      <w:start w:val="35"/>
    </w:lvl>
    <w:lvl w:ilvl="1">
      <w:lvlJc w:val="left"/>
      <w:lvlText w:val="(%2)"/>
      <w:numFmt w:val="lowerLetter"/>
      <w:start w:val="1"/>
    </w:lvl>
  </w:abstractNum>
  <w:abstractNum w:abstractNumId="50">
    <w:nsid w:val="D34B6A8"/>
    <w:multiLevelType w:val="hybridMultilevel"/>
    <w:lvl w:ilvl="0">
      <w:lvlJc w:val="left"/>
      <w:lvlText w:val="(%1)"/>
      <w:numFmt w:val="lowerRoman"/>
      <w:start w:val="6"/>
    </w:lvl>
    <w:lvl w:ilvl="1">
      <w:lvlJc w:val="left"/>
      <w:lvlText w:val="(%2)"/>
      <w:numFmt w:val="lowerRoman"/>
      <w:start w:val="3"/>
    </w:lvl>
  </w:abstractNum>
  <w:abstractNum w:abstractNumId="51">
    <w:nsid w:val="10233C99"/>
    <w:multiLevelType w:val="hybridMultilevel"/>
    <w:lvl w:ilvl="0">
      <w:lvlJc w:val="left"/>
      <w:lvlText w:val="(%1)"/>
      <w:numFmt w:val="lowerRoman"/>
      <w:start w:val="1"/>
    </w:lvl>
  </w:abstractNum>
  <w:abstractNum w:abstractNumId="52">
    <w:nsid w:val="3F6AB60F"/>
    <w:multiLevelType w:val="hybridMultilevel"/>
    <w:lvl w:ilvl="0">
      <w:lvlJc w:val="left"/>
      <w:lvlText w:val="%1"/>
      <w:numFmt w:val="decimal"/>
      <w:start w:val="1"/>
    </w:lvl>
    <w:lvl w:ilvl="1">
      <w:lvlJc w:val="left"/>
      <w:lvlText w:val="(%2)"/>
      <w:numFmt w:val="lowerRoman"/>
      <w:start w:val="2"/>
    </w:lvl>
  </w:abstractNum>
  <w:abstractNum w:abstractNumId="53">
    <w:nsid w:val="61574095"/>
    <w:multiLevelType w:val="hybridMultilevel"/>
    <w:lvl w:ilvl="0">
      <w:lvlJc w:val="left"/>
      <w:lvlText w:val="(%1)"/>
      <w:numFmt w:val="decimal"/>
      <w:start w:val="5"/>
    </w:lvl>
    <w:lvl w:ilvl="1">
      <w:lvlJc w:val="left"/>
      <w:lvlText w:val="(%2)"/>
      <w:numFmt w:val="lowerRoman"/>
      <w:start w:val="3"/>
    </w:lvl>
  </w:abstractNum>
  <w:abstractNum w:abstractNumId="54">
    <w:nsid w:val="7E0C57B1"/>
    <w:multiLevelType w:val="hybridMultilevel"/>
    <w:lvl w:ilvl="0">
      <w:lvlJc w:val="left"/>
      <w:lvlText w:val="(%1)"/>
      <w:numFmt w:val="decimal"/>
      <w:start w:val="10"/>
    </w:lvl>
    <w:lvl w:ilvl="1">
      <w:lvlJc w:val="left"/>
      <w:lvlText w:val="(%2)"/>
      <w:numFmt w:val="lowerRoman"/>
      <w:start w:val="4"/>
    </w:lvl>
  </w:abstractNum>
  <w:abstractNum w:abstractNumId="55">
    <w:nsid w:val="77AE35EB"/>
    <w:multiLevelType w:val="hybridMultilevel"/>
    <w:lvl w:ilvl="0">
      <w:lvlJc w:val="left"/>
      <w:lvlText w:val="(%1)"/>
      <w:numFmt w:val="lowerRoman"/>
      <w:start w:val="5"/>
    </w:lvl>
  </w:abstractNum>
  <w:abstractNum w:abstractNumId="56">
    <w:nsid w:val="579BE4F1"/>
    <w:multiLevelType w:val="hybridMultilevel"/>
    <w:lvl w:ilvl="0">
      <w:lvlJc w:val="left"/>
      <w:lvlText w:val="(%1)"/>
      <w:numFmt w:val="lowerRoman"/>
      <w:start w:val="1"/>
    </w:lvl>
  </w:abstractNum>
  <w:abstractNum w:abstractNumId="57">
    <w:nsid w:val="310C50B3"/>
    <w:multiLevelType w:val="hybridMultilevel"/>
    <w:lvl w:ilvl="0">
      <w:lvlJc w:val="left"/>
      <w:lvlText w:val="(%1)"/>
      <w:numFmt w:val="lowerRoman"/>
      <w:start w:val="1"/>
    </w:lvl>
  </w:abstractNum>
  <w:abstractNum w:abstractNumId="58">
    <w:nsid w:val="5FF87E05"/>
    <w:multiLevelType w:val="hybridMultilevel"/>
    <w:lvl w:ilvl="0">
      <w:lvlJc w:val="left"/>
      <w:lvlText w:val="(%1)"/>
      <w:numFmt w:val="lowerRoman"/>
      <w:start w:val="3"/>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lowerRoman"/>
      <w:start w:val="1"/>
    </w:lvl>
  </w:abstractNum>
  <w:abstractNum w:abstractNumId="61">
    <w:nsid w:val="1DBABF00"/>
    <w:multiLevelType w:val="hybridMultilevel"/>
    <w:lvl w:ilvl="0">
      <w:lvlJc w:val="left"/>
      <w:lvlText w:val="(%1)"/>
      <w:numFmt w:val="lowerRoman"/>
      <w:start w:val="1"/>
    </w:lvl>
  </w:abstractNum>
  <w:abstractNum w:abstractNumId="62">
    <w:nsid w:val="4AD084E9"/>
    <w:multiLevelType w:val="hybridMultilevel"/>
    <w:lvl w:ilvl="0">
      <w:lvlJc w:val="left"/>
      <w:lvlText w:val="(%1)"/>
      <w:numFmt w:val="lowerRoman"/>
      <w:start w:val="3"/>
    </w:lvl>
  </w:abstractNum>
  <w:abstractNum w:abstractNumId="63">
    <w:nsid w:val="1F48EAA1"/>
    <w:multiLevelType w:val="hybridMultilevel"/>
    <w:lvl w:ilvl="0">
      <w:lvlJc w:val="left"/>
      <w:lvlText w:val="(%1)"/>
      <w:numFmt w:val="lowerRoman"/>
      <w:start w:val="1"/>
    </w:lvl>
  </w:abstractNum>
  <w:abstractNum w:abstractNumId="64">
    <w:nsid w:val="1381823A"/>
    <w:multiLevelType w:val="hybridMultilevel"/>
    <w:lvl w:ilvl="0">
      <w:lvlJc w:val="left"/>
      <w:lvlText w:val="(%1)"/>
      <w:numFmt w:val="lowerRoman"/>
      <w:start w:val="1"/>
    </w:lvl>
  </w:abstractNum>
  <w:abstractNum w:abstractNumId="65">
    <w:nsid w:val="5DB70AE5"/>
    <w:multiLevelType w:val="hybridMultilevel"/>
    <w:lvl w:ilvl="0">
      <w:lvlJc w:val="left"/>
      <w:lvlText w:val="(%1)"/>
      <w:numFmt w:val="lowerRoman"/>
      <w:start w:val="2"/>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25" Type="http://schemas.openxmlformats.org/officeDocument/2006/relationships/hyperlink" Target="https://www.sec.gov/Archives/edgar/data/1320350/000119312520262511/d98252dex21.htm" TargetMode="External"/><Relationship Id="rId326" Type="http://schemas.openxmlformats.org/officeDocument/2006/relationships/hyperlink" Target="https://www.sec.gov/Archives/edgar/data/1320350/000119312520262511/d98252dex31.htm" TargetMode="External"/><Relationship Id="rId327" Type="http://schemas.openxmlformats.org/officeDocument/2006/relationships/hyperlink" Target="https://www.sec.gov/Archives/edgar/data/1320350/000119312523148214/d487803dex31.htm" TargetMode="External"/><Relationship Id="rId328" Type="http://schemas.openxmlformats.org/officeDocument/2006/relationships/hyperlink" Target="https://www.sec.gov/Archives/edgar/data/1320350/000119312520245277/d945311dex41.htm" TargetMode="External"/><Relationship Id="rId329" Type="http://schemas.openxmlformats.org/officeDocument/2006/relationships/hyperlink" Target="https://www.sec.gov/Archives/edgar/data/1320350/000119312523144213/d510326dex102.htm" TargetMode="External"/><Relationship Id="rId330" Type="http://schemas.openxmlformats.org/officeDocument/2006/relationships/hyperlink" Target="https://www.sec.gov/Archives/edgar/data/1320350/000119312523148214/d487803dex41.htm" TargetMode="External"/><Relationship Id="rId331" Type="http://schemas.openxmlformats.org/officeDocument/2006/relationships/hyperlink" Target="https://www.sec.gov/Archives/edgar/data/1320350/000119312523148214/d48780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2024-11-07T16:54:51Z</dcterms:created>
  <dcterms:modified xsi:type="dcterms:W3CDTF">2024-11-07T16:54:51Z</dcterms:modified>
</cp:coreProperties>
</file>