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nsr-20240630.htm"/>
      <w:bookmarkStart w:id="1" w:name="kslnsr20240630"/>
      <w:bookmarkEnd w:id="0"/>
      <w:bookmarkEnd w:id="1"/>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UNITED STATES</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SECURITIES AND EXCHANGE COMMISSION</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Washington, D.C. 20549</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w:t>
      </w:r>
      <w:r>
        <w:rPr>
          <w:rFonts w:ascii="Times New Roman" w:hAnsi="Times New Roman"/>
          <w:color w:val="000000"/>
          <w:sz w:val="20"/>
        </w:rPr>
        <w:t xml:space="preserve"> </w:t>
      </w:r>
      <w:r>
        <w:rPr>
          <w:rFonts w:ascii="Times New Roman" w:hAnsi="Times New Roman"/>
          <w:b/>
          <w:color w:val="000000"/>
          <w:sz w:val="20"/>
        </w:rPr>
        <w:t>2024</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001-39473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LENSAR,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7997" w:type="dxa"/>
        <w:jc w:val="left"/>
        <w:tblInd w:w="0" w:type="dxa"/>
        <w:tblLayout w:type="fixed"/>
        <w:tblCellMar>
          <w:top w:w="28" w:type="dxa"/>
          <w:left w:w="28" w:type="dxa"/>
          <w:bottom w:w="28" w:type="dxa"/>
          <w:right w:w="28" w:type="dxa"/>
        </w:tblCellMar>
      </w:tblPr>
      <w:tblGrid>
        <w:gridCol w:w="496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0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32-0125724</w:t>
            </w:r>
          </w:p>
        </w:tc>
      </w:tr>
      <w:tr>
        <w:trPr/>
        <w:tc>
          <w:tcPr>
            <w:tcW w:w="49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30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2800 Discovery Drive</w:t>
      </w:r>
    </w:p>
    <w:p>
      <w:pPr>
        <w:pStyle w:val="TextBody"/>
        <w:bidi w:val="0"/>
        <w:jc w:val="center"/>
        <w:rPr>
          <w:rFonts w:ascii="Times New Roman" w:hAnsi="Times New Roman"/>
          <w:sz w:val="20"/>
        </w:rPr>
      </w:pPr>
      <w:r>
        <w:rPr>
          <w:rFonts w:ascii="Times New Roman" w:hAnsi="Times New Roman"/>
          <w:b/>
          <w:color w:val="000000"/>
          <w:sz w:val="20"/>
        </w:rPr>
        <w:t>Orlando, Florida</w:t>
      </w:r>
      <w:r>
        <w:rPr>
          <w:rFonts w:ascii="Times New Roman" w:hAnsi="Times New Roman"/>
          <w:color w:val="000000"/>
          <w:sz w:val="20"/>
        </w:rPr>
        <w:t xml:space="preserve"> </w:t>
      </w:r>
      <w:r>
        <w:rPr>
          <w:rFonts w:ascii="Times New Roman" w:hAnsi="Times New Roman"/>
          <w:b/>
          <w:color w:val="000000"/>
          <w:sz w:val="20"/>
        </w:rPr>
        <w:t>32826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and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(888) 536-7271</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9310" w:type="dxa"/>
        <w:jc w:val="left"/>
        <w:tblInd w:w="0" w:type="dxa"/>
        <w:tblLayout w:type="fixed"/>
        <w:tblCellMar>
          <w:top w:w="28" w:type="dxa"/>
          <w:left w:w="28" w:type="dxa"/>
          <w:bottom w:w="28" w:type="dxa"/>
          <w:right w:w="28" w:type="dxa"/>
        </w:tblCellMar>
      </w:tblPr>
      <w:tblGrid>
        <w:gridCol w:w="3496"/>
        <w:gridCol w:w="146"/>
        <w:gridCol w:w="169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vAlign w:val="center"/>
          </w:tcPr>
          <w:p>
            <w:pPr>
              <w:pStyle w:val="TableContents"/>
              <w:bidi w:val="0"/>
              <w:spacing w:before="0" w:after="283"/>
              <w:jc w:val="center"/>
              <w:rPr/>
            </w:pPr>
            <w:r>
              <w:rPr/>
              <w:t> </w:t>
            </w:r>
          </w:p>
        </w:tc>
        <w:tc>
          <w:tcPr>
            <w:tcW w:w="16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LNSR</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center"/>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center"/>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center"/>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July 31, 2024, there were 11,608,415 shares of the registrant’s Common Stock outstanding.</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1"/>
        <w:gridCol w:w="8882"/>
        <w:gridCol w:w="542"/>
      </w:tblGrid>
      <w:tr>
        <w:trPr/>
        <w:tc>
          <w:tcPr>
            <w:tcW w:w="781" w:type="dxa"/>
            <w:tcBorders/>
            <w:vAlign w:val="center"/>
          </w:tcPr>
          <w:p>
            <w:pPr>
              <w:pStyle w:val="TableContents"/>
              <w:bidi w:val="0"/>
              <w:spacing w:before="0" w:after="283"/>
              <w:jc w:val="left"/>
              <w:rPr>
                <w:sz w:val="4"/>
                <w:szCs w:val="4"/>
              </w:rPr>
            </w:pPr>
            <w:r>
              <w:rPr>
                <w:sz w:val="4"/>
                <w:szCs w:val="4"/>
              </w:rPr>
            </w:r>
          </w:p>
        </w:tc>
        <w:tc>
          <w:tcPr>
            <w:tcW w:w="88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Page</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54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283"/>
              <w:jc w:val="left"/>
              <w:rPr/>
            </w:pPr>
            <w:hyperlink w:anchor="risk_factor_summary">
              <w:r>
                <w:rPr>
                  <w:rStyle w:val="InternetLink"/>
                  <w:rFonts w:ascii="Times New Roman" w:hAnsi="Times New Roman"/>
                  <w:color w:val="0000FF"/>
                  <w:sz w:val="20"/>
                  <w:u w:val="single"/>
                </w:rPr>
                <w:t>Risk Factor Summary</w:t>
              </w:r>
            </w:hyperlink>
          </w:p>
        </w:tc>
        <w:tc>
          <w:tcPr>
            <w:tcW w:w="54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p>
        </w:tc>
        <w:tc>
          <w:tcPr>
            <w:tcW w:w="54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Condensed Statements of Operations and Comprehensive Loss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Condensed Statements of Cash Flows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condensed_statements_changes_in_stockhol">
              <w:r>
                <w:rPr>
                  <w:rStyle w:val="InternetLink"/>
                  <w:rFonts w:ascii="Times New Roman" w:hAnsi="Times New Roman"/>
                  <w:color w:val="0000FF"/>
                  <w:sz w:val="20"/>
                  <w:u w:val="single"/>
                </w:rPr>
                <w:t>Condensed Statements of Changes in Redeemable Convertible Preferred Stock and Stockholders’ Equity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note_1_overview_basis_presentation">
              <w:r>
                <w:rPr>
                  <w:rStyle w:val="InternetLink"/>
                  <w:rFonts w:ascii="Times New Roman" w:hAnsi="Times New Roman"/>
                  <w:color w:val="0000FF"/>
                  <w:sz w:val="20"/>
                  <w:u w:val="single"/>
                </w:rPr>
                <w:t>Notes to the Condensed Financial Statements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 – OTHER INFORMATION</w:t>
              </w:r>
            </w:hyperlink>
          </w:p>
        </w:tc>
        <w:tc>
          <w:tcPr>
            <w:tcW w:w="54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Item 1.</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Item 1A.</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2_unregistered_sales">
              <w:r>
                <w:rPr>
                  <w:rStyle w:val="InternetLink"/>
                  <w:rFonts w:ascii="Times New Roman" w:hAnsi="Times New Roman"/>
                  <w:color w:val="0000FF"/>
                  <w:sz w:val="20"/>
                  <w:u w:val="single"/>
                </w:rPr>
                <w:t>Item 2.</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2_unregistered_sales">
              <w:r>
                <w:rPr>
                  <w:rStyle w:val="InternetLink"/>
                  <w:rFonts w:ascii="Times New Roman" w:hAnsi="Times New Roman"/>
                  <w:color w:val="0000FF"/>
                  <w:sz w:val="20"/>
                  <w:u w:val="single"/>
                </w:rPr>
                <w:t>Unregistered Sales of Equity Securities and Use of Proceeds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3_defaults_upon_senior">
              <w:r>
                <w:rPr>
                  <w:rStyle w:val="InternetLink"/>
                  <w:rFonts w:ascii="Times New Roman" w:hAnsi="Times New Roman"/>
                  <w:color w:val="0000FF"/>
                  <w:sz w:val="20"/>
                  <w:u w:val="single"/>
                </w:rPr>
                <w:t>Item 3.</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3_defaults_upon_senior">
              <w:r>
                <w:rPr>
                  <w:rStyle w:val="InternetLink"/>
                  <w:rFonts w:ascii="Times New Roman" w:hAnsi="Times New Roman"/>
                  <w:color w:val="0000FF"/>
                  <w:sz w:val="20"/>
                  <w:u w:val="single"/>
                </w:rPr>
                <w:t>Defaults Upon Senior Securities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Item 4.</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Item 5.</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spacing w:before="200" w:after="283"/>
        <w:jc w:val="both"/>
        <w:rPr>
          <w:rFonts w:ascii="Times New Roman" w:hAnsi="Times New Roman"/>
          <w:sz w:val="20"/>
        </w:rPr>
      </w:pPr>
      <w:r>
        <w:rPr>
          <w:rFonts w:ascii="Times New Roman" w:hAnsi="Times New Roman"/>
          <w:color w:val="000000"/>
          <w:sz w:val="20"/>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w:t>
      </w:r>
      <w:r>
        <w:rPr>
          <w:rFonts w:ascii="Times New Roman" w:hAnsi="Times New Roman"/>
          <w:color w:val="000000"/>
          <w:sz w:val="13"/>
        </w:rPr>
        <w:t>®</w:t>
      </w:r>
      <w:r>
        <w:rPr>
          <w:rFonts w:ascii="Times New Roman" w:hAnsi="Times New Roman"/>
          <w:color w:val="000000"/>
          <w:sz w:val="20"/>
        </w:rPr>
        <w:t xml:space="preserve"> Adaptive Cataract Treatment System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history of operating losses and ability to achieve or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receive and maintain regulatory clearance or certification of and successfully commercialize the ALLY System and to maintain our LENSAR Laser System (“LLS”) (collectively the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results of operations and our suppliers and distributors as a result of global macroeconomic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patients to pay the price difference for our products compared to a standard cataract procedure covered by Medicare or other insurance;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grow our U.S. sales and marketing organization or maintain or grow an effective network of international distributors;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capital needs and our ability to raise additional funds on acceptable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as a result of a material disruption to the supply or manufacture of our Systems or necessary component parts for such Systems or material inflationary pressures affecting pricing of component parts;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against competitors that have longer operating histories, more established products and greater resources than we do;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address the numerous risks associated with marketing, selling and leasing our products in markets outside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as a result of exposure to the credit risk of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accurately forecast customer demand and our inventory levels;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if we are unable to secure adequate coverage or reimbursement by government or other third-party payors for procedures using our ALLY System or our other products, or changes in such coverage or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of product liability suits brought against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government regulation applicable to our products and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our intellectual property and other intellectual property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stated or the context requires otherwise, references to “LENSAR,” the “Company,” “we,” “us,” and “our,” refer to LENSAR,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or have registered rights to certain trademarks, trade names, copyrights and other intellectual property used in our business, including LENSAR, the LENSAR logo, STREAMLINE, INTELLIAXIS, INTELLIAXIS REFRACTIVE CAPSULORHEXIS, ALLY Adaptive Cataract Treatment System, and the ALLY Adaptive Cataract Treatment System logo, each of which is considered a trademark. All other company names, product names, trade names and trademarks included in this Quarterly Report are trademarks, registered trademarks or trade names of their respective owners.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risk_factor_summary"/>
      <w:bookmarkEnd w:id="3"/>
      <w:r>
        <w:rPr>
          <w:rFonts w:ascii="Times New Roman" w:hAnsi="Times New Roman"/>
          <w:b/>
          <w:color w:val="000000"/>
          <w:sz w:val="20"/>
        </w:rPr>
        <w:t>RISK FACTOR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results have been in the past, and could be in the future, adversely affected by economic uncertainty or deteriorations in economic conditions.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incur operating losses for the near-term future and we cannot assure you that we will be able to generate sufficient revenue to achieve or sustain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growth depends on our ability to gain regulatory clearances and certifications, as well as our ability to meet production goals for our ALLY System.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needs are uncertain and we may need to raise additional funds in the future, and such funds may not be available on acceptable terms or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compete, and expect to compete in the future against other companies, some of which have longer operating histories, more established products or greater resources than we do.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successfully market, sell and lease our products in markets outside of the United States, we must address many international business risks with which we have limited experience.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and operations are subject to extensive government regulation and oversight both in the United States and abroad, and our failure to comply with applicable requirements could harm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receive, or may be delayed in receiving, the necessary clearances, certifications or approvals for our future products, or modifications to our current products, and failure to timely obtain necessary clearances, certifications or approvals for our ALLY System and future products or modifications to our current products would adversely affect our ability to grow our business.</w:t>
      </w:r>
    </w:p>
    <w:p>
      <w:pPr>
        <w:pStyle w:val="TextBody"/>
        <w:bidi w:val="0"/>
        <w:spacing w:before="200" w:after="160"/>
        <w:jc w:val="both"/>
        <w:rPr>
          <w:color w:val="000000"/>
        </w:rPr>
      </w:pPr>
      <w:r>
        <w:rPr>
          <w:color w:val="000000"/>
        </w:rPr>
        <w: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Our success will depend on our ability to obtain, maintain and protect our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 – FINANCIAL INFORMATION</w:t>
      </w:r>
    </w:p>
    <w:p>
      <w:pPr>
        <w:pStyle w:val="TextBody"/>
        <w:bidi w:val="0"/>
        <w:spacing w:before="36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6" w:name="statements_operations"/>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24"/>
        <w:gridCol w:w="146"/>
        <w:gridCol w:w="196"/>
        <w:gridCol w:w="601"/>
        <w:gridCol w:w="166"/>
        <w:gridCol w:w="146"/>
        <w:gridCol w:w="196"/>
        <w:gridCol w:w="601"/>
        <w:gridCol w:w="166"/>
        <w:gridCol w:w="146"/>
        <w:gridCol w:w="196"/>
        <w:gridCol w:w="661"/>
        <w:gridCol w:w="166"/>
        <w:gridCol w:w="146"/>
        <w:gridCol w:w="196"/>
        <w:gridCol w:w="661"/>
        <w:gridCol w:w="591"/>
      </w:tblGrid>
      <w:tr>
        <w:trPr/>
        <w:tc>
          <w:tcPr>
            <w:tcW w:w="5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 (exclusive of amortization)</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Impairment of intangible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(7,228</w:t>
            </w:r>
          </w:p>
        </w:tc>
        <w:tc>
          <w:tcPr>
            <w:tcW w:w="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(expense) income</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52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(5,997</w:t>
            </w:r>
          </w:p>
        </w:tc>
        <w:tc>
          <w:tcPr>
            <w:tcW w:w="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(13,025</w:t>
            </w:r>
          </w:p>
        </w:tc>
        <w:tc>
          <w:tcPr>
            <w:tcW w:w="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52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unrealized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comprehensive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per common share:</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Weighted-average number of common shares used in calculation of net loss per share:</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7" w:name="balance_sheets"/>
      <w:bookmarkEnd w:id="7"/>
      <w:r>
        <w:rPr>
          <w:rFonts w:ascii="Times New Roman" w:hAnsi="Times New Roman"/>
          <w:b/>
          <w:color w:val="000000"/>
          <w:sz w:val="20"/>
        </w:rPr>
        <w:t>CONDENSED BALANCE</w:t>
      </w:r>
      <w:r>
        <w:rPr>
          <w:rFonts w:ascii="Times New Roman" w:hAnsi="Times New Roman"/>
          <w:color w:val="000000"/>
          <w:sz w:val="20"/>
        </w:rPr>
        <w:t xml:space="preserve"> </w:t>
      </w:r>
      <w:r>
        <w:rPr>
          <w:rFonts w:ascii="Times New Roman" w:hAnsi="Times New Roman"/>
          <w:b/>
          <w:color w:val="000000"/>
          <w:sz w:val="20"/>
        </w:rPr>
        <w:t>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13"/>
        <w:gridCol w:w="146"/>
        <w:gridCol w:w="214"/>
        <w:gridCol w:w="854"/>
        <w:gridCol w:w="166"/>
        <w:gridCol w:w="146"/>
        <w:gridCol w:w="231"/>
        <w:gridCol w:w="922"/>
        <w:gridCol w:w="613"/>
      </w:tblGrid>
      <w:tr>
        <w:trPr/>
        <w:tc>
          <w:tcPr>
            <w:tcW w:w="6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3"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3"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20,621</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of $56 and $62, respectively</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receivable, net of allowance of $7 and $7, respectively</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46,444</w:t>
            </w:r>
          </w:p>
        </w:tc>
        <w:tc>
          <w:tcPr>
            <w:tcW w:w="613" w:type="dxa"/>
            <w:tcBorders/>
            <w:shd w:fill="CFF0FC" w:val="clear"/>
            <w:vAlign w:val="center"/>
          </w:tcPr>
          <w:p>
            <w:pPr>
              <w:pStyle w:val="TableContents"/>
              <w:bidi w:val="0"/>
              <w:spacing w:before="0" w:after="283"/>
              <w:jc w:val="lef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613" w:type="dxa"/>
            <w:tcBorders/>
            <w:shd w:fill="FFFFFF" w:val="clear"/>
            <w:vAlign w:val="center"/>
          </w:tcPr>
          <w:p>
            <w:pPr>
              <w:pStyle w:val="TableContents"/>
              <w:bidi w:val="0"/>
              <w:spacing w:before="0" w:after="283"/>
              <w:jc w:val="left"/>
              <w:rPr/>
            </w:pPr>
            <w:r>
              <w:rPr/>
              <w:t> </w:t>
            </w:r>
          </w:p>
        </w:tc>
      </w:tr>
      <w:tr>
        <w:trPr/>
        <w:tc>
          <w:tcPr>
            <w:tcW w:w="69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under lease, net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7,459</w:t>
            </w:r>
          </w:p>
        </w:tc>
        <w:tc>
          <w:tcPr>
            <w:tcW w:w="613" w:type="dxa"/>
            <w:tcBorders/>
            <w:shd w:fill="CFF0FC" w:val="clear"/>
            <w:vAlign w:val="center"/>
          </w:tcPr>
          <w:p>
            <w:pPr>
              <w:pStyle w:val="TableContents"/>
              <w:bidi w:val="0"/>
              <w:spacing w:before="0" w:after="283"/>
              <w:jc w:val="lef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613" w:type="dxa"/>
            <w:tcBorders/>
            <w:shd w:fill="FFFFFF" w:val="clear"/>
            <w:vAlign w:val="center"/>
          </w:tcPr>
          <w:p>
            <w:pPr>
              <w:pStyle w:val="TableContents"/>
              <w:bidi w:val="0"/>
              <w:spacing w:before="0" w:after="283"/>
              <w:jc w:val="left"/>
              <w:rPr/>
            </w:pPr>
            <w:r>
              <w:rPr/>
              <w:t> </w:t>
            </w:r>
          </w:p>
        </w:tc>
      </w:tr>
      <w:tr>
        <w:trPr/>
        <w:tc>
          <w:tcPr>
            <w:tcW w:w="69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 of allowance of $22 and $26, respectively</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613" w:type="dxa"/>
            <w:tcBorders/>
            <w:shd w:fill="CFF0FC" w:val="clear"/>
            <w:vAlign w:val="center"/>
          </w:tcPr>
          <w:p>
            <w:pPr>
              <w:pStyle w:val="TableContents"/>
              <w:bidi w:val="0"/>
              <w:spacing w:before="0" w:after="283"/>
              <w:jc w:val="lef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w:t>
            </w:r>
          </w:p>
        </w:tc>
        <w:tc>
          <w:tcPr>
            <w:tcW w:w="613" w:type="dxa"/>
            <w:tcBorders/>
            <w:shd w:fill="FFFFFF" w:val="clear"/>
            <w:vAlign w:val="center"/>
          </w:tcPr>
          <w:p>
            <w:pPr>
              <w:pStyle w:val="TableContents"/>
              <w:bidi w:val="0"/>
              <w:spacing w:before="0" w:after="283"/>
              <w:jc w:val="left"/>
              <w:rPr/>
            </w:pPr>
            <w:r>
              <w:rPr/>
              <w:t> </w:t>
            </w:r>
          </w:p>
        </w:tc>
      </w:tr>
      <w:tr>
        <w:trPr/>
        <w:tc>
          <w:tcPr>
            <w:tcW w:w="69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equity</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3"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3"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11,632</w:t>
            </w:r>
          </w:p>
        </w:tc>
        <w:tc>
          <w:tcPr>
            <w:tcW w:w="613" w:type="dxa"/>
            <w:tcBorders/>
            <w:shd w:fill="CFF0FC" w:val="clear"/>
            <w:vAlign w:val="center"/>
          </w:tcPr>
          <w:p>
            <w:pPr>
              <w:pStyle w:val="TableContents"/>
              <w:bidi w:val="0"/>
              <w:spacing w:before="0" w:after="283"/>
              <w:jc w:val="lef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613" w:type="dxa"/>
            <w:tcBorders/>
            <w:shd w:fill="FFFFFF" w:val="clear"/>
            <w:vAlign w:val="center"/>
          </w:tcPr>
          <w:p>
            <w:pPr>
              <w:pStyle w:val="TableContents"/>
              <w:bidi w:val="0"/>
              <w:spacing w:before="0" w:after="283"/>
              <w:jc w:val="left"/>
              <w:rPr/>
            </w:pPr>
            <w:r>
              <w:rPr/>
              <w:t> </w:t>
            </w:r>
          </w:p>
        </w:tc>
      </w:tr>
      <w:tr>
        <w:trPr/>
        <w:tc>
          <w:tcPr>
            <w:tcW w:w="69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613" w:type="dxa"/>
            <w:tcBorders/>
            <w:shd w:fill="CFF0FC" w:val="clear"/>
            <w:vAlign w:val="center"/>
          </w:tcPr>
          <w:p>
            <w:pPr>
              <w:pStyle w:val="TableContents"/>
              <w:bidi w:val="0"/>
              <w:spacing w:before="0" w:after="283"/>
              <w:jc w:val="lef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3"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9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par value $0.01 per share, 20 shares authorized at June 30, 2024 and December 31, 2023; 20 shares issued and outstanding at June 30, 2024 and December 31, 2023; aggregate liquidation preference of $20,000 at June 30, 2024 and December 31, 2023</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613" w:type="dxa"/>
            <w:tcBorders/>
            <w:shd w:fill="CFF0FC" w:val="clear"/>
            <w:vAlign w:val="center"/>
          </w:tcPr>
          <w:p>
            <w:pPr>
              <w:pStyle w:val="TableContents"/>
              <w:bidi w:val="0"/>
              <w:spacing w:before="0" w:after="283"/>
              <w:jc w:val="lef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3"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par value $0.01 per share, 9,980 shares authorized at June 30, 2024 and December 31, 2023; no shares issued and outstanding at June 30, 2024 and December 31, 2023</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$0.01 per share, 150,000 shares authorized at June 30, 2024 and December 31, 2023; 11,544 and 11,327 shares issued and outstanding at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145,203</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equity</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69,585</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8" w:name="statements_cash_flows"/>
      <w:bookmarkEnd w:id="8"/>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42"/>
        <w:gridCol w:w="146"/>
        <w:gridCol w:w="211"/>
        <w:gridCol w:w="736"/>
        <w:gridCol w:w="166"/>
        <w:gridCol w:w="146"/>
        <w:gridCol w:w="211"/>
        <w:gridCol w:w="736"/>
        <w:gridCol w:w="61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shd w:fill="FFFFFF" w:val="clear"/>
            <w:vAlign w:val="center"/>
          </w:tcPr>
          <w:p>
            <w:pPr>
              <w:pStyle w:val="TableContents"/>
              <w:bidi w:val="0"/>
              <w:spacing w:before="0" w:after="283"/>
              <w:jc w:val="center"/>
              <w:rPr/>
            </w:pPr>
            <w:r>
              <w:rPr/>
              <w:t> </w:t>
            </w:r>
          </w:p>
        </w:tc>
      </w:tr>
      <w:tr>
        <w:trPr/>
        <w:tc>
          <w:tcPr>
            <w:tcW w:w="72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operating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Write-down of 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on investments,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maturities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through option exercises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settlement of stock-based compensation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redeemable convertible preferred stock, net of offering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accrued offering costs allocable to preferred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611" w:type="dxa"/>
            <w:tcBorders/>
            <w:shd w:fill="CFF0FC" w:val="clear"/>
            <w:vAlign w:val="center"/>
          </w:tcPr>
          <w:p>
            <w:pPr>
              <w:pStyle w:val="TableContents"/>
              <w:bidi w:val="0"/>
              <w:spacing w:before="0" w:after="283"/>
              <w:jc w:val="left"/>
              <w:rPr/>
            </w:pPr>
            <w:r>
              <w:rPr/>
              <w:t> </w:t>
            </w:r>
          </w:p>
        </w:tc>
      </w:tr>
      <w:tr>
        <w:trPr/>
        <w:tc>
          <w:tcPr>
            <w:tcW w:w="7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CASH FLOWS, continued</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179" w:type="dxa"/>
        <w:jc w:val="left"/>
        <w:tblInd w:w="0" w:type="dxa"/>
        <w:tblLayout w:type="fixed"/>
        <w:tblCellMar>
          <w:top w:w="28" w:type="dxa"/>
          <w:left w:w="28" w:type="dxa"/>
          <w:bottom w:w="28" w:type="dxa"/>
          <w:right w:w="28" w:type="dxa"/>
        </w:tblCellMar>
      </w:tblPr>
      <w:tblGrid>
        <w:gridCol w:w="5866"/>
        <w:gridCol w:w="146"/>
        <w:gridCol w:w="211"/>
        <w:gridCol w:w="571"/>
        <w:gridCol w:w="146"/>
        <w:gridCol w:w="146"/>
        <w:gridCol w:w="211"/>
        <w:gridCol w:w="571"/>
        <w:gridCol w:w="3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58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paid for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86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58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58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Transfer from Inventories to Equipment under lease,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8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Transfer from (to) Inventories to (from) 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offering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The accompanying notes are an integral part of these </w:t>
      </w:r>
      <w:r>
        <w:rPr>
          <w:rFonts w:ascii="Times New Roman" w:hAnsi="Times New Roman"/>
          <w:color w:val="231F20"/>
          <w:sz w:val="20"/>
        </w:rPr>
        <w:t>condensed</w:t>
      </w:r>
      <w:r>
        <w:rPr>
          <w:rFonts w:ascii="Times New Roman" w:hAnsi="Times New Roman"/>
          <w:color w:val="000000"/>
          <w:sz w:val="20"/>
        </w:rPr>
        <w:t xml:space="preserv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bookmarkStart w:id="9" w:name="condensed_statements_changes_in_stockhol"/>
      <w:bookmarkEnd w:id="9"/>
      <w:r>
        <w:rPr>
          <w:rFonts w:ascii="Times New Roman" w:hAnsi="Times New Roman"/>
          <w:b/>
          <w:color w:val="000000"/>
          <w:sz w:val="20"/>
        </w:rPr>
        <w:t>CONDENSED STATEMENTS OF CHANGES IN REDEEMABLE CONVERTIBLE PREFERRED STOCK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1150" w:type="dxa"/>
        <w:jc w:val="left"/>
        <w:tblInd w:w="0" w:type="dxa"/>
        <w:tblLayout w:type="fixed"/>
        <w:tblCellMar>
          <w:top w:w="28" w:type="dxa"/>
          <w:left w:w="28" w:type="dxa"/>
          <w:bottom w:w="28" w:type="dxa"/>
          <w:right w:w="28" w:type="dxa"/>
        </w:tblCellMar>
      </w:tblPr>
      <w:tblGrid>
        <w:gridCol w:w="1261"/>
        <w:gridCol w:w="146"/>
        <w:gridCol w:w="173"/>
        <w:gridCol w:w="413"/>
        <w:gridCol w:w="146"/>
        <w:gridCol w:w="146"/>
        <w:gridCol w:w="211"/>
        <w:gridCol w:w="676"/>
        <w:gridCol w:w="146"/>
        <w:gridCol w:w="146"/>
        <w:gridCol w:w="146"/>
        <w:gridCol w:w="146"/>
        <w:gridCol w:w="676"/>
        <w:gridCol w:w="146"/>
        <w:gridCol w:w="146"/>
        <w:gridCol w:w="230"/>
        <w:gridCol w:w="461"/>
        <w:gridCol w:w="146"/>
        <w:gridCol w:w="146"/>
        <w:gridCol w:w="211"/>
        <w:gridCol w:w="781"/>
        <w:gridCol w:w="166"/>
        <w:gridCol w:w="146"/>
        <w:gridCol w:w="211"/>
        <w:gridCol w:w="841"/>
        <w:gridCol w:w="166"/>
        <w:gridCol w:w="146"/>
        <w:gridCol w:w="460"/>
        <w:gridCol w:w="756"/>
        <w:gridCol w:w="166"/>
        <w:gridCol w:w="146"/>
        <w:gridCol w:w="246"/>
        <w:gridCol w:w="790"/>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0"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60"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2024</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60"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31,835</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0"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2020 ESPP</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0"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offering costs accrual release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60"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2024</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CHANGES IN REDEEMABLE CONVERTIBLE PREFERRED STOCK AND STOCKHOLDERS’ EQUITY,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1130" w:type="dxa"/>
        <w:jc w:val="left"/>
        <w:tblInd w:w="0" w:type="dxa"/>
        <w:tblLayout w:type="fixed"/>
        <w:tblCellMar>
          <w:top w:w="28" w:type="dxa"/>
          <w:left w:w="28" w:type="dxa"/>
          <w:bottom w:w="28" w:type="dxa"/>
          <w:right w:w="28" w:type="dxa"/>
        </w:tblCellMar>
      </w:tblPr>
      <w:tblGrid>
        <w:gridCol w:w="1261"/>
        <w:gridCol w:w="146"/>
        <w:gridCol w:w="173"/>
        <w:gridCol w:w="413"/>
        <w:gridCol w:w="146"/>
        <w:gridCol w:w="146"/>
        <w:gridCol w:w="211"/>
        <w:gridCol w:w="676"/>
        <w:gridCol w:w="146"/>
        <w:gridCol w:w="146"/>
        <w:gridCol w:w="146"/>
        <w:gridCol w:w="146"/>
        <w:gridCol w:w="676"/>
        <w:gridCol w:w="166"/>
        <w:gridCol w:w="146"/>
        <w:gridCol w:w="230"/>
        <w:gridCol w:w="461"/>
        <w:gridCol w:w="146"/>
        <w:gridCol w:w="146"/>
        <w:gridCol w:w="211"/>
        <w:gridCol w:w="781"/>
        <w:gridCol w:w="146"/>
        <w:gridCol w:w="146"/>
        <w:gridCol w:w="211"/>
        <w:gridCol w:w="841"/>
        <w:gridCol w:w="166"/>
        <w:gridCol w:w="146"/>
        <w:gridCol w:w="460"/>
        <w:gridCol w:w="756"/>
        <w:gridCol w:w="146"/>
        <w:gridCol w:w="146"/>
        <w:gridCol w:w="246"/>
        <w:gridCol w:w="790"/>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41,984</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2020 Plan, net of forfeitures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cancelled</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2023</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39,438</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A Redeemable Convertible Preferred Stock, net of offering costs of $649</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2020 ESPP</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2020 Plan</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cancelled</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2023</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b/>
          <w:color w:val="000000"/>
          <w:sz w:val="20"/>
        </w:rPr>
      </w:pPr>
      <w:bookmarkStart w:id="10" w:name="note_1_overview_basis_presentation"/>
      <w:bookmarkEnd w:id="10"/>
      <w:r>
        <w:rPr>
          <w:rFonts w:ascii="Times New Roman" w:hAnsi="Times New Roman"/>
          <w:b/>
          <w:color w:val="000000"/>
          <w:sz w:val="20"/>
        </w:rPr>
        <w:t>Note 1. Overview and Basis of Presentation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 and Organization</w:t>
      </w:r>
    </w:p>
    <w:p>
      <w:pPr>
        <w:pStyle w:val="TextBody"/>
        <w:bidi w:val="0"/>
        <w:spacing w:before="120" w:after="283"/>
        <w:jc w:val="both"/>
        <w:rPr>
          <w:rFonts w:ascii="Times New Roman" w:hAnsi="Times New Roman"/>
          <w:sz w:val="20"/>
        </w:rPr>
      </w:pPr>
      <w:r>
        <w:rPr>
          <w:rFonts w:ascii="Times New Roman" w:hAnsi="Times New Roman"/>
          <w:color w:val="000000"/>
          <w:sz w:val="20"/>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LENSAR Laser System (“LLS”) and ALLY</w:t>
      </w:r>
      <w:r>
        <w:rPr>
          <w:rFonts w:ascii="Times New Roman" w:hAnsi="Times New Roman"/>
          <w:color w:val="000000"/>
          <w:sz w:val="13"/>
        </w:rPr>
        <w:t>®</w:t>
      </w:r>
      <w:r>
        <w:rPr>
          <w:rFonts w:ascii="Times New Roman" w:hAnsi="Times New Roman"/>
          <w:color w:val="000000"/>
          <w:sz w:val="20"/>
        </w:rPr>
        <w:t xml:space="preserve"> Adaptive Cataract Treatment System (“ALLY System”) (collectively the “Systems”), which may include equipment, a consumable referred to as the Patient Interface Device (“PID”), procedure licenses, training, installation, limited warranty and maintenance agreements through extended warranty. The Company has developed its next-generation ALLY System, which combines all of the features from the LLS with a dual-pulse laser, integrated in a small, compact cataract treatment system. The ALLY System enables cataract surgeons to complete laser-assisted cataract surgery in a single, sterile environment. The Company executed a controlled and targeted initial launch of the ALLY System beginning in August 2022 in the United States. The ALLY System is available to U.S. and European Union cataract surgeons and has also received regulatory clearance in India, Taiwan, and certain other countries. In addition, the Company has submitted the ALLY System for certification through distributors in South Korea and China for additional marketing or certification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recurring losses and operating cash outflows since its inception and, as of June 30, 2024, had an accumulated deficit of $123,091. The Company expects to continue to incur losses and cash outflows from operating activities for the near-term future. Pricing increases in component parts for the ALLY System resulting from inflationary pressures and related macroeconomic conditions may necessitate an increase in overall cost to customers, which in turn may have an adverse impact on customer demand.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believes the Company’s cash and cash equivalents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In addition, the Company’s growth depends in part on the Company’s ability to produce the ALLY System in sufficient quantities, within requested timelines and at an acceptable price to satisfy customer demand. The Company’s liquidity needs will be largely determined by the Company’s ability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condensed financial statements are unaudited and have been prepared in accordance with generally accepted accounting principles in the United States of America (“U.S. GAAP”) and pursuant to the regulations of the U.S. Securities and 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2023 condensed balance sheet data was derived from audited financial statements, but does not include all disclosures required by U.S. GAAP.</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and related financial information should be read in conjunction with the Company’s annual audited financial statements and the related notes thereto for the fiscal year ended December 31, 2023, included in the Annual Report on Form 10-K (the “Annual Report”) as filed with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Other than policies noted below, there have been no significant changes to the significant accounting policies disclosed in Note 2, </w:t>
      </w:r>
      <w:r>
        <w:rPr>
          <w:rFonts w:ascii="Times New Roman" w:hAnsi="Times New Roman"/>
          <w:i/>
          <w:color w:val="000000"/>
          <w:sz w:val="20"/>
        </w:rPr>
        <w:t>Summary of Significant Accounting Policies</w:t>
      </w:r>
      <w:r>
        <w:rPr>
          <w:rFonts w:ascii="Times New Roman" w:hAnsi="Times New Roman"/>
          <w:color w:val="000000"/>
          <w:sz w:val="20"/>
        </w:rPr>
        <w:t>, of the annual audited financial statements included in the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pStyle w:val="TextBody"/>
        <w:bidi w:val="0"/>
        <w:spacing w:before="240" w:after="283"/>
        <w:jc w:val="both"/>
        <w:rPr>
          <w:rFonts w:ascii="Times New Roman" w:hAnsi="Times New Roman"/>
          <w:sz w:val="20"/>
        </w:rPr>
      </w:pPr>
      <w:r>
        <w:rPr>
          <w:rFonts w:ascii="Times New Roman" w:hAnsi="Times New Roman"/>
          <w:b/>
          <w:color w:val="000000"/>
          <w:sz w:val="20"/>
        </w:rPr>
        <w:t>Derivative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evaluates financial instruments to determine if such instruments are derivatives or contain features that qualify as embedded derivatives in accordance with ASC Topic 815, </w:t>
      </w:r>
      <w:r>
        <w:rPr>
          <w:rFonts w:ascii="Times New Roman" w:hAnsi="Times New Roman"/>
          <w:i/>
          <w:color w:val="000000"/>
          <w:sz w:val="20"/>
        </w:rPr>
        <w:t>Derivatives and Hedging</w:t>
      </w:r>
      <w:r>
        <w:rPr>
          <w:rFonts w:ascii="Times New Roman" w:hAnsi="Times New Roman"/>
          <w:color w:val="000000"/>
          <w:sz w:val="20"/>
        </w:rPr>
        <w:t xml:space="preserve"> (“ASC 815”). For derivative financial instruments that are accounted for as liabilities, the derivative instrument is initially recorded at its fair value and is then re-valued at each reporting date, with changes in the fair value reported in the condensed statements of operations. Warrants issued by the Company that do not meet the criteria for equity treatment are recorded as liabilities. We do not use financial instruments or derivatives for any trading purposes.</w:t>
      </w:r>
    </w:p>
    <w:p>
      <w:pPr>
        <w:pStyle w:val="TextBody"/>
        <w:bidi w:val="0"/>
        <w:spacing w:before="240" w:after="283"/>
        <w:jc w:val="both"/>
        <w:rPr>
          <w:rFonts w:ascii="Times New Roman" w:hAnsi="Times New Roman"/>
          <w:sz w:val="20"/>
        </w:rPr>
      </w:pPr>
      <w:r>
        <w:rPr>
          <w:rFonts w:ascii="Times New Roman" w:hAnsi="Times New Roman"/>
          <w:b/>
          <w:color w:val="000000"/>
          <w:sz w:val="20"/>
        </w:rPr>
        <w:t>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1—based on quoted market prices in active markets for identical assets and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3—based on unobservable inputs using management’s best estimate and assumptions when inputs are unavailable.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Fair value measurements are classified in their entirety based on the lowest level of input that is significant to their fair value measurement.</w:t>
      </w:r>
    </w:p>
    <w:p>
      <w:pPr>
        <w:pStyle w:val="TextBody"/>
        <w:bidi w:val="0"/>
        <w:spacing w:before="240" w:after="283"/>
        <w:jc w:val="both"/>
        <w:rPr>
          <w:rFonts w:ascii="Times New Roman" w:hAnsi="Times New Roman"/>
          <w:sz w:val="20"/>
        </w:rPr>
      </w:pPr>
      <w:r>
        <w:rPr>
          <w:rFonts w:ascii="Times New Roman" w:hAnsi="Times New Roman"/>
          <w:b/>
          <w:color w:val="000000"/>
          <w:sz w:val="20"/>
        </w:rPr>
        <w:t>Related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follows ASC 850, </w:t>
      </w:r>
      <w:r>
        <w:rPr>
          <w:rFonts w:ascii="Times New Roman" w:hAnsi="Times New Roman"/>
          <w:i/>
          <w:color w:val="000000"/>
          <w:sz w:val="20"/>
        </w:rPr>
        <w:t>Related Party Disclosures</w:t>
      </w:r>
      <w:r>
        <w:rPr>
          <w:rFonts w:ascii="Times New Roman" w:hAnsi="Times New Roman"/>
          <w:color w:val="000000"/>
          <w:sz w:val="20"/>
        </w:rPr>
        <w:t xml:space="preserve">, for the identification of related parties and disclosure of related party transactions.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May 2023, the Company completed the Private Placement (as defined in Note 11, </w:t>
      </w:r>
      <w:r>
        <w:rPr>
          <w:rFonts w:ascii="Times New Roman" w:hAnsi="Times New Roman"/>
          <w:i/>
          <w:color w:val="000000"/>
          <w:sz w:val="20"/>
        </w:rPr>
        <w:t>Redeemable Convertible Preferred Stock</w:t>
      </w:r>
      <w:r>
        <w:rPr>
          <w:rFonts w:ascii="Times New Roman" w:hAnsi="Times New Roman"/>
          <w:color w:val="000000"/>
          <w:sz w:val="20"/>
        </w:rPr>
        <w:t xml:space="preserve">)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9, </w:t>
      </w:r>
      <w:r>
        <w:rPr>
          <w:rFonts w:ascii="Times New Roman" w:hAnsi="Times New Roman"/>
          <w:i/>
          <w:color w:val="000000"/>
          <w:sz w:val="20"/>
        </w:rPr>
        <w:t>Warrant Liabilities</w:t>
      </w:r>
      <w:r>
        <w:rPr>
          <w:rFonts w:ascii="Times New Roman" w:hAnsi="Times New Roman"/>
          <w:color w:val="000000"/>
          <w:sz w:val="20"/>
        </w:rPr>
        <w:t xml:space="preserve">, and Note 11, </w:t>
      </w:r>
      <w:r>
        <w:rPr>
          <w:rFonts w:ascii="Times New Roman" w:hAnsi="Times New Roman"/>
          <w:i/>
          <w:color w:val="000000"/>
          <w:sz w:val="20"/>
        </w:rPr>
        <w:t>Redeemable Convertible Preferred Stock</w:t>
      </w:r>
      <w:r>
        <w:rPr>
          <w:rFonts w:ascii="Times New Roman" w:hAnsi="Times New Roman"/>
          <w:color w:val="000000"/>
          <w:sz w:val="20"/>
        </w:rPr>
        <w:t>, for more details related to the Private Placement.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June 2023, the Company entered into an international distribution agreement in India with a company owned by an employee at that time. The Company established the distributor relationship to gain regulatory and operational efficiencies, as well as to establish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consistent operations with all other international markets where it conducts business. During the year ended December 31, 2023, the Company began transitioning transactions with customers in India to the distributor. The Company recognized $290 in product revenue, $301 in cost of product sales, and $119 in selling, general and administrative expenses for the three months ended March 31, 2024 associated with its Indian operations. There were no amounts due from, or due to, the distributor at March 31, 2024. The related party relationship ended on April 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Income tax expense/(benefit) from continuing operations for the three and six months ended June 30, 2024 and 2023 was $0 in each period, which resulted from maintaining a full valuation allowance against the Company’s net deferred tax assets.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Under Sections 382 and 383 of the Internal Revenue Code of 1986, as amended (the “Code”), certain substantial changes in the Company’s ownership may result in a limitation on the amount of net operating loss and tax credit carryforwards that may be used in future years. During the second quarter of 2023, the Company experienced a change in control event resulting from the Private Placement of Series A Redeemable Convertible Preferred Stock, triggering the application of Section 382 of the Code. Refer to Note 11, </w:t>
      </w:r>
      <w:r>
        <w:rPr>
          <w:rFonts w:ascii="Times New Roman" w:hAnsi="Times New Roman"/>
          <w:i/>
          <w:color w:val="000000"/>
          <w:sz w:val="20"/>
        </w:rPr>
        <w:t>Redeemable Convertible Preferred Stock</w:t>
      </w:r>
      <w:r>
        <w:rPr>
          <w:rFonts w:ascii="Times New Roman" w:hAnsi="Times New Roman"/>
          <w:color w:val="000000"/>
          <w:sz w:val="20"/>
        </w:rPr>
        <w:t xml:space="preserve">, for more details related to the Private Placement. The Company has not completed an analysis to determine whether any additional limitations have been triggered under Sections 382 and 383 of the Code as of June 30, 2024. The Company computed and applied limitations of tax deductions in the income tax provision computation for the year ended December 31, 2023; however, these limitations do not have a material impact on the financial statements.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jc w:val="both"/>
        <w:rPr>
          <w:rFonts w:ascii="Times New Roman" w:hAnsi="Times New Roman"/>
          <w:color w:val="000000"/>
          <w:sz w:val="20"/>
        </w:rPr>
      </w:pPr>
      <w:r>
        <w:rPr>
          <w:rFonts w:ascii="Times New Roman" w:hAnsi="Times New Roman"/>
          <w:color w:val="000000"/>
          <w:sz w:val="20"/>
        </w:rPr>
        <w:t>In November 2023, the FASB issued Accounting Standards Update (“ASU”) 2023-07, Segment Reporting (Topic 280): Improvements to Reportable Segment Disclosures, which requires enhanced disclosures about segment expenses on an annual and interim basis. This standard is effective for the Company’s annual financial statements for the year ending December 31, 2024 and for interim periods beginning in 2025. The Company is currently evaluating the impact of this standard on the financial statement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2023, the FASB issued ASU 2023-09, Income Taxes (Topic 740): Improvement to Income Tax Disclosures, which requires (1) disclosure of specific categories in the rate reconciliation and (2) additional information for reconciling items that meet a quantitative threshold. Additionally, the amendment requires disclosure of certain disaggregated information about income taxes paid, income from continuing operations before income tax expense (benefit) and income tax expense (benefit). The standard is effective for the Company’s annual financial statements for the year ending December 31, 2025. The Company is currently evaluating the impact of this standard on the financial statement disclosures.</w:t>
      </w:r>
    </w:p>
    <w:p>
      <w:pPr>
        <w:pStyle w:val="TextBody"/>
        <w:bidi w:val="0"/>
        <w:spacing w:before="360" w:after="283"/>
        <w:jc w:val="left"/>
        <w:rPr>
          <w:rFonts w:ascii="Times New Roman" w:hAnsi="Times New Roman"/>
          <w:sz w:val="20"/>
        </w:rPr>
      </w:pPr>
      <w:r>
        <w:rPr>
          <w:rFonts w:ascii="Times New Roman" w:hAnsi="Times New Roman"/>
          <w:b/>
          <w:color w:val="000000"/>
          <w:sz w:val="20"/>
        </w:rPr>
        <w:t>Note 3. Revenue from Contracts with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Company’s product and service revenue disaggregated by geographic region, which is determined based on customer location, for the three and six months ended June 30, 2024 and 2023: </w:t>
      </w:r>
    </w:p>
    <w:tbl>
      <w:tblPr>
        <w:tblW w:w="7282" w:type="dxa"/>
        <w:jc w:val="left"/>
        <w:tblInd w:w="0" w:type="dxa"/>
        <w:tblLayout w:type="fixed"/>
        <w:tblCellMar>
          <w:top w:w="28" w:type="dxa"/>
          <w:left w:w="28" w:type="dxa"/>
          <w:bottom w:w="28" w:type="dxa"/>
          <w:right w:w="28" w:type="dxa"/>
        </w:tblCellMar>
      </w:tblPr>
      <w:tblGrid>
        <w:gridCol w:w="2521"/>
        <w:gridCol w:w="146"/>
        <w:gridCol w:w="211"/>
        <w:gridCol w:w="676"/>
        <w:gridCol w:w="146"/>
        <w:gridCol w:w="146"/>
        <w:gridCol w:w="211"/>
        <w:gridCol w:w="676"/>
        <w:gridCol w:w="146"/>
        <w:gridCol w:w="146"/>
        <w:gridCol w:w="211"/>
        <w:gridCol w:w="676"/>
        <w:gridCol w:w="146"/>
        <w:gridCol w:w="146"/>
        <w:gridCol w:w="211"/>
        <w:gridCol w:w="67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11,369</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Korea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(excluding South Korea)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table above does not include lease revenue of $1,952 and $1,691 for the three months ended June 30, 2024 and 2023, respectively, and $3,899 and $3,320 for the six months ended June 30, 2024 and 2023, respectively. Substantially all lease revenue originates from the United States. Refer to Note 6, </w:t>
      </w: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Contract Balances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provides information about receivables and contract liabilities from contracts with customers: </w:t>
      </w:r>
    </w:p>
    <w:tbl>
      <w:tblPr>
        <w:tblW w:w="9507" w:type="dxa"/>
        <w:jc w:val="left"/>
        <w:tblInd w:w="0" w:type="dxa"/>
        <w:tblLayout w:type="fixed"/>
        <w:tblCellMar>
          <w:top w:w="28" w:type="dxa"/>
          <w:left w:w="28" w:type="dxa"/>
          <w:bottom w:w="28" w:type="dxa"/>
          <w:right w:w="28" w:type="dxa"/>
        </w:tblCellMar>
      </w:tblPr>
      <w:tblGrid>
        <w:gridCol w:w="2536"/>
        <w:gridCol w:w="146"/>
        <w:gridCol w:w="3571"/>
        <w:gridCol w:w="146"/>
        <w:gridCol w:w="303"/>
        <w:gridCol w:w="822"/>
        <w:gridCol w:w="146"/>
        <w:gridCol w:w="146"/>
        <w:gridCol w:w="403"/>
        <w:gridCol w:w="1097"/>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current</w:t>
            </w:r>
          </w:p>
        </w:tc>
        <w:tc>
          <w:tcPr>
            <w:tcW w:w="146" w:type="dxa"/>
            <w:tcBorders/>
            <w:shd w:fill="CFF0FC" w:val="clear"/>
            <w:vAlign w:val="center"/>
          </w:tcPr>
          <w:p>
            <w:pPr>
              <w:pStyle w:val="TableContents"/>
              <w:bidi w:val="0"/>
              <w:spacing w:before="0" w:after="283"/>
              <w:jc w:val="left"/>
              <w:rPr/>
            </w:pPr>
            <w:r>
              <w:rPr/>
              <w:t> </w:t>
            </w:r>
          </w:p>
        </w:tc>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current</w:t>
            </w:r>
          </w:p>
        </w:tc>
        <w:tc>
          <w:tcPr>
            <w:tcW w:w="146" w:type="dxa"/>
            <w:tcBorders/>
            <w:shd w:fill="FFFFFF" w:val="clear"/>
            <w:vAlign w:val="center"/>
          </w:tcPr>
          <w:p>
            <w:pPr>
              <w:pStyle w:val="TableContents"/>
              <w:bidi w:val="0"/>
              <w:spacing w:before="0" w:after="283"/>
              <w:jc w:val="left"/>
              <w:rPr/>
            </w:pPr>
            <w:r>
              <w:rPr/>
              <w:t> </w:t>
            </w:r>
          </w:p>
        </w:tc>
        <w:tc>
          <w:tcPr>
            <w:tcW w:w="3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net</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long-term</w:t>
            </w:r>
          </w:p>
        </w:tc>
        <w:tc>
          <w:tcPr>
            <w:tcW w:w="146" w:type="dxa"/>
            <w:tcBorders/>
            <w:shd w:fill="CFF0FC" w:val="clear"/>
            <w:vAlign w:val="center"/>
          </w:tcPr>
          <w:p>
            <w:pPr>
              <w:pStyle w:val="TableContents"/>
              <w:bidi w:val="0"/>
              <w:spacing w:before="0" w:after="283"/>
              <w:jc w:val="left"/>
              <w:rPr/>
            </w:pPr>
            <w:r>
              <w:rPr/>
              <w:t> </w:t>
            </w:r>
          </w:p>
        </w:tc>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 current</w:t>
            </w:r>
          </w:p>
        </w:tc>
        <w:tc>
          <w:tcPr>
            <w:tcW w:w="146" w:type="dxa"/>
            <w:tcBorders/>
            <w:shd w:fill="FFFFFF" w:val="clear"/>
            <w:vAlign w:val="center"/>
          </w:tcPr>
          <w:p>
            <w:pPr>
              <w:pStyle w:val="TableContents"/>
              <w:bidi w:val="0"/>
              <w:spacing w:before="0" w:after="283"/>
              <w:jc w:val="left"/>
              <w:rPr/>
            </w:pPr>
            <w:r>
              <w:rPr/>
              <w:t> </w:t>
            </w:r>
          </w:p>
        </w:tc>
        <w:tc>
          <w:tcPr>
            <w:tcW w:w="3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vAlign w:val="center"/>
          </w:tcPr>
          <w:p>
            <w:pPr>
              <w:pStyle w:val="TableContents"/>
              <w:bidi w:val="0"/>
              <w:spacing w:before="0" w:after="283"/>
              <w:jc w:val="left"/>
              <w:rPr/>
            </w:pPr>
            <w:r>
              <w:rPr/>
              <w:t> </w:t>
            </w:r>
          </w:p>
        </w:tc>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FFFFFF" w:val="clear"/>
            <w:vAlign w:val="center"/>
          </w:tcPr>
          <w:p>
            <w:pPr>
              <w:pStyle w:val="TableContents"/>
              <w:bidi w:val="0"/>
              <w:spacing w:before="0" w:after="283"/>
              <w:jc w:val="left"/>
              <w:rPr/>
            </w:pPr>
            <w:r>
              <w:rPr/>
              <w:t> </w:t>
            </w:r>
          </w:p>
        </w:tc>
        <w:tc>
          <w:tcPr>
            <w:tcW w:w="3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liability, long-term</w:t>
            </w:r>
          </w:p>
        </w:tc>
        <w:tc>
          <w:tcPr>
            <w:tcW w:w="146" w:type="dxa"/>
            <w:tcBorders/>
            <w:shd w:fill="CFF0FC" w:val="clear"/>
            <w:vAlign w:val="center"/>
          </w:tcPr>
          <w:p>
            <w:pPr>
              <w:pStyle w:val="TableContents"/>
              <w:bidi w:val="0"/>
              <w:spacing w:before="0" w:after="283"/>
              <w:jc w:val="left"/>
              <w:rPr/>
            </w:pPr>
            <w:r>
              <w:rPr/>
              <w:t> </w:t>
            </w:r>
          </w:p>
        </w:tc>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Accounts</w:t>
      </w:r>
      <w:r>
        <w:rPr>
          <w:rFonts w:ascii="Times New Roman" w:hAnsi="Times New Roman"/>
          <w:color w:val="000000"/>
          <w:sz w:val="20"/>
        </w:rPr>
        <w:t xml:space="preserve"> </w:t>
      </w:r>
      <w:r>
        <w:rPr>
          <w:rFonts w:ascii="Times New Roman" w:hAnsi="Times New Roman"/>
          <w:b/>
          <w:color w:val="000000"/>
          <w:sz w:val="20"/>
        </w:rPr>
        <w:t>Receivables, Net –</w:t>
      </w:r>
      <w:r>
        <w:rPr>
          <w:rFonts w:ascii="Times New Roman" w:hAnsi="Times New Roman"/>
          <w:color w:val="000000"/>
          <w:sz w:val="20"/>
        </w:rPr>
        <w:t xml:space="preserve"> Accounts receivables, net, include amounts billed and due from customers. The amounts due are stated at their net estimated 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the activity in the allowance for credit losses: </w:t>
      </w:r>
    </w:p>
    <w:tbl>
      <w:tblPr>
        <w:tblW w:w="5559" w:type="dxa"/>
        <w:jc w:val="left"/>
        <w:tblInd w:w="0" w:type="dxa"/>
        <w:tblLayout w:type="fixed"/>
        <w:tblCellMar>
          <w:top w:w="28" w:type="dxa"/>
          <w:left w:w="28" w:type="dxa"/>
          <w:bottom w:w="28" w:type="dxa"/>
          <w:right w:w="28" w:type="dxa"/>
        </w:tblCellMar>
      </w:tblPr>
      <w:tblGrid>
        <w:gridCol w:w="4411"/>
        <w:gridCol w:w="146"/>
        <w:gridCol w:w="248"/>
        <w:gridCol w:w="443"/>
        <w:gridCol w:w="3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December 31, 2023</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4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June 30, 2024</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December 31, 2022</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4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June 30, 2023</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Notes Receivables, Net</w:t>
      </w:r>
      <w:r>
        <w:rPr>
          <w:rFonts w:ascii="Times New Roman" w:hAnsi="Times New Roman"/>
          <w:color w:val="000000"/>
          <w:sz w:val="20"/>
        </w:rPr>
        <w:t xml:space="preserve"> – Notes receivable, net includes amounts billed and due from customers under extended payment terms with a significant financing component. Interest rates on notes receivable range from 7.0% to 8.0%. The Company recorded interest income on notes receivable during the three months ended June 30, 2024 and 2023 of $27 and $20, respectively, and during the six months ended June 30, 2024 and 2023 of $56 and $32, respectively, in other income, net in the statement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the activity in the allowance for notes receivable: </w:t>
      </w:r>
    </w:p>
    <w:tbl>
      <w:tblPr>
        <w:tblW w:w="5259" w:type="dxa"/>
        <w:jc w:val="left"/>
        <w:tblInd w:w="0" w:type="dxa"/>
        <w:tblLayout w:type="fixed"/>
        <w:tblCellMar>
          <w:top w:w="28" w:type="dxa"/>
          <w:left w:w="28" w:type="dxa"/>
          <w:bottom w:w="28" w:type="dxa"/>
          <w:right w:w="28" w:type="dxa"/>
        </w:tblCellMar>
      </w:tblPr>
      <w:tblGrid>
        <w:gridCol w:w="4111"/>
        <w:gridCol w:w="146"/>
        <w:gridCol w:w="261"/>
        <w:gridCol w:w="430"/>
        <w:gridCol w:w="3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December 31, 2023</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1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June 30, 2024</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December 31, 2022</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1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June 30, 2023</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Contract Assets</w:t>
      </w:r>
      <w:r>
        <w:rPr>
          <w:rFonts w:ascii="Times New Roman" w:hAnsi="Times New Roman"/>
          <w:color w:val="000000"/>
          <w:sz w:val="20"/>
        </w:rPr>
        <w:t xml:space="preserve"> – The Company's contract assets represent revenue recognized for performance obligations completed before an unconditional right to payment exists, and therefore invoicing has not yet occurred. The Company classifies contract assets in prepaid and other current assets in the Company's condensed balance sheets.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provides information about contract assets from contracts with customers:</w:t>
      </w:r>
    </w:p>
    <w:tbl>
      <w:tblPr>
        <w:tblW w:w="4425" w:type="dxa"/>
        <w:jc w:val="left"/>
        <w:tblInd w:w="0" w:type="dxa"/>
        <w:tblLayout w:type="fixed"/>
        <w:tblCellMar>
          <w:top w:w="28" w:type="dxa"/>
          <w:left w:w="28" w:type="dxa"/>
          <w:bottom w:w="28" w:type="dxa"/>
          <w:right w:w="28" w:type="dxa"/>
        </w:tblCellMar>
      </w:tblPr>
      <w:tblGrid>
        <w:gridCol w:w="3376"/>
        <w:gridCol w:w="146"/>
        <w:gridCol w:w="211"/>
        <w:gridCol w:w="48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211" w:type="dxa"/>
            <w:tcBorders/>
            <w:shd w:fill="CFF0FC"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recognized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11" w:type="dxa"/>
            <w:tcBorders/>
            <w:shd w:fill="FFFFFF" w:val="clear"/>
            <w:vAlign w:val="center"/>
          </w:tcPr>
          <w:p>
            <w:pPr>
              <w:pStyle w:val="TableContents"/>
              <w:bidi w:val="0"/>
              <w:spacing w:before="0" w:after="283"/>
              <w:jc w:val="lef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due to contract modification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June 30,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11" w:type="dxa"/>
            <w:tcBorders/>
            <w:shd w:fill="FFFFFF" w:val="clear"/>
            <w:vAlign w:val="center"/>
          </w:tcPr>
          <w:p>
            <w:pPr>
              <w:pStyle w:val="TableContents"/>
              <w:bidi w:val="0"/>
              <w:spacing w:before="0" w:after="283"/>
              <w:jc w:val="lef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recognized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211" w:type="dxa"/>
            <w:tcBorders/>
            <w:shd w:fill="CFF0FC"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due to contract modification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June 30,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Deferred Revenue and Contract Liabilities – </w:t>
      </w:r>
      <w:r>
        <w:rPr>
          <w:rFonts w:ascii="Times New Roman" w:hAnsi="Times New Roman"/>
          <w:color w:val="000000"/>
          <w:sz w:val="20"/>
        </w:rPr>
        <w:t xml:space="preserve">The Company’s deferred revenue and contract liabilities represent services and products sold to customers for which the performance obligation has not been completed by the Company. The Company classifies deferred revenue and contract liabilities as current or noncurrent based on the timing of when it expects to recognize revenue. The noncurrent portion of deferred revenue and contract liabilities is included in other long-term liabilities in the Company’s condensed balance sheets.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provides information about deferred revenue and contract liabilities from contracts with customers: </w:t>
      </w:r>
    </w:p>
    <w:tbl>
      <w:tblPr>
        <w:tblW w:w="7245" w:type="dxa"/>
        <w:jc w:val="left"/>
        <w:tblInd w:w="0" w:type="dxa"/>
        <w:tblLayout w:type="fixed"/>
        <w:tblCellMar>
          <w:top w:w="28" w:type="dxa"/>
          <w:left w:w="28" w:type="dxa"/>
          <w:bottom w:w="28" w:type="dxa"/>
          <w:right w:w="28" w:type="dxa"/>
        </w:tblCellMar>
      </w:tblPr>
      <w:tblGrid>
        <w:gridCol w:w="6106"/>
        <w:gridCol w:w="146"/>
        <w:gridCol w:w="211"/>
        <w:gridCol w:w="571"/>
        <w:gridCol w:w="21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211" w:type="dxa"/>
            <w:tcBorders/>
            <w:shd w:fill="CFF0FC" w:val="clear"/>
            <w:vAlign w:val="center"/>
          </w:tcPr>
          <w:p>
            <w:pPr>
              <w:pStyle w:val="TableContents"/>
              <w:bidi w:val="0"/>
              <w:spacing w:before="0" w:after="283"/>
              <w:jc w:val="left"/>
              <w:rPr/>
            </w:pPr>
            <w:r>
              <w:rPr/>
              <w:t> </w:t>
            </w:r>
          </w:p>
        </w:tc>
      </w:tr>
      <w:tr>
        <w:trPr/>
        <w:tc>
          <w:tcPr>
            <w:tcW w:w="6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not yet recognized as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211" w:type="dxa"/>
            <w:tcBorders/>
            <w:shd w:fill="FFFFFF" w:val="clear"/>
            <w:vAlign w:val="center"/>
          </w:tcPr>
          <w:p>
            <w:pPr>
              <w:pStyle w:val="TableContents"/>
              <w:bidi w:val="0"/>
              <w:spacing w:before="0" w:after="283"/>
              <w:jc w:val="left"/>
              <w:rPr/>
            </w:pPr>
            <w:r>
              <w:rPr/>
              <w:t> </w:t>
            </w:r>
          </w:p>
        </w:tc>
      </w:tr>
      <w:tr>
        <w:trPr/>
        <w:tc>
          <w:tcPr>
            <w:tcW w:w="6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deferred revenue and contract liabilities recognized as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June 30,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211" w:type="dxa"/>
            <w:tcBorders/>
            <w:shd w:fill="FFFFFF" w:val="clear"/>
            <w:vAlign w:val="center"/>
          </w:tcPr>
          <w:p>
            <w:pPr>
              <w:pStyle w:val="TableContents"/>
              <w:bidi w:val="0"/>
              <w:spacing w:before="0" w:after="283"/>
              <w:jc w:val="left"/>
              <w:rPr/>
            </w:pPr>
            <w:r>
              <w:rPr/>
              <w:t> </w:t>
            </w:r>
          </w:p>
        </w:tc>
      </w:tr>
      <w:tr>
        <w:trPr/>
        <w:tc>
          <w:tcPr>
            <w:tcW w:w="6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not yet recognized as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211" w:type="dxa"/>
            <w:tcBorders/>
            <w:shd w:fill="CFF0FC" w:val="clear"/>
            <w:vAlign w:val="center"/>
          </w:tcPr>
          <w:p>
            <w:pPr>
              <w:pStyle w:val="TableContents"/>
              <w:bidi w:val="0"/>
              <w:spacing w:before="0" w:after="283"/>
              <w:jc w:val="left"/>
              <w:rPr/>
            </w:pPr>
            <w:r>
              <w:rPr/>
              <w:t> </w:t>
            </w:r>
          </w:p>
        </w:tc>
      </w:tr>
      <w:tr>
        <w:trPr/>
        <w:tc>
          <w:tcPr>
            <w:tcW w:w="6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deferred revenue and contract liabilities recognized as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June 30,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wrote off certain contract liabilities associated with intangible assets that were determined to be impaired during the three months ended June 30, 2024. Refer to Note 7, </w:t>
      </w:r>
      <w:r>
        <w:rPr>
          <w:rFonts w:ascii="Times New Roman" w:hAnsi="Times New Roman"/>
          <w:i/>
          <w:color w:val="000000"/>
          <w:sz w:val="20"/>
        </w:rPr>
        <w:t>Intangible Assets</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i/>
          <w:color w:val="000000"/>
          <w:sz w:val="20"/>
        </w:rPr>
        <w:t>Transaction Price Allocated to Future Performance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June 30, 2024, the revenue expected to be recognized in future periods related to performance obligations that are unsatisfied for executed contracts with an original duration of one year or more was approximately $30,805. The Company expects to satisfy its remaining performance obligations by December 31, 2029, with $4,415 to be satisfied by December 31, 2024, $8,451 to be satisfied by December 31, 2025, $6,366 to be satisfied by December 31, 2026, $5,497 to be satisfied by December 31, 2027, $3,949 to be satisfied by December 31, 2028, $2,127 to be satisfied by December 31, 2029.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Fair Value of Financial Instruments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classifies money market funds, U.S. treasury bills, certificates of deposit, and U.S. government securities as Level 1 within the fair value hierarchy as the fair value is based on quoted prices. The Company classifies U.S. government agency bonds as Level 2 within the fair value hierarchy as the fair value is based upon quoted market prices for similar instruments in active markets or quoted prices for identical or similar instruments in markets that are not active for which all significant inputs are observable in the market or can be corroborated by observable market data for substantially the full term of the assets.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9, </w:t>
      </w:r>
      <w:r>
        <w:rPr>
          <w:rFonts w:ascii="Times New Roman" w:hAnsi="Times New Roman"/>
          <w:i/>
          <w:color w:val="000000"/>
          <w:sz w:val="20"/>
        </w:rPr>
        <w:t>Warrant Liabilities</w:t>
      </w:r>
      <w:r>
        <w:rPr>
          <w:rFonts w:ascii="Times New Roman" w:hAnsi="Times New Roman"/>
          <w:color w:val="000000"/>
          <w:sz w:val="20"/>
        </w:rPr>
        <w: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by level, within the fair value hierarchy, the Company's assets and liabilities at fair value as of June 30, 2024 and December 31, 2023:</w:t>
      </w:r>
    </w:p>
    <w:p>
      <w:pPr>
        <w:pStyle w:val="TextBody"/>
        <w:bidi w:val="0"/>
        <w:jc w:val="left"/>
        <w:rPr/>
      </w:pPr>
      <w:r>
        <w:rPr/>
        <w:t> </w:t>
      </w:r>
    </w:p>
    <w:tbl>
      <w:tblPr>
        <w:tblW w:w="7147" w:type="dxa"/>
        <w:jc w:val="left"/>
        <w:tblInd w:w="0" w:type="dxa"/>
        <w:tblLayout w:type="fixed"/>
        <w:tblCellMar>
          <w:top w:w="28" w:type="dxa"/>
          <w:left w:w="28" w:type="dxa"/>
          <w:bottom w:w="28" w:type="dxa"/>
          <w:right w:w="28" w:type="dxa"/>
        </w:tblCellMar>
      </w:tblPr>
      <w:tblGrid>
        <w:gridCol w:w="2641"/>
        <w:gridCol w:w="146"/>
        <w:gridCol w:w="211"/>
        <w:gridCol w:w="676"/>
        <w:gridCol w:w="146"/>
        <w:gridCol w:w="146"/>
        <w:gridCol w:w="211"/>
        <w:gridCol w:w="421"/>
        <w:gridCol w:w="146"/>
        <w:gridCol w:w="146"/>
        <w:gridCol w:w="211"/>
        <w:gridCol w:w="676"/>
        <w:gridCol w:w="146"/>
        <w:gridCol w:w="146"/>
        <w:gridCol w:w="211"/>
        <w:gridCol w:w="676"/>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derivative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derivative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There were no transfers between fair value hierarchy levels during three and six months ended June 30, 2024 and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fair value of the Company’s financial assets that are measured at fair value on a recurring basis are as follows:</w:t>
      </w:r>
    </w:p>
    <w:tbl>
      <w:tblPr>
        <w:tblW w:w="8936" w:type="dxa"/>
        <w:jc w:val="left"/>
        <w:tblInd w:w="0" w:type="dxa"/>
        <w:tblLayout w:type="fixed"/>
        <w:tblCellMar>
          <w:top w:w="28" w:type="dxa"/>
          <w:left w:w="28" w:type="dxa"/>
          <w:bottom w:w="28" w:type="dxa"/>
          <w:right w:w="28" w:type="dxa"/>
        </w:tblCellMar>
      </w:tblPr>
      <w:tblGrid>
        <w:gridCol w:w="2741"/>
        <w:gridCol w:w="146"/>
        <w:gridCol w:w="296"/>
        <w:gridCol w:w="949"/>
        <w:gridCol w:w="146"/>
        <w:gridCol w:w="146"/>
        <w:gridCol w:w="510"/>
        <w:gridCol w:w="840"/>
        <w:gridCol w:w="146"/>
        <w:gridCol w:w="146"/>
        <w:gridCol w:w="522"/>
        <w:gridCol w:w="858"/>
        <w:gridCol w:w="166"/>
        <w:gridCol w:w="146"/>
        <w:gridCol w:w="211"/>
        <w:gridCol w:w="676"/>
        <w:gridCol w:w="291"/>
      </w:tblGrid>
      <w:tr>
        <w:trPr/>
        <w:tc>
          <w:tcPr>
            <w:tcW w:w="2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2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w:t>
            </w:r>
          </w:p>
        </w:tc>
        <w:tc>
          <w:tcPr>
            <w:tcW w:w="291" w:type="dxa"/>
            <w:tcBorders/>
            <w:shd w:fill="FFFFFF" w:val="clear"/>
            <w:vAlign w:val="center"/>
          </w:tcPr>
          <w:p>
            <w:pPr>
              <w:pStyle w:val="TableContents"/>
              <w:bidi w:val="0"/>
              <w:spacing w:before="0" w:after="283"/>
              <w:jc w:val="left"/>
              <w:rPr/>
            </w:pPr>
            <w:r>
              <w:rPr/>
              <w:t> </w:t>
            </w:r>
          </w:p>
        </w:tc>
      </w:tr>
      <w:tr>
        <w:trPr/>
        <w:tc>
          <w:tcPr>
            <w:tcW w:w="2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2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291" w:type="dxa"/>
            <w:tcBorders/>
            <w:shd w:fill="FFFFFF" w:val="clear"/>
            <w:vAlign w:val="center"/>
          </w:tcPr>
          <w:p>
            <w:pPr>
              <w:pStyle w:val="TableContents"/>
              <w:bidi w:val="0"/>
              <w:spacing w:before="0" w:after="283"/>
              <w:jc w:val="left"/>
              <w:rPr/>
            </w:pPr>
            <w:r>
              <w:rPr/>
              <w:t> </w:t>
            </w:r>
          </w:p>
        </w:tc>
      </w:tr>
      <w:tr>
        <w:trPr/>
        <w:tc>
          <w:tcPr>
            <w:tcW w:w="27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Certificates of deposit</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7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291" w:type="dxa"/>
            <w:tcBorders/>
            <w:shd w:fill="FFFFFF" w:val="clear"/>
            <w:vAlign w:val="center"/>
          </w:tcPr>
          <w:p>
            <w:pPr>
              <w:pStyle w:val="TableContents"/>
              <w:bidi w:val="0"/>
              <w:spacing w:before="0" w:after="283"/>
              <w:jc w:val="left"/>
              <w:rPr/>
            </w:pPr>
            <w:r>
              <w:rPr/>
              <w:t> </w:t>
            </w:r>
          </w:p>
        </w:tc>
      </w:tr>
      <w:tr>
        <w:trPr/>
        <w:tc>
          <w:tcPr>
            <w:tcW w:w="2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2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Certificates of deposit</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7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2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w:t>
            </w:r>
          </w:p>
        </w:tc>
        <w:tc>
          <w:tcPr>
            <w:tcW w:w="291" w:type="dxa"/>
            <w:tcBorders/>
            <w:shd w:fill="FFFFFF" w:val="clear"/>
            <w:vAlign w:val="center"/>
          </w:tcPr>
          <w:p>
            <w:pPr>
              <w:pStyle w:val="TableContents"/>
              <w:bidi w:val="0"/>
              <w:spacing w:before="0" w:after="283"/>
              <w:jc w:val="left"/>
              <w:rPr/>
            </w:pPr>
            <w:r>
              <w:rPr/>
              <w:t> </w:t>
            </w:r>
          </w:p>
        </w:tc>
      </w:tr>
      <w:tr>
        <w:trPr/>
        <w:tc>
          <w:tcPr>
            <w:tcW w:w="27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291" w:type="dxa"/>
            <w:tcBorders/>
            <w:shd w:fill="CFF0FC" w:val="clear"/>
            <w:vAlign w:val="center"/>
          </w:tcPr>
          <w:p>
            <w:pPr>
              <w:pStyle w:val="TableContents"/>
              <w:bidi w:val="0"/>
              <w:spacing w:before="0" w:after="283"/>
              <w:jc w:val="left"/>
              <w:rPr/>
            </w:pPr>
            <w:r>
              <w:rPr/>
              <w:t> </w:t>
            </w:r>
          </w:p>
        </w:tc>
      </w:tr>
      <w:tr>
        <w:trPr/>
        <w:tc>
          <w:tcPr>
            <w:tcW w:w="2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27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291" w:type="dxa"/>
            <w:tcBorders/>
            <w:shd w:fill="CFF0FC" w:val="clear"/>
            <w:vAlign w:val="center"/>
          </w:tcPr>
          <w:p>
            <w:pPr>
              <w:pStyle w:val="TableContents"/>
              <w:bidi w:val="0"/>
              <w:spacing w:before="0" w:after="283"/>
              <w:jc w:val="left"/>
              <w:rPr/>
            </w:pPr>
            <w:r>
              <w:rPr/>
              <w:t> </w:t>
            </w:r>
          </w:p>
        </w:tc>
      </w:tr>
      <w:tr>
        <w:trPr/>
        <w:tc>
          <w:tcPr>
            <w:tcW w:w="2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Certificates of deposit</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91" w:type="dxa"/>
            <w:tcBorders/>
            <w:shd w:fill="FFFFFF" w:val="clear"/>
            <w:vAlign w:val="center"/>
          </w:tcPr>
          <w:p>
            <w:pPr>
              <w:pStyle w:val="TableContents"/>
              <w:bidi w:val="0"/>
              <w:spacing w:before="0" w:after="283"/>
              <w:jc w:val="left"/>
              <w:rPr/>
            </w:pPr>
            <w:r>
              <w:rPr/>
              <w:t> </w:t>
            </w:r>
          </w:p>
        </w:tc>
      </w:tr>
      <w:tr>
        <w:trPr/>
        <w:tc>
          <w:tcPr>
            <w:tcW w:w="2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2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Certificates of deposit</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change in fair value of warrant liabilities measured on a recurring basis using unobservable Level 3 inputs for the period ended June 30, 2024 is set forth below:</w:t>
      </w:r>
    </w:p>
    <w:tbl>
      <w:tblPr>
        <w:tblW w:w="9277" w:type="dxa"/>
        <w:jc w:val="left"/>
        <w:tblInd w:w="0" w:type="dxa"/>
        <w:tblLayout w:type="fixed"/>
        <w:tblCellMar>
          <w:top w:w="28" w:type="dxa"/>
          <w:left w:w="28" w:type="dxa"/>
          <w:bottom w:w="28" w:type="dxa"/>
          <w:right w:w="28" w:type="dxa"/>
        </w:tblCellMar>
      </w:tblPr>
      <w:tblGrid>
        <w:gridCol w:w="2026"/>
        <w:gridCol w:w="146"/>
        <w:gridCol w:w="677"/>
        <w:gridCol w:w="1843"/>
        <w:gridCol w:w="146"/>
        <w:gridCol w:w="146"/>
        <w:gridCol w:w="449"/>
        <w:gridCol w:w="1216"/>
        <w:gridCol w:w="146"/>
        <w:gridCol w:w="146"/>
        <w:gridCol w:w="510"/>
        <w:gridCol w:w="1635"/>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w:t>
            </w:r>
          </w:p>
        </w:tc>
        <w:tc>
          <w:tcPr>
            <w:tcW w:w="191" w:type="dxa"/>
            <w:tcBorders/>
            <w:shd w:fill="CFF0FC" w:val="clear"/>
            <w:vAlign w:val="center"/>
          </w:tcPr>
          <w:p>
            <w:pPr>
              <w:pStyle w:val="TableContents"/>
              <w:bidi w:val="0"/>
              <w:spacing w:before="0" w:after="283"/>
              <w:jc w:val="left"/>
              <w:rPr/>
            </w:pPr>
            <w:r>
              <w:rPr/>
              <w:t> </w:t>
            </w:r>
          </w:p>
        </w:tc>
      </w:tr>
      <w:tr>
        <w:trPr/>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w:t>
            </w:r>
          </w:p>
        </w:tc>
        <w:tc>
          <w:tcPr>
            <w:tcW w:w="146" w:type="dxa"/>
            <w:tcBorders/>
            <w:shd w:fill="FFFFFF" w:val="cle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warrant liabilities</w:t>
            </w:r>
          </w:p>
        </w:tc>
        <w:tc>
          <w:tcPr>
            <w:tcW w:w="146" w:type="dxa"/>
            <w:tcBorders/>
            <w:shd w:fill="CFF0FC" w:val="cle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 Inventories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Inventory balances were as follows: </w:t>
      </w:r>
    </w:p>
    <w:tbl>
      <w:tblPr>
        <w:tblW w:w="4710" w:type="dxa"/>
        <w:jc w:val="left"/>
        <w:tblInd w:w="0" w:type="dxa"/>
        <w:tblLayout w:type="fixed"/>
        <w:tblCellMar>
          <w:top w:w="28" w:type="dxa"/>
          <w:left w:w="28" w:type="dxa"/>
          <w:bottom w:w="28" w:type="dxa"/>
          <w:right w:w="28" w:type="dxa"/>
        </w:tblCellMar>
      </w:tblPr>
      <w:tblGrid>
        <w:gridCol w:w="1456"/>
        <w:gridCol w:w="146"/>
        <w:gridCol w:w="267"/>
        <w:gridCol w:w="858"/>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91" w:type="dxa"/>
            <w:tcBorders/>
            <w:shd w:fill="CFF0FC"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6. 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Lessor Arrangements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has operating leases for Systems. The Company’s leases have remaining lease terms of less than one year to six years. Lease revenue for the three and six months ended June 30, 2024 and 2023 was as follows: </w:t>
      </w:r>
    </w:p>
    <w:tbl>
      <w:tblPr>
        <w:tblW w:w="5617" w:type="dxa"/>
        <w:jc w:val="left"/>
        <w:tblInd w:w="0" w:type="dxa"/>
        <w:tblLayout w:type="fixed"/>
        <w:tblCellMar>
          <w:top w:w="28" w:type="dxa"/>
          <w:left w:w="28" w:type="dxa"/>
          <w:bottom w:w="28" w:type="dxa"/>
          <w:right w:w="28" w:type="dxa"/>
        </w:tblCellMar>
      </w:tblPr>
      <w:tblGrid>
        <w:gridCol w:w="1276"/>
        <w:gridCol w:w="146"/>
        <w:gridCol w:w="211"/>
        <w:gridCol w:w="571"/>
        <w:gridCol w:w="146"/>
        <w:gridCol w:w="146"/>
        <w:gridCol w:w="211"/>
        <w:gridCol w:w="571"/>
        <w:gridCol w:w="146"/>
        <w:gridCol w:w="146"/>
        <w:gridCol w:w="211"/>
        <w:gridCol w:w="571"/>
        <w:gridCol w:w="146"/>
        <w:gridCol w:w="146"/>
        <w:gridCol w:w="211"/>
        <w:gridCol w:w="57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Intangible Assets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components of intangible assets were as follows:</w:t>
      </w:r>
    </w:p>
    <w:tbl>
      <w:tblPr>
        <w:tblW w:w="10205" w:type="dxa"/>
        <w:jc w:val="left"/>
        <w:tblInd w:w="0" w:type="dxa"/>
        <w:tblLayout w:type="fixed"/>
        <w:tblCellMar>
          <w:top w:w="28" w:type="dxa"/>
          <w:left w:w="28" w:type="dxa"/>
          <w:bottom w:w="28" w:type="dxa"/>
          <w:right w:w="28" w:type="dxa"/>
        </w:tblCellMar>
      </w:tblPr>
      <w:tblGrid>
        <w:gridCol w:w="1490"/>
        <w:gridCol w:w="146"/>
        <w:gridCol w:w="211"/>
        <w:gridCol w:w="676"/>
        <w:gridCol w:w="146"/>
        <w:gridCol w:w="146"/>
        <w:gridCol w:w="270"/>
        <w:gridCol w:w="811"/>
        <w:gridCol w:w="166"/>
        <w:gridCol w:w="146"/>
        <w:gridCol w:w="240"/>
        <w:gridCol w:w="721"/>
        <w:gridCol w:w="166"/>
        <w:gridCol w:w="146"/>
        <w:gridCol w:w="211"/>
        <w:gridCol w:w="571"/>
        <w:gridCol w:w="146"/>
        <w:gridCol w:w="146"/>
        <w:gridCol w:w="211"/>
        <w:gridCol w:w="676"/>
        <w:gridCol w:w="146"/>
        <w:gridCol w:w="146"/>
        <w:gridCol w:w="270"/>
        <w:gridCol w:w="811"/>
        <w:gridCol w:w="166"/>
        <w:gridCol w:w="146"/>
        <w:gridCol w:w="211"/>
        <w:gridCol w:w="676"/>
        <w:gridCol w:w="191"/>
      </w:tblGrid>
      <w:tr>
        <w:trPr/>
        <w:tc>
          <w:tcPr>
            <w:tcW w:w="1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Impairment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14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Customer relationships </w:t>
            </w:r>
            <w:r>
              <w:rPr>
                <w:rFonts w:ascii="Times New Roman" w:hAnsi="Times New Roman"/>
                <w:color w:val="000000"/>
                <w:sz w:val="13"/>
              </w:rPr>
              <w:t>1,2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91" w:type="dxa"/>
            <w:tcBorders/>
            <w:shd w:fill="FFFFFF" w:val="clear"/>
            <w:vAlign w:val="center"/>
          </w:tcPr>
          <w:p>
            <w:pPr>
              <w:pStyle w:val="TableContents"/>
              <w:bidi w:val="0"/>
              <w:spacing w:before="0" w:after="283"/>
              <w:jc w:val="left"/>
              <w:rPr/>
            </w:pPr>
            <w:r>
              <w:rPr/>
              <w:t> </w:t>
            </w:r>
          </w:p>
        </w:tc>
      </w:tr>
      <w:tr>
        <w:trPr/>
        <w:tc>
          <w:tcPr>
            <w:tcW w:w="149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Acquired technology </w:t>
            </w:r>
            <w:r>
              <w:rPr>
                <w:rFonts w:ascii="Times New Roman" w:hAnsi="Times New Roman"/>
                <w:color w:val="000000"/>
                <w:sz w:val="13"/>
              </w:rPr>
              <w:t>1,3,4,5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w:t>
            </w:r>
          </w:p>
        </w:tc>
        <w:tc>
          <w:tcPr>
            <w:tcW w:w="191" w:type="dxa"/>
            <w:tcBorders/>
            <w:shd w:fill="CFF0FC"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Acquired trademarks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9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intangible assets were established upon PDL BioPharma, Inc.’s acquisition of LENSAR in May 2017. They are being amortized on a straight-line basis over a period of 15 years. The intangible assets for customer relationships are amortized on a straight-line basis or a double declining basis over their estimated useful lives up to 20 years based on the method that better represents the economic benefits to be obtained.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LENSAR acquired certain intangible assets for customer relationships from a domestic distributor in an asset acquisition, which are being amortized on a straight-line basis over a period of 10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LENSAR acquired certain intangible assets from a medical technology company in an asset acquisition, which were being amortized on a straight-line basis over a period of 15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2019, LENSAR acquired certain intellectual property from a third party. Pursuant to the Company's agreement with the third party, the Company made milestone payments of $2,400 during the year ended December 31, 2022.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the phacoemulsification component. The Company determined that the carrying value of the intangible assets in items 3 and 4 above exceeded the estimated recoverable amount of $0 and recorded an impairment of intangible assets of $3,943. The impairment charge was offset with the write-off of the related contract liabilities of $214. </w:t>
      </w:r>
    </w:p>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Amortization expense for three months ended June 30, 2024 and 2023 was $232 and $275, respectively, and for the six months ended June 30, 2024 and 2023 was $506 and $551,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Based on the intangible assets recorded at June 30, 2024, and assuming no subsequent additions to or impairment of the underlying assets, the remaining amortization expense is expected to be as follows: </w:t>
      </w:r>
    </w:p>
    <w:tbl>
      <w:tblPr>
        <w:tblW w:w="5155" w:type="dxa"/>
        <w:jc w:val="left"/>
        <w:tblInd w:w="0" w:type="dxa"/>
        <w:tblLayout w:type="fixed"/>
        <w:tblCellMar>
          <w:top w:w="28" w:type="dxa"/>
          <w:left w:w="28" w:type="dxa"/>
          <w:bottom w:w="28" w:type="dxa"/>
          <w:right w:w="28" w:type="dxa"/>
        </w:tblCellMar>
      </w:tblPr>
      <w:tblGrid>
        <w:gridCol w:w="4036"/>
        <w:gridCol w:w="146"/>
        <w:gridCol w:w="211"/>
        <w:gridCol w:w="571"/>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estimated 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Accrued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liabilities consist of the following:</w:t>
      </w:r>
    </w:p>
    <w:tbl>
      <w:tblPr>
        <w:tblW w:w="5190" w:type="dxa"/>
        <w:jc w:val="left"/>
        <w:tblInd w:w="0" w:type="dxa"/>
        <w:tblLayout w:type="fixed"/>
        <w:tblCellMar>
          <w:top w:w="28" w:type="dxa"/>
          <w:left w:w="28" w:type="dxa"/>
          <w:bottom w:w="28" w:type="dxa"/>
          <w:right w:w="28" w:type="dxa"/>
        </w:tblCellMar>
      </w:tblPr>
      <w:tblGrid>
        <w:gridCol w:w="1936"/>
        <w:gridCol w:w="146"/>
        <w:gridCol w:w="303"/>
        <w:gridCol w:w="822"/>
        <w:gridCol w:w="146"/>
        <w:gridCol w:w="146"/>
        <w:gridCol w:w="403"/>
        <w:gridCol w:w="1097"/>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91" w:type="dxa"/>
            <w:tcBorders/>
            <w:shd w:fill="CFF0FC"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91" w:type="dxa"/>
            <w:tcBorders/>
            <w:shd w:fill="FFFFFF" w:val="clear"/>
            <w:vAlign w:val="center"/>
          </w:tcPr>
          <w:p>
            <w:pPr>
              <w:pStyle w:val="TableContents"/>
              <w:bidi w:val="0"/>
              <w:spacing w:before="0" w:after="283"/>
              <w:jc w:val="left"/>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91" w:type="dxa"/>
            <w:tcBorders/>
            <w:shd w:fill="CFF0FC"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offering costs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91" w:type="dxa"/>
            <w:tcBorders/>
            <w:shd w:fill="FFFFFF" w:val="clear"/>
            <w:vAlign w:val="center"/>
          </w:tcPr>
          <w:p>
            <w:pPr>
              <w:pStyle w:val="TableContents"/>
              <w:bidi w:val="0"/>
              <w:spacing w:before="0" w:after="283"/>
              <w:jc w:val="left"/>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May 2023, the Company completed the Private Placement, which included the issuance of warrants (the “Warrants”) to purchase an aggregate of 4,367 shares of common stock (the “Warrant Shares”). Fifty percent of the Warrants have an exercise price equal to $2.45 per share (the “Series A Warrant”), and 50% of the Warrants have an exercise price equal to $3.0625 per share (the “Series B Warrant”), subject in each instance to adjustments as provided under the terms of the Warrants. Refer to Note 11, </w:t>
      </w:r>
      <w:r>
        <w:rPr>
          <w:rFonts w:ascii="Times New Roman" w:hAnsi="Times New Roman"/>
          <w:i/>
          <w:color w:val="000000"/>
          <w:sz w:val="20"/>
        </w:rPr>
        <w:t>Redeemable Convertible Preferred Stock</w:t>
      </w:r>
      <w:r>
        <w:rPr>
          <w:rFonts w:ascii="Times New Roman" w:hAnsi="Times New Roman"/>
          <w:color w:val="000000"/>
          <w:sz w:val="20"/>
        </w:rPr>
        <w:t xml:space="preserve">, for more details related to the Private Placement.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 of operations. Of the $20,000 gross proceeds for the Private Placement, $5,605 was allocated to the Warrants and the remaining $14,395 was allocated to the Series A Redeemable Convertible Preferred Stock.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estimated the fair value of the warrant liabilities using recently quoted market prices of the Company's common stock and the Black-Scholes option pricing model. The fair value of the warrant liabilities was estimated using the following assumptions as of June 30, 2024 and December 31, 2023:</w:t>
      </w:r>
    </w:p>
    <w:tbl>
      <w:tblPr>
        <w:tblW w:w="4985" w:type="dxa"/>
        <w:jc w:val="left"/>
        <w:tblInd w:w="0" w:type="dxa"/>
        <w:tblLayout w:type="fixed"/>
        <w:tblCellMar>
          <w:top w:w="28" w:type="dxa"/>
          <w:left w:w="28" w:type="dxa"/>
          <w:bottom w:w="28" w:type="dxa"/>
          <w:right w:w="28" w:type="dxa"/>
        </w:tblCellMar>
      </w:tblPr>
      <w:tblGrid>
        <w:gridCol w:w="1876"/>
        <w:gridCol w:w="146"/>
        <w:gridCol w:w="1126"/>
        <w:gridCol w:w="146"/>
        <w:gridCol w:w="430"/>
        <w:gridCol w:w="1070"/>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CFF0FC" w:val="clear"/>
            <w:vAlign w:val="center"/>
          </w:tcPr>
          <w:p>
            <w:pPr>
              <w:pStyle w:val="TableContents"/>
              <w:bidi w:val="0"/>
              <w:spacing w:before="0" w:after="283"/>
              <w:jc w:val="righ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vAlign w:val="center"/>
          </w:tcPr>
          <w:p>
            <w:pPr>
              <w:pStyle w:val="TableContents"/>
              <w:bidi w:val="0"/>
              <w:spacing w:before="0" w:after="283"/>
              <w:jc w:val="right"/>
              <w:rPr/>
            </w:pPr>
            <w:r>
              <w:rPr/>
              <w:t> </w:t>
            </w:r>
          </w:p>
        </w:tc>
        <w:tc>
          <w:tcPr>
            <w:tcW w:w="43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CFF0FC" w:val="clear"/>
            <w:vAlign w:val="center"/>
          </w:tcPr>
          <w:p>
            <w:pPr>
              <w:pStyle w:val="TableContents"/>
              <w:bidi w:val="0"/>
              <w:spacing w:before="0" w:after="283"/>
              <w:jc w:val="righ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for the warrant liabilities was based on the remaining contractual term of the Warrants.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rates paid on securities issued by the U.S. Treasury with a term approximating the expected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Company does not intend to pay dividends for the foreseeable future. Accordingly, the Company used a dividend yield of zero in the assumptions.</w:t>
      </w:r>
    </w:p>
    <w:p>
      <w:pPr>
        <w:pStyle w:val="TextBody"/>
        <w:bidi w:val="0"/>
        <w:spacing w:before="360" w:after="283"/>
        <w:jc w:val="left"/>
        <w:rPr>
          <w:rFonts w:ascii="Times New Roman" w:hAnsi="Times New Roman"/>
          <w:sz w:val="20"/>
        </w:rPr>
      </w:pPr>
      <w:r>
        <w:rPr>
          <w:rFonts w:ascii="Times New Roman" w:hAnsi="Times New Roman"/>
          <w:b/>
          <w:color w:val="000000"/>
          <w:sz w:val="20"/>
        </w:rPr>
        <w:t>Note 10.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LENSAR is a party to various supply agreements for the manufacture and supply of certain components. The supply agreements commit LENSAR to a minimum purchase obligation of approximately $2,242 over the next 15 months. LENSAR expects to meet these requirements.</w:t>
      </w:r>
    </w:p>
    <w:p>
      <w:pPr>
        <w:pStyle w:val="TextBody"/>
        <w:bidi w:val="0"/>
        <w:spacing w:before="360" w:after="283"/>
        <w:jc w:val="left"/>
        <w:rPr>
          <w:rFonts w:ascii="Times New Roman" w:hAnsi="Times New Roman"/>
          <w:sz w:val="20"/>
        </w:rPr>
      </w:pPr>
      <w:r>
        <w:rPr>
          <w:rFonts w:ascii="Times New Roman" w:hAnsi="Times New Roman"/>
          <w:b/>
          <w:color w:val="000000"/>
          <w:sz w:val="20"/>
        </w:rPr>
        <w:t>Employee Retention Credit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2020, the United States enacted the Coronavirus Aid, Relief, and Economic Security Act (“CARES Act”). The CARES Act provides for an employee retention credit (“ERC”), which is a refundable tax credit against certain employment taxes paid in 2020 and 2021. During the quarter ended September 30, 2023, the Company received a majority of the ERC. As such, the Company recorded $1,368 as a reduction of selling, general and administrative expenses, which represents the ERC net of professional fees in the quarter ended September 30, 2023. During the three and six months ended June 30, 2024 and 2023, no amounts were recorded related to the ERC.</w:t>
      </w:r>
    </w:p>
    <w:p>
      <w:pPr>
        <w:pStyle w:val="TextBody"/>
        <w:bidi w:val="0"/>
        <w:spacing w:before="360" w:after="283"/>
        <w:jc w:val="both"/>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medical device market in which LENSAR participates is largely technology driven. As a result, intellectual property rights, particularly patents and trade secrets, play a significant role in product development and differentiation.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We make provisions for liabilities when it is both probable that a liability has been incurred and the amount of the loss can be reasonably estimated.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14, 2023, stockholders Ryan Schaper and Christopher P. Bolster filed a Verified Amended Class Action Complaint against the Company and certain of its officers and members of the board of directors (“Defendants”) in the matter captioned Schaper v. LENSAR, Inc., et al., Case No. 1:23-cv-00692-JLH (D. Del.). Plaintiffs allege that Defendants violated Sections 14(a) and 20(a) of the Exchange Act, as well as Rule 14d-9 promulgated thereunder, and assert claims challenging the adequacy of disclosures in the definitive proxy statement filed with the SEC on June 20, 2023, or the Proxy, in connection with the Private Placement. On August 18, 2023, the parties filed a joint stipulation extending Defendants’ time to respond to the complaint until a lead plaintiff is appointed and plaintiffs file a second amended complaint or designate the Verified Amended Class Action Complaint as operative. On December 12, 2023, the Court appointed Ryan Schaper and Christopher P. Bolster as Lead Plaintiffs. On December 22, 2023, the parties filed a joint stipulation providing that Lead Plaintiffs' will file a second amended complaint or designate the Verified Amended Class Action Complaint as operative on or before January 12, 2024. On January 12, 2024, Lead Plaintiffs filed a Verified Second Amended Class Action Complaint. Defendants filed a motion to dismiss on February 26, 2024. The parties completed briefing on the motion to dismiss in May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vigorously denies that the definitive proxy statement filed with the SEC on June 20, 2023 was deficient in any respect, or that that supplemental disclosures were required or necessary under applicable laws. At this time, the Company cannot predict the outcome, or provide a reasonable estimate or range of estimates of the possible outcome or loss, if any, in this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matter or other such matters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Redeemable Convertible Preferred Stock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Series A Redeemable Convertible Preferred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May 2023, the Company entered into a Securities Purchase Agreement (the “SPA”) with NR-GRI Partners, LP (“NR-GRI”), whereby it sold to NR-GRI, for an aggregate purchase price of $20,000, 20 shares of Series A Redeemable Convertible Preferred Stock and the Warrants (the “Private Placement”). Refer to Note 9, </w:t>
      </w:r>
      <w:r>
        <w:rPr>
          <w:rFonts w:ascii="Times New Roman" w:hAnsi="Times New Roman"/>
          <w:i/>
          <w:color w:val="000000"/>
          <w:sz w:val="20"/>
        </w:rPr>
        <w:t>Warrant Liabilities</w:t>
      </w:r>
      <w:r>
        <w:rPr>
          <w:rFonts w:ascii="Times New Roman" w:hAnsi="Times New Roman"/>
          <w:color w:val="000000"/>
          <w:sz w:val="20"/>
        </w:rPr>
        <w:t>, for more details related to the Warrants. The Series A Redeemable Convertible Preferred Stock is convertible into 7,940 shares of common stock at the election of NR-GRI.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A Redeemable Convertible Preferred Stock is classified as temporary equity in the condensed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condensed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Offering costs were subsequently reduced by $51 in the three months ended June 30, 2024 as all offering costs were paid and allocated ratably based on the allocation of proceeds; $14 was allocated to general and administrative expenses and $37 was allocated to Series A Redeemable Convertible Preferred Stock. Series A Redeemable Convertible Preferred Stock is presented net of offering costs on the condensed balance sheet.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 Convertible Preferred Stock and exercise of the Warrants.</w:t>
      </w:r>
    </w:p>
    <w:p>
      <w:pPr>
        <w:pStyle w:val="TextBody"/>
        <w:bidi w:val="0"/>
        <w:spacing w:before="360" w:after="283"/>
        <w:jc w:val="left"/>
        <w:rPr>
          <w:rFonts w:ascii="Times New Roman" w:hAnsi="Times New Roman"/>
          <w:sz w:val="20"/>
        </w:rPr>
      </w:pPr>
      <w:r>
        <w:rPr>
          <w:rFonts w:ascii="Times New Roman" w:hAnsi="Times New Roman"/>
          <w:b/>
          <w:color w:val="000000"/>
          <w:sz w:val="20"/>
        </w:rPr>
        <w:t>Note 12.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 single class of common stock in which stockholders are entitled to one vote for each share of common stock. No cash dividend was declared on common stock during the three and six months ended June 30, 2024 and 2023. </w:t>
      </w:r>
    </w:p>
    <w:p>
      <w:pPr>
        <w:pStyle w:val="TextBody"/>
        <w:bidi w:val="0"/>
        <w:spacing w:before="360" w:after="283"/>
        <w:jc w:val="left"/>
        <w:rPr>
          <w:rFonts w:ascii="Times New Roman" w:hAnsi="Times New Roman"/>
          <w:sz w:val="20"/>
        </w:rPr>
      </w:pPr>
      <w:r>
        <w:rPr>
          <w:rFonts w:ascii="Times New Roman" w:hAnsi="Times New Roman"/>
          <w:b/>
          <w:color w:val="000000"/>
          <w:sz w:val="20"/>
        </w:rPr>
        <w:t>Note 13.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Stock-Based Incentive Plans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The 2020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July 2020, the Board of Directors approved the LENSAR Inc. 2020 Incentive Award Plan (the “2020 Plan”). The 2020 Plan provides for the grant of stock options, restricted stock, restricted stock unit awards, performance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June 30, 2024, the Company has reserved a total of 5,550 shares of common stock for issuance under the 2020 Plan. </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The Inducement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 February 2024, the Board adopted the 2024 Employment Inducement Incentive Award Plan (the “Inducement Plan”). The Inducement Plan provides for the grant of non-qualified stock options, stock appreciation rights, restricted stock awards, restricted stock units, and other stock or cash based awards (collectively, the “Inducement Awards”).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 Inducement Plan. In accordance with Rule 5635(c)(4) of the Nasdaq Listing Rules, Inducement Awards under the 2024 Plan may only be made to an employee who has not previously been an employee or member of the Board, or following a bona fide period of non-employment by the Company, if he or she is granted such Inducement Awards in connection with his or her commencement of employment with the Company and such grant is an inducement material to his or her entering into employment with the Company.</w:t>
      </w:r>
    </w:p>
    <w:p>
      <w:pPr>
        <w:pStyle w:val="TextBody"/>
        <w:bidi w:val="0"/>
        <w:spacing w:before="240" w:after="120"/>
        <w:jc w:val="both"/>
        <w:rPr>
          <w:rFonts w:ascii="Times New Roman" w:hAnsi="Times New Roman"/>
          <w:color w:val="231F20"/>
          <w:sz w:val="20"/>
        </w:rPr>
      </w:pPr>
      <w:r>
        <w:rPr>
          <w:rFonts w:ascii="Times New Roman" w:hAnsi="Times New Roman"/>
          <w:color w:val="231F20"/>
          <w:sz w:val="20"/>
        </w:rPr>
        <w:t>A summary of the shares available for issuance under the 2020 Plan and Inducement Plan (collectively, the “Incentive Plans”) is as follows:</w:t>
      </w:r>
    </w:p>
    <w:tbl>
      <w:tblPr>
        <w:tblW w:w="5095" w:type="dxa"/>
        <w:jc w:val="left"/>
        <w:tblInd w:w="0" w:type="dxa"/>
        <w:tblLayout w:type="fixed"/>
        <w:tblCellMar>
          <w:top w:w="28" w:type="dxa"/>
          <w:left w:w="28" w:type="dxa"/>
          <w:bottom w:w="28" w:type="dxa"/>
          <w:right w:w="28" w:type="dxa"/>
        </w:tblCellMar>
      </w:tblPr>
      <w:tblGrid>
        <w:gridCol w:w="2596"/>
        <w:gridCol w:w="146"/>
        <w:gridCol w:w="841"/>
        <w:gridCol w:w="146"/>
        <w:gridCol w:w="136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Inducement Plan</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ind w:left="0" w:right="0" w:firstLine="100"/>
              <w:jc w:val="right"/>
              <w:rPr>
                <w:color w:val="000000"/>
              </w:rPr>
            </w:pPr>
            <w:r>
              <w:rPr>
                <w:color w:val="000000"/>
              </w:rPr>
              <w:t>—</w:t>
            </w:r>
          </w:p>
        </w:tc>
      </w:tr>
      <w:tr>
        <w:trPr/>
        <w:tc>
          <w:tcPr>
            <w:tcW w:w="25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Authorized</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100</w:t>
            </w:r>
          </w:p>
        </w:tc>
      </w:tr>
      <w:tr>
        <w:trPr/>
        <w:tc>
          <w:tcPr>
            <w:tcW w:w="2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Granted/Awarded</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(8)</w:t>
            </w:r>
          </w:p>
        </w:tc>
      </w:tr>
      <w:tr>
        <w:trPr/>
        <w:tc>
          <w:tcPr>
            <w:tcW w:w="25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FFFFFF" w:val="cle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Option award activity under the Incentive Plans is set forth below:</w:t>
      </w:r>
    </w:p>
    <w:tbl>
      <w:tblPr>
        <w:tblW w:w="10205" w:type="dxa"/>
        <w:jc w:val="left"/>
        <w:tblInd w:w="0" w:type="dxa"/>
        <w:tblLayout w:type="fixed"/>
        <w:tblCellMar>
          <w:top w:w="28" w:type="dxa"/>
          <w:left w:w="28" w:type="dxa"/>
          <w:bottom w:w="28" w:type="dxa"/>
          <w:right w:w="28" w:type="dxa"/>
        </w:tblCellMar>
      </w:tblPr>
      <w:tblGrid>
        <w:gridCol w:w="2355"/>
        <w:gridCol w:w="146"/>
        <w:gridCol w:w="211"/>
        <w:gridCol w:w="828"/>
        <w:gridCol w:w="166"/>
        <w:gridCol w:w="146"/>
        <w:gridCol w:w="498"/>
        <w:gridCol w:w="1100"/>
        <w:gridCol w:w="146"/>
        <w:gridCol w:w="146"/>
        <w:gridCol w:w="744"/>
        <w:gridCol w:w="1845"/>
        <w:gridCol w:w="146"/>
        <w:gridCol w:w="146"/>
        <w:gridCol w:w="374"/>
        <w:gridCol w:w="1013"/>
        <w:gridCol w:w="195"/>
      </w:tblGrid>
      <w:tr>
        <w:trPr/>
        <w:tc>
          <w:tcPr>
            <w:tcW w:w="2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left"/>
              <w:rPr/>
            </w:pPr>
            <w:r>
              <w:rPr/>
              <w:t> </w:t>
            </w:r>
          </w:p>
        </w:tc>
        <w:tc>
          <w:tcPr>
            <w:tcW w:w="18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95" w:type="dxa"/>
            <w:tcBorders/>
            <w:shd w:fill="CFF0FC" w:val="clear"/>
            <w:vAlign w:val="center"/>
          </w:tcPr>
          <w:p>
            <w:pPr>
              <w:pStyle w:val="TableContents"/>
              <w:bidi w:val="0"/>
              <w:spacing w:before="0" w:after="283"/>
              <w:jc w:val="left"/>
              <w:rPr/>
            </w:pPr>
            <w:r>
              <w:rPr/>
              <w:t> </w:t>
            </w:r>
          </w:p>
        </w:tc>
      </w:tr>
      <w:tr>
        <w:trPr/>
        <w:tc>
          <w:tcPr>
            <w:tcW w:w="23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23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cancelled/forfeited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left"/>
              <w:rPr/>
            </w:pPr>
            <w:r>
              <w:rPr/>
              <w:t> </w:t>
            </w:r>
          </w:p>
        </w:tc>
        <w:tc>
          <w:tcPr>
            <w:tcW w:w="18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95" w:type="dxa"/>
            <w:tcBorders/>
            <w:shd w:fill="CFF0FC" w:val="clear"/>
            <w:vAlign w:val="center"/>
          </w:tcPr>
          <w:p>
            <w:pPr>
              <w:pStyle w:val="TableContents"/>
              <w:bidi w:val="0"/>
              <w:spacing w:before="0" w:after="283"/>
              <w:jc w:val="left"/>
              <w:rPr/>
            </w:pPr>
            <w:r>
              <w:rPr/>
              <w:t> </w:t>
            </w:r>
          </w:p>
        </w:tc>
      </w:tr>
      <w:tr>
        <w:trPr/>
        <w:tc>
          <w:tcPr>
            <w:tcW w:w="23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left"/>
              <w:rPr/>
            </w:pPr>
            <w:r>
              <w:rPr/>
              <w:t> </w:t>
            </w:r>
          </w:p>
        </w:tc>
        <w:tc>
          <w:tcPr>
            <w:tcW w:w="18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95" w:type="dxa"/>
            <w:tcBorders/>
            <w:shd w:fill="CFF0FC" w:val="clear"/>
            <w:vAlign w:val="center"/>
          </w:tcPr>
          <w:p>
            <w:pPr>
              <w:pStyle w:val="TableContents"/>
              <w:bidi w:val="0"/>
              <w:spacing w:before="0" w:after="283"/>
              <w:jc w:val="left"/>
              <w:rPr/>
            </w:pPr>
            <w:r>
              <w:rPr/>
              <w:t> </w:t>
            </w:r>
          </w:p>
        </w:tc>
      </w:tr>
      <w:tr>
        <w:trPr/>
        <w:tc>
          <w:tcPr>
            <w:tcW w:w="23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June 30, 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left"/>
              <w:rPr/>
            </w:pPr>
            <w:r>
              <w:rPr/>
              <w:t> </w:t>
            </w:r>
          </w:p>
        </w:tc>
        <w:tc>
          <w:tcPr>
            <w:tcW w:w="18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95"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 average grant date fair value of options granted during the three and six months ended June 30, 2024 was $2.32 and $2.37, respectively. The total fair value of options vested during the three and six months ended June 30, 2024 was approximately $466 and $1,001, respectively. Total unrecognized compensation expense of $1,647 related to stock options will be recognized over a weighted average period of 1.9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information about stock options outstanding and vested as of June 30, 2024:</w:t>
      </w:r>
    </w:p>
    <w:tbl>
      <w:tblPr>
        <w:tblW w:w="10205" w:type="dxa"/>
        <w:jc w:val="left"/>
        <w:tblInd w:w="0" w:type="dxa"/>
        <w:tblLayout w:type="fixed"/>
        <w:tblCellMar>
          <w:top w:w="28" w:type="dxa"/>
          <w:left w:w="28" w:type="dxa"/>
          <w:bottom w:w="28" w:type="dxa"/>
          <w:right w:w="28" w:type="dxa"/>
        </w:tblCellMar>
      </w:tblPr>
      <w:tblGrid>
        <w:gridCol w:w="1201"/>
        <w:gridCol w:w="146"/>
        <w:gridCol w:w="249"/>
        <w:gridCol w:w="981"/>
        <w:gridCol w:w="146"/>
        <w:gridCol w:w="146"/>
        <w:gridCol w:w="646"/>
        <w:gridCol w:w="1600"/>
        <w:gridCol w:w="146"/>
        <w:gridCol w:w="146"/>
        <w:gridCol w:w="445"/>
        <w:gridCol w:w="984"/>
        <w:gridCol w:w="146"/>
        <w:gridCol w:w="146"/>
        <w:gridCol w:w="235"/>
        <w:gridCol w:w="926"/>
        <w:gridCol w:w="146"/>
        <w:gridCol w:w="146"/>
        <w:gridCol w:w="445"/>
        <w:gridCol w:w="984"/>
        <w:gridCol w:w="195"/>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Vested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$2.15 - $3.10</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6" w:type="dxa"/>
            <w:tcBorders/>
            <w:shd w:fill="CFF0FC" w:val="clear"/>
            <w:vAlign w:val="center"/>
          </w:tcPr>
          <w:p>
            <w:pPr>
              <w:pStyle w:val="TableContents"/>
              <w:bidi w:val="0"/>
              <w:spacing w:before="0" w:after="283"/>
              <w:jc w:val="left"/>
              <w:rPr/>
            </w:pPr>
            <w:r>
              <w:rPr/>
              <w:t> </w:t>
            </w:r>
          </w:p>
        </w:tc>
        <w:tc>
          <w:tcPr>
            <w:tcW w:w="1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95"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$3.23</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jc w:val="left"/>
              <w:rPr/>
            </w:pPr>
            <w:r>
              <w:rPr/>
              <w:t> </w:t>
            </w:r>
          </w:p>
        </w:tc>
        <w:tc>
          <w:tcPr>
            <w:tcW w:w="1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5"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$3.27 - $5.95</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6" w:type="dxa"/>
            <w:tcBorders/>
            <w:shd w:fill="CFF0FC" w:val="clear"/>
            <w:vAlign w:val="center"/>
          </w:tcPr>
          <w:p>
            <w:pPr>
              <w:pStyle w:val="TableContents"/>
              <w:bidi w:val="0"/>
              <w:spacing w:before="0" w:after="283"/>
              <w:jc w:val="left"/>
              <w:rPr/>
            </w:pPr>
            <w:r>
              <w:rPr/>
              <w:t> </w:t>
            </w:r>
          </w:p>
        </w:tc>
        <w:tc>
          <w:tcPr>
            <w:tcW w:w="1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95"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$6.04</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jc w:val="left"/>
              <w:rPr/>
            </w:pPr>
            <w:r>
              <w:rPr/>
              <w:t> </w:t>
            </w:r>
          </w:p>
        </w:tc>
        <w:tc>
          <w:tcPr>
            <w:tcW w:w="1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95"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$6.07 - $8.62</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6" w:type="dxa"/>
            <w:tcBorders/>
            <w:shd w:fill="CFF0FC" w:val="clear"/>
            <w:vAlign w:val="center"/>
          </w:tcPr>
          <w:p>
            <w:pPr>
              <w:pStyle w:val="TableContents"/>
              <w:bidi w:val="0"/>
              <w:spacing w:before="0" w:after="283"/>
              <w:jc w:val="left"/>
              <w:rPr/>
            </w:pPr>
            <w:r>
              <w:rPr/>
              <w:t> </w:t>
            </w:r>
          </w:p>
        </w:tc>
        <w:tc>
          <w:tcPr>
            <w:tcW w:w="1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95"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jc w:val="left"/>
              <w:rPr/>
            </w:pPr>
            <w:r>
              <w:rPr/>
              <w:t> </w:t>
            </w:r>
          </w:p>
        </w:tc>
        <w:tc>
          <w:tcPr>
            <w:tcW w:w="1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95"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and six months ended June 30, 2024 and 2023:</w:t>
      </w:r>
    </w:p>
    <w:tbl>
      <w:tblPr>
        <w:tblW w:w="6229" w:type="dxa"/>
        <w:jc w:val="left"/>
        <w:tblInd w:w="0" w:type="dxa"/>
        <w:tblLayout w:type="fixed"/>
        <w:tblCellMar>
          <w:top w:w="28" w:type="dxa"/>
          <w:left w:w="28" w:type="dxa"/>
          <w:bottom w:w="28" w:type="dxa"/>
          <w:right w:w="28" w:type="dxa"/>
        </w:tblCellMar>
      </w:tblPr>
      <w:tblGrid>
        <w:gridCol w:w="1876"/>
        <w:gridCol w:w="146"/>
        <w:gridCol w:w="931"/>
        <w:gridCol w:w="146"/>
        <w:gridCol w:w="931"/>
        <w:gridCol w:w="146"/>
        <w:gridCol w:w="931"/>
        <w:gridCol w:w="146"/>
        <w:gridCol w:w="97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4.3 - 4.6%</w:t>
            </w:r>
          </w:p>
        </w:tc>
        <w:tc>
          <w:tcPr>
            <w:tcW w:w="146" w:type="dxa"/>
            <w:tcBorders/>
            <w:shd w:fill="CFF0FC" w:val="clear"/>
            <w:vAlign w:val="center"/>
          </w:tcPr>
          <w:p>
            <w:pPr>
              <w:pStyle w:val="TableContents"/>
              <w:bidi w:val="0"/>
              <w:spacing w:before="0" w:after="283"/>
              <w:jc w:val="righ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3.5 - 3.9%</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3.9 - 4.6%</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3.5 - 4.2%</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righ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vAlign w:val="center"/>
          </w:tcPr>
          <w:p>
            <w:pPr>
              <w:pStyle w:val="TableContents"/>
              <w:bidi w:val="0"/>
              <w:spacing w:before="0" w:after="283"/>
              <w:jc w:val="righ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58 - 59%</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vAlign w:val="center"/>
          </w:tcPr>
          <w:p>
            <w:pPr>
              <w:pStyle w:val="TableContents"/>
              <w:bidi w:val="0"/>
              <w:spacing w:before="0" w:after="283"/>
              <w:jc w:val="righ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for the Company’s stock-based compensation awards was based on an index of the expected terms of a group of comparable publicly-traded medical device and other peer companies, which the Company believed was representative of the expected term of its awards.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rates paid on securities issued by the U.S. Treasury with a term approximating the expected term.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The expected volatility for the Company’s stock-based compensation awards was based on an index of the historical volatilities of a group of comparable publicly-traded medical device and other peer companies, which the Company believed was representative of the volatility of its common stock.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Company does not intend to pay dividends for the foreseeable future. Accordingly, the Company used a dividend yield of zero in the assumptions.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Restricted stock units granted to employees and non-employees generally vest over one to four years in annual equal increments. The fair value of restricted stock units is based on the Company’s closing stock price on the date of grant.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Performance stock units granted to certain executive officers are subject to service and performance conditions. The shares subject to the performance stock units vest over a four-year performance period. The actual number of performance stock units that will vest in each measurement period will be determined by the Compensation Committee based on the Company’s one-year trailing revenues and achievement of certain revenue thresholds. The fair value of performance stock units is based on the Company’s closing stock price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Restricted stock unit and performance stock unit activity under the Incentive Plans is set forth below:</w:t>
      </w:r>
    </w:p>
    <w:tbl>
      <w:tblPr>
        <w:tblW w:w="8949" w:type="dxa"/>
        <w:jc w:val="left"/>
        <w:tblInd w:w="0" w:type="dxa"/>
        <w:tblLayout w:type="fixed"/>
        <w:tblCellMar>
          <w:top w:w="28" w:type="dxa"/>
          <w:left w:w="28" w:type="dxa"/>
          <w:bottom w:w="28" w:type="dxa"/>
          <w:right w:w="28" w:type="dxa"/>
        </w:tblCellMar>
      </w:tblPr>
      <w:tblGrid>
        <w:gridCol w:w="2866"/>
        <w:gridCol w:w="146"/>
        <w:gridCol w:w="303"/>
        <w:gridCol w:w="1002"/>
        <w:gridCol w:w="272"/>
        <w:gridCol w:w="239"/>
        <w:gridCol w:w="1224"/>
        <w:gridCol w:w="270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2023</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272"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cancelled</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2024</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total fair value of restricted stock units vested during the three and six months ended June 30, 2024 was approximately $215 and $494, respectively. At June 30, 2024 there was approximately $2,247 of total unrecognized compensation expense related to restricted stock units and performance stock units, which is expected to be recognized over a weighted-average period of 2.2 years.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2020 Employee Stock Purchase Plan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w:t>
      </w:r>
      <w:r>
        <w:rPr>
          <w:rFonts w:ascii="Times New Roman" w:hAnsi="Times New Roman"/>
          <w:color w:val="231F20"/>
          <w:sz w:val="20"/>
        </w:rPr>
        <w:t xml:space="preserve">As of June 30, 2024, the Company has reserved 564 shares of common stock for issuance under the 2020 ESPP. </w:t>
      </w:r>
      <w:r>
        <w:rPr>
          <w:rFonts w:ascii="Times New Roman" w:hAnsi="Times New Roman"/>
          <w:color w:val="000000"/>
          <w:sz w:val="20"/>
        </w:rPr>
        <w:t>The price of the common stock purchased will be the lower of 85% of the fair market value of the common stock at the beginning of an offering period or at the end of a purchase period. The 2020 ESPP is intended to qualify as an "employee stock purchase plan" within the meaning of Section 423 of the Code.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of June 30, 2024, 384 shares of common stock have been issued to employees participating in the 2020 ESPP and 180 shares were available for future issuance under the 2020 ESPP. The grant date fair value of the shares to be issued under the Company’s 2020 ESPP was estimated using the Black-Scholes valuation model.</w:t>
      </w:r>
    </w:p>
    <w:p>
      <w:pPr>
        <w:pStyle w:val="TextBody"/>
        <w:bidi w:val="0"/>
        <w:spacing w:before="240" w:after="120"/>
        <w:jc w:val="both"/>
        <w:rPr>
          <w:rFonts w:ascii="Times New Roman" w:hAnsi="Times New Roman"/>
          <w:color w:val="231F20"/>
          <w:sz w:val="20"/>
        </w:rPr>
      </w:pPr>
      <w:r>
        <w:rPr>
          <w:rFonts w:ascii="Times New Roman" w:hAnsi="Times New Roman"/>
          <w:color w:val="231F20"/>
          <w:sz w:val="20"/>
        </w:rPr>
        <w:t>The following table sets forth the total stock-based compensation expense recognized under the Incentive Plans and the 2020 ESPP in the Company's condensed statements of operations:</w:t>
      </w:r>
    </w:p>
    <w:tbl>
      <w:tblPr>
        <w:tblW w:w="7927" w:type="dxa"/>
        <w:jc w:val="left"/>
        <w:tblInd w:w="0" w:type="dxa"/>
        <w:tblLayout w:type="fixed"/>
        <w:tblCellMar>
          <w:top w:w="28" w:type="dxa"/>
          <w:left w:w="28" w:type="dxa"/>
          <w:bottom w:w="28" w:type="dxa"/>
          <w:right w:w="28" w:type="dxa"/>
        </w:tblCellMar>
      </w:tblPr>
      <w:tblGrid>
        <w:gridCol w:w="3736"/>
        <w:gridCol w:w="146"/>
        <w:gridCol w:w="211"/>
        <w:gridCol w:w="421"/>
        <w:gridCol w:w="146"/>
        <w:gridCol w:w="146"/>
        <w:gridCol w:w="211"/>
        <w:gridCol w:w="571"/>
        <w:gridCol w:w="146"/>
        <w:gridCol w:w="146"/>
        <w:gridCol w:w="211"/>
        <w:gridCol w:w="571"/>
        <w:gridCol w:w="146"/>
        <w:gridCol w:w="146"/>
        <w:gridCol w:w="211"/>
        <w:gridCol w:w="57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product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product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service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91" w:type="dxa"/>
            <w:tcBorders/>
            <w:shd w:fill="FFFFFF" w:val="cle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91" w:type="dxa"/>
            <w:tcBorders/>
            <w:shd w:fill="FFFFFF" w:val="cle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unrecognized 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included in this table are based on restricted stock units, performance stock units, and stock options outstanding at June 30, 2024 and assumes the requisite service period is fulfilled for all awards outstanding. Actual stock-based compensation expense in future periods may vary from those reflected in the table.</w:t>
      </w:r>
    </w:p>
    <w:p>
      <w:pPr>
        <w:pStyle w:val="TextBody"/>
        <w:bidi w:val="0"/>
        <w:spacing w:before="360" w:after="283"/>
        <w:jc w:val="left"/>
        <w:rPr>
          <w:rFonts w:ascii="Times New Roman" w:hAnsi="Times New Roman"/>
          <w:sz w:val="20"/>
        </w:rPr>
      </w:pPr>
      <w:r>
        <w:rPr>
          <w:rFonts w:ascii="Times New Roman" w:hAnsi="Times New Roman"/>
          <w:b/>
          <w:color w:val="000000"/>
          <w:sz w:val="20"/>
        </w:rPr>
        <w:t>Note 14. Earnings (Loss)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is a reconciliation of the numerator (net loss) and the denominator (number of shares) used in the basic and diluted net loss per share calculations: </w:t>
      </w:r>
    </w:p>
    <w:tbl>
      <w:tblPr>
        <w:tblW w:w="9402" w:type="dxa"/>
        <w:jc w:val="left"/>
        <w:tblInd w:w="0" w:type="dxa"/>
        <w:tblLayout w:type="fixed"/>
        <w:tblCellMar>
          <w:top w:w="28" w:type="dxa"/>
          <w:left w:w="28" w:type="dxa"/>
          <w:bottom w:w="28" w:type="dxa"/>
          <w:right w:w="28" w:type="dxa"/>
        </w:tblCellMar>
      </w:tblPr>
      <w:tblGrid>
        <w:gridCol w:w="4441"/>
        <w:gridCol w:w="146"/>
        <w:gridCol w:w="211"/>
        <w:gridCol w:w="676"/>
        <w:gridCol w:w="166"/>
        <w:gridCol w:w="146"/>
        <w:gridCol w:w="211"/>
        <w:gridCol w:w="676"/>
        <w:gridCol w:w="166"/>
        <w:gridCol w:w="146"/>
        <w:gridCol w:w="211"/>
        <w:gridCol w:w="736"/>
        <w:gridCol w:w="166"/>
        <w:gridCol w:w="146"/>
        <w:gridCol w:w="211"/>
        <w:gridCol w:w="736"/>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w:t>
            </w:r>
          </w:p>
        </w:tc>
        <w:tc>
          <w:tcPr>
            <w:tcW w:w="211" w:type="dxa"/>
            <w:tcBorders/>
            <w:shd w:fill="FFFFFF" w:val="clear"/>
            <w:vAlign w:val="center"/>
          </w:tcPr>
          <w:p>
            <w:pPr>
              <w:pStyle w:val="TableContents"/>
              <w:bidi w:val="0"/>
              <w:spacing w:before="0" w:after="283"/>
              <w:jc w:val="left"/>
              <w:rPr/>
            </w:pPr>
            <w:r>
              <w:rPr/>
              <w:t> </w:t>
            </w:r>
          </w:p>
        </w:tc>
      </w:tr>
      <w:tr>
        <w:trPr/>
        <w:tc>
          <w:tcPr>
            <w:tcW w:w="4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As the Company has reported a net loss for all periods presented, basic and diluted net loss per share attributable to common stockholders are the same for those periods. The Company excluded the following amounts of equity securities from its diluted loss per share calculations for the three and six months ended June 30, 2024 and 2023 because their effect was anti-dilutive: </w:t>
      </w:r>
    </w:p>
    <w:tbl>
      <w:tblPr>
        <w:tblW w:w="6697" w:type="dxa"/>
        <w:jc w:val="left"/>
        <w:tblInd w:w="0" w:type="dxa"/>
        <w:tblLayout w:type="fixed"/>
        <w:tblCellMar>
          <w:top w:w="28" w:type="dxa"/>
          <w:left w:w="28" w:type="dxa"/>
          <w:bottom w:w="28" w:type="dxa"/>
          <w:right w:w="28" w:type="dxa"/>
        </w:tblCellMar>
      </w:tblPr>
      <w:tblGrid>
        <w:gridCol w:w="4126"/>
        <w:gridCol w:w="146"/>
        <w:gridCol w:w="189"/>
        <w:gridCol w:w="739"/>
        <w:gridCol w:w="189"/>
        <w:gridCol w:w="189"/>
        <w:gridCol w:w="189"/>
        <w:gridCol w:w="739"/>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and 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 and Series B Warrants</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and units</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anti-dilutive weighted average shares excluded from the diluted loss per share calculations were:</w:t>
      </w:r>
    </w:p>
    <w:tbl>
      <w:tblPr>
        <w:tblW w:w="8417" w:type="dxa"/>
        <w:jc w:val="left"/>
        <w:tblInd w:w="0" w:type="dxa"/>
        <w:tblLayout w:type="fixed"/>
        <w:tblCellMar>
          <w:top w:w="28" w:type="dxa"/>
          <w:left w:w="28" w:type="dxa"/>
          <w:bottom w:w="28" w:type="dxa"/>
          <w:right w:w="28" w:type="dxa"/>
        </w:tblCellMar>
      </w:tblPr>
      <w:tblGrid>
        <w:gridCol w:w="4126"/>
        <w:gridCol w:w="146"/>
        <w:gridCol w:w="146"/>
        <w:gridCol w:w="676"/>
        <w:gridCol w:w="146"/>
        <w:gridCol w:w="146"/>
        <w:gridCol w:w="146"/>
        <w:gridCol w:w="571"/>
        <w:gridCol w:w="146"/>
        <w:gridCol w:w="146"/>
        <w:gridCol w:w="146"/>
        <w:gridCol w:w="676"/>
        <w:gridCol w:w="146"/>
        <w:gridCol w:w="146"/>
        <w:gridCol w:w="146"/>
        <w:gridCol w:w="571"/>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and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on Form 10-K for the fiscal year ended December 31, 2023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commercial-stage medical device company focused on designing, developing and marketing an advanced laser system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 more efficiently. </w:t>
      </w:r>
    </w:p>
    <w:p>
      <w:pPr>
        <w:pStyle w:val="TextBody"/>
        <w:bidi w:val="0"/>
        <w:spacing w:before="240" w:after="283"/>
        <w:jc w:val="both"/>
        <w:rPr>
          <w:rFonts w:ascii="Times New Roman" w:hAnsi="Times New Roman"/>
          <w:sz w:val="20"/>
        </w:rPr>
      </w:pPr>
      <w:r>
        <w:rPr>
          <w:rFonts w:ascii="Times New Roman" w:hAnsi="Times New Roman"/>
          <w:color w:val="000000"/>
          <w:sz w:val="20"/>
        </w:rPr>
        <w:t>Our current product portfolio includes the LENSAR Laser System, or LLS, and ALLY</w:t>
      </w:r>
      <w:r>
        <w:rPr>
          <w:rFonts w:ascii="Times New Roman" w:hAnsi="Times New Roman"/>
          <w:color w:val="000000"/>
          <w:sz w:val="13"/>
        </w:rPr>
        <w:t>®</w:t>
      </w:r>
      <w:r>
        <w:rPr>
          <w:rFonts w:ascii="Times New Roman" w:hAnsi="Times New Roman"/>
          <w:color w:val="000000"/>
          <w:sz w:val="20"/>
        </w:rPr>
        <w:t xml:space="preserve"> Adaptive Cataract Treatment System, or ALLY System (collectively, the Systems)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focused on continuous innovation and have launched our proprietary next generation ALLY System. The ALLY System enables cataract surgeons to complete the laser-assisted cataract surgery seamlessly in a single, sterile environment. Our ALLY System received clearance from the U.S. Food and Drug Administration (“FDA”) in June 2022, and we executed a controlled and targeted initial launch of the ALLY System beginning in August 2022. The ALLY System is available to all U.S. and European Union, or EU, cataract surgeons and has also received regulatory clearance in India, Taiwan, as well as certain other countries. In 2022, we transitioned from manufacturing and selling our LLS to focus on our ALLY System. In addition, we have submitted the ALLY System for certification through distributors in South Korea and China for additional marketing or certification applications. Our growth, market presence and ability to sell the ALLY System will depend on whether the ALLY System receives regulatory clearance in other regions outside the United States and the timing of these clearances or certifications, among other factors. Our future revenue and cash flows will depend on, among other factors, our installed base of Systems and the timing of and applicable clearances for our ALLY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built and are continuing to grow our commercial organization, which includes a direct sales force in the United States and distributors in Germany, China, India,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June 30, 2024, consisted of approximately 60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revenue increased from $12.0 million for the three months ended June 30, 2023 to $12.6 million for the three months ended June 30, 2024, representing an increase of 5%, primarily due to increased ALLY System sales and procedure volume. Our net loss was $9.0 million and $8.8 million for the three months ended June 30, 2024 and 2023, respectively. Net loss for the three months ended June 30, 2024 included a $3.7 million impairment charge on intangible assets. Our revenue increased from $20.3 million for the six months ended June 30, 2023 to $23.2 million for the six months ended June 30, 2024, representing an increase of 15%, primarily due to increased ALLY System sales and procedure volume. Our net loss was $11.2 million and $13.0 million for the six months ended June 30,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2023, respectively. Net loss for the six months ended June 30, 2024 included a $3.7 million impairment charge on intangible assets. Our installed base of Systems is approximately 330 as of June 30, 2024.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Factors to Consider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operate in a highly competitive environment that involves a number of risks, some of which are beyond our control. We are subject to risks common to medical device companies, including risks inherent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laser system development and commercialization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uncertainty of regulatory actions and marketing approvals or certifications;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reliance on a network of international distributors and a network of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levels of coverage and reimbursement by government or other third-party payors for procedures using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willingness and ability to pay for procedures with significant costs not covered by or reimbursable through government or other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enforcement of patent and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need for future capital;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safety requirements and suggestions regarding patient treatment as required or suggested by health care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clearance or certification by regulatory agencies, including the FDA, or notified bodies for our ALLY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supply chain shortages, labor market shifts and price increases resulting from various macroeconomic factors;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associated with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reimbursement practices in jurisdictions where procedures using our Systems are performed, such as South Korea.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provide assurance that we will generate significant revenues or achieve and sustain profitability in the future. In addition, we can provide no assurance that we will have sufficient funding to meet our future capital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Global economic uncertainty and other factors have impeded global supply chains, resulted in longer lead times and delays in procuring component parts and raw materials, and resulted in inflationary cost increases in certain raw materials, labor and transportation. In particular, a global semiconductor supply shortage has had, and is continuing to have, wide-ranging effects across multiple industries. We have seen significant disruptions in the supply of, timing of delivery of and fluctuations in pricing for various component parts needed for our products, including the integrated circuits used in our Systems, and expect these trends may reappear in the future. While we are not directly exposed to economic conditions in Russia or Ukraine, the ongoing war between Russia and Ukraine has also had a substantial impact on global supply chains and may be a contributing factor to the supply chain shortages we are experiencing. Supply chain disruptions and broad-based inflationary impacts have negatively impacted the Company’s financial condition, results of operations and cash flows since 2020 and these supply chain constraints may result in future impacts to our business.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these and other factors, our historical results are not necessarily indicative of future performance, and any interim results we present are not indicative of the results that may be expected for the full fiscal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revenue comprises product revenue, service revenue and lease revenue. We derive product revenue from the sale of our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Systems that provide additional maintenance and service beyond our standard limited warranty. In some situations, we lease our Systems to surgeons, primarily through non-cancellable leases with a fixed lease payment. We consider all components of our revenue to be recurring source revenue, with the exception of sales of our Systems. For the three and six months ended June 30, 2024, approximately 79% and 84% of our revenue was attributable to recurring sources, respectively, compared to 70% and 79% for the three and six months ended June 30, 2023,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Total cost of revenue comprises cost of product revenue</w:t>
      </w:r>
      <w:r>
        <w:rPr>
          <w:rFonts w:ascii="Times New Roman" w:hAnsi="Times New Roman"/>
          <w:i/>
          <w:color w:val="000000"/>
          <w:sz w:val="20"/>
        </w:rPr>
        <w:t xml:space="preserve">, </w:t>
      </w:r>
      <w:r>
        <w:rPr>
          <w:rFonts w:ascii="Times New Roman" w:hAnsi="Times New Roman"/>
          <w:color w:val="000000"/>
          <w:sz w:val="20"/>
        </w:rPr>
        <w:t xml:space="preserve">cost of lease revenue and cost of service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selling, general and administrative expenses consist primarily of personnel costs, such as salaries and wages, including stock-based compensation and benefits, professional fees, marketing, insurance, travel and other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continuing to grow our sales efforts in the United States. We expect our selling, general and administrative expenses to continue to increase in association with our planned growth.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LLS with a dual-pulse laser, integrated in a small, compact cataract treatment system that is designed to allow surgeons to perform a sterile laser-assisted cataract surgery in a single operating room or in-office surgical suite.</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Impairment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the phacoemulsification component. During the three months ended June 30, 2024, the Company determined that the carrying value of the intangible assets exceeded the estimated recoverable amount of $0 and recorded an impairment of intangible assets of $3.9 million. The impairment charge was offset with the write-off of contract liabilities associated with the intangible assets of $0.2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Change in Fair Value of Warrant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change in fair value of warrant liabilities consists of the change in estimated fair value of the warrant liabilities using recently quoted market prices of the Company's common stock and the Black-Scholes option pricing model.</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our tax rates or exposure to additional tax liabilities could adversely affect our earnings and financial condition. Beginning in 2022, the Tax Cuts and Jobs Act eliminated the option of expensing all research and development expenditures in the current year, instead requiring amortization over five years for expenditures in the United States and over fifteen years for foreign-based expenditures, pursuant to Section 174 of the Code, or Section 174. On September 8, 2023, the Internal Revenue Service, or the IRS, issued Notice 2023-63 providing non-binding guidance regarding the capitalization and amortization of research and experimental expenditures for U.S. tax purposes that became effective in 2022. On December 22, 2023, the Treasury Department, or Treasury, and the IRS issued Rev. Proc. 2024-9, which provides procedural guidance for taxpayers to make accounting method changes to apply the provisions of Notice 2023-63. IRS and Treasury concurrently released Notice 2024-12, which modifies certain provisions of Notice 2023-63. The impact of Section 174 on the Company’s cash from operations depends primarily on the amount of research and development expenditures incurred, however, Section 174 has not had a material impact to the Company since its effective date. The Company will continue to review the applicability of new notices to its operations and will review any proposed legislation and regulations and adjust the estimates as necessary.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historically experienced seasonal variations in the sales and leases of our products, with our fourth quarter typically being the strongest and the first or third quarter being the slowest. We believe these seasonal variations are consistent across our industry.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and Six Months Ended June 30,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74"/>
        <w:gridCol w:w="146"/>
        <w:gridCol w:w="211"/>
        <w:gridCol w:w="676"/>
        <w:gridCol w:w="146"/>
        <w:gridCol w:w="146"/>
        <w:gridCol w:w="211"/>
        <w:gridCol w:w="676"/>
        <w:gridCol w:w="146"/>
        <w:gridCol w:w="146"/>
        <w:gridCol w:w="241"/>
        <w:gridCol w:w="526"/>
        <w:gridCol w:w="271"/>
        <w:gridCol w:w="146"/>
        <w:gridCol w:w="211"/>
        <w:gridCol w:w="676"/>
        <w:gridCol w:w="146"/>
        <w:gridCol w:w="146"/>
        <w:gridCol w:w="211"/>
        <w:gridCol w:w="676"/>
        <w:gridCol w:w="146"/>
        <w:gridCol w:w="146"/>
        <w:gridCol w:w="241"/>
        <w:gridCol w:w="526"/>
        <w:gridCol w:w="718"/>
      </w:tblGrid>
      <w:tr>
        <w:trPr/>
        <w:tc>
          <w:tcPr>
            <w:tcW w:w="2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6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w:t>
              <w:br/>
              <w:t>from Prior</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w:t>
              <w:br/>
              <w:t>from Prior</w:t>
            </w:r>
          </w:p>
        </w:tc>
        <w:tc>
          <w:tcPr>
            <w:tcW w:w="718" w:type="dxa"/>
            <w:tcBorders/>
            <w:shd w:fill="FFFFFF" w:val="clear"/>
            <w:vAlign w:val="center"/>
          </w:tcPr>
          <w:p>
            <w:pPr>
              <w:pStyle w:val="TableContents"/>
              <w:bidi w:val="0"/>
              <w:spacing w:before="0" w:after="283"/>
              <w:jc w:val="center"/>
              <w:rPr/>
            </w:pPr>
            <w:r>
              <w:rPr/>
              <w:t> </w:t>
            </w:r>
          </w:p>
        </w:tc>
      </w:tr>
      <w:tr>
        <w:trPr/>
        <w:tc>
          <w:tcPr>
            <w:tcW w:w="2674"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718" w:type="dxa"/>
            <w:tcBorders/>
            <w:shd w:fill="CFF0FC" w:val="clear"/>
            <w:vAlign w:val="center"/>
          </w:tcPr>
          <w:p>
            <w:pPr>
              <w:pStyle w:val="TableContents"/>
              <w:bidi w:val="0"/>
              <w:spacing w:before="0" w:after="283"/>
              <w:ind w:left="0" w:right="0" w:firstLine="200"/>
              <w:jc w:val="right"/>
              <w:rPr/>
            </w:pPr>
            <w:r>
              <w:rPr/>
              <w:t> </w:t>
            </w:r>
          </w:p>
        </w:tc>
      </w:tr>
      <w:tr>
        <w:trPr/>
        <w:tc>
          <w:tcPr>
            <w:tcW w:w="267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1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8"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7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 (excluding intangible amortization)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718" w:type="dxa"/>
            <w:tcBorders/>
            <w:shd w:fill="FFFFFF" w:val="clear"/>
            <w:vAlign w:val="center"/>
          </w:tcPr>
          <w:p>
            <w:pPr>
              <w:pStyle w:val="TableContents"/>
              <w:bidi w:val="0"/>
              <w:spacing w:before="0" w:after="283"/>
              <w:ind w:left="0" w:right="0" w:firstLine="200"/>
              <w:jc w:val="right"/>
              <w:rPr/>
            </w:pPr>
            <w:r>
              <w:rPr/>
              <w:t> </w:t>
            </w:r>
          </w:p>
        </w:tc>
      </w:tr>
      <w:tr>
        <w:trPr/>
        <w:tc>
          <w:tcPr>
            <w:tcW w:w="26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1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18"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7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Three Months Ended June 30, 2024 compared with Three Months Ended June 30,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for the three months ended June 30, 2024 increased by $0.6 million, or 5%, compared to the three months ended June 30,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revenue for the three months ended June 30, 2024 increased by $0.2 million, or 2%, compared to the three months ended June 30, 2023. The increase was primarily attributable to increased procedure volume of $1.2 million offset by decreased Systems revenue of $1.0 million due to decreased LLS sales somewhat offset by increased ALLY System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Service revenue for the three months ended June 30, 2024 increased by $0.2 million, or 22%, compared to the three months ended June 30, 2023. Our U.S. sales represented 72% and 69% of product and service revenue for the three months ended June 30, 2024 and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revenue for the three months ended June 30, 2024 increased by $0.3 million, or 15%, compared to the three months ended June 30, 2023.</w:t>
      </w:r>
    </w:p>
    <w:p>
      <w:pPr>
        <w:pStyle w:val="TextBody"/>
        <w:bidi w:val="0"/>
        <w:spacing w:before="240" w:after="283"/>
        <w:jc w:val="left"/>
        <w:rPr>
          <w:rFonts w:ascii="Times New Roman" w:hAnsi="Times New Roman"/>
          <w:sz w:val="20"/>
        </w:rPr>
      </w:pPr>
      <w:r>
        <w:rPr>
          <w:rFonts w:ascii="Times New Roman" w:hAnsi="Times New Roman"/>
          <w:i/>
          <w:color w:val="000000"/>
          <w:sz w:val="20"/>
        </w:rPr>
        <w:t>Six Months Ended June 30, 2024 compared with Six Months Ended June 30, 2023</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for the six months ended June 30, 2024 increased by $3.0 million, or 15%, compared to the six months ended June 30,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revenue for the six months ended June 30, 2024 increased by $1.9 million, or 13%, compared to the six months ended June 30, 2023. The increase was primarily attributable to increased procedure volume of $2.5 million offset by decreased Systems revenue of $0.6 million due to decreased LLS sales somewhat offset by increased ALLY System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Service revenue for the six months ended June 30, 2024 increased by $0.4 million, or 24%, compared to the six months ended June 30, 2023. Our U.S. sales represented 71% and 69% of product and service revenue for the six months ended June 30, 2024 and 2023,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revenue for the six months ended June 30, 2024 increased by $0.6 million, or 17%, compared to the six months ended June 30,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Three Months Ended June 30, 2024 compared with Three Months Ended June 30,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cost of revenue for the three months ended June 30, 2024 increased by $0.6 million, or 11%, compared to the three months ended June 30,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product revenue for the three months ended June 30, 2024 increased by $0.2 million, or 5%, compared to the three months ended June 30, 2023. The increased cost of product revenue was attributable to increased Systems sales, which have a lower gross margin than procedure licenses, as well as the full costing of raw materials for ALLY Systems as all raw materials previously charged to research and development expenses have been utilized in production.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revenue for the three months ended June 30, 2024 increased by $0.2 million, or 20%, compared to the three months ended June 30, 2023, primarily due to the increased number of Systems placements.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lease revenue for the three months ended June 30, 2024 increased by $0.2 million, or 34%, compared to three months ended June 30,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Six Months Ended June 30, 2024 compared with Six Months Ended June 30,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cost of revenue for the six months ended June 30, 2024 increased by $1.6 million, or 17%, compared to the six months ended June 30,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product revenue for the six months ended June 30, 2024 increased by $0.5 million, or 8%, compared to the six months ended June 30, 2023. The increased cost of product revenue was attributable to increased Systems sales, which have a lower gross margin than procedure licenses, as well as the full costing of raw materials for ALLY Systems as all raw materials previously charged to research and development expenses have been utilized in production.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revenue for the six months ended June 30, 2024 increased by $0.8 million, or 36%, compared to the six months ended June 30,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lease revenue for the six months ended June 30, 2024 increased by $0.3 million, or 28%, compared to the six months ended June 30,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Three Months Ended June 30, 2024 compared with Three Months Ended June 30, 2023</w:t>
      </w:r>
    </w:p>
    <w:p>
      <w:pPr>
        <w:pStyle w:val="TextBody"/>
        <w:bidi w:val="0"/>
        <w:spacing w:before="120" w:after="283"/>
        <w:jc w:val="both"/>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Selling, general and administrative expenses for the three months ended June 30, 2024 decreased by $1.1 million, or 14%, compared to the three months ended June 30, 2023. The decrease was primarily due to decreased general and administrative expenses offset by an increase in selling and marketing expenses. General and administrative expenses decreased largely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restricted stock awards associated with the spin-off becoming fully vested. We expect selling, general and administrative expense to increase from current levels as we continue to expand our commercial infrastructure and further commercialize the ALLY System.</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expenses for the three months ended June 30, 2024 decreased by $0.2 million, or 10%, compared to three months ended June 30, 2023.</w:t>
      </w:r>
    </w:p>
    <w:p>
      <w:pPr>
        <w:pStyle w:val="TextBody"/>
        <w:bidi w:val="0"/>
        <w:spacing w:before="240" w:after="283"/>
        <w:jc w:val="both"/>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Amortization of intangible assets was $0.2 million for the three months ended June 30, 2024, consistent with the three months ended June 30, 2023.</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Impairment of Intangible Assets. </w:t>
      </w:r>
      <w:r>
        <w:rPr>
          <w:rFonts w:ascii="Times New Roman" w:hAnsi="Times New Roman"/>
          <w:color w:val="000000"/>
          <w:sz w:val="20"/>
        </w:rPr>
        <w:t>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the phacoemulsification component. During the three months ended June 30, 2024, the Company determined that the carrying value of the intangible assets exceeded the estimated recoverable amount of $0 and recorded an impairment of intangible assets of $3.9 million. The impairment charge was offset with the write-off of contract liabilities associated with the intangible assets of $0.2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Six Months Ended June 30, 2024 compared with Six Months Ended June 30, 2023</w:t>
      </w:r>
    </w:p>
    <w:p>
      <w:pPr>
        <w:pStyle w:val="TextBody"/>
        <w:bidi w:val="0"/>
        <w:spacing w:before="120" w:after="283"/>
        <w:jc w:val="both"/>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Selling, general and administrative expenses for the six months ended June 30, 2024 decreased by $1.0 million, or 7%, compared to the six months ended June 30, 2023. The decrease was primarily due to restricted stock awards associated with the spin-off becoming fully vested. We expect selling, general and administrative expense to increase from current levels as we continue to expand our commercial infrastructure and commercialize the ALLY System.</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expenses for the six months ended June 30, 2024 decreased by $0.4 million, or 11%, compared to six months ended June 30, 2023.</w:t>
      </w:r>
    </w:p>
    <w:p>
      <w:pPr>
        <w:pStyle w:val="TextBody"/>
        <w:bidi w:val="0"/>
        <w:spacing w:before="240" w:after="283"/>
        <w:jc w:val="both"/>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Amortization of intangible assets was $0.5 million for the six months ended June 30, 2024, consistent with the six months ended June 30, 2023.</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Impairment of Intangible Assets. </w:t>
      </w:r>
      <w:r>
        <w:rPr>
          <w:rFonts w:ascii="Times New Roman" w:hAnsi="Times New Roman"/>
          <w:color w:val="000000"/>
          <w:sz w:val="20"/>
        </w:rPr>
        <w:t>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the phacoemulsification component. During the three months ended June 30, 2024, the Company determined that the carrying value of the intangible assets exceeded the estimated recoverable amount of $0 and recorded an impairment of intangible assets of $3.9 million. The impairment charge was offset with the write-off of contract liabilities associated with the intangible assets of $0.2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Non-Operating Income and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Non-operating income and expenses, net for the three months ended June 30, 2024 were $3.8 million as compared to $5.9 million for the three months ended June 30, 2023. Non-operating income and expenses consisted primarily of the change in fair value of warrant liabilities in each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Non-operating income and expenses, net for the six months ended June 30, 2024 were $3.1 million as compared to $5.8 million for the six months ended June 30, 2023. Non-operating income and expenses consisted primarily of the change in fair value of warrant liabilities in each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three and six months ended June 30, 2024 and 2023.</w:t>
      </w:r>
    </w:p>
    <w:p>
      <w:pPr>
        <w:pStyle w:val="TextBody"/>
        <w:bidi w:val="0"/>
        <w:jc w:val="left"/>
        <w:rPr/>
      </w:pPr>
      <w:r>
        <w:rPr/>
        <w:t> </w:t>
      </w:r>
    </w:p>
    <w:tbl>
      <w:tblPr>
        <w:tblW w:w="8772" w:type="dxa"/>
        <w:jc w:val="left"/>
        <w:tblInd w:w="0" w:type="dxa"/>
        <w:tblLayout w:type="fixed"/>
        <w:tblCellMar>
          <w:top w:w="28" w:type="dxa"/>
          <w:left w:w="28" w:type="dxa"/>
          <w:bottom w:w="28" w:type="dxa"/>
          <w:right w:w="28" w:type="dxa"/>
        </w:tblCellMar>
      </w:tblPr>
      <w:tblGrid>
        <w:gridCol w:w="3901"/>
        <w:gridCol w:w="146"/>
        <w:gridCol w:w="211"/>
        <w:gridCol w:w="631"/>
        <w:gridCol w:w="166"/>
        <w:gridCol w:w="146"/>
        <w:gridCol w:w="211"/>
        <w:gridCol w:w="631"/>
        <w:gridCol w:w="166"/>
        <w:gridCol w:w="146"/>
        <w:gridCol w:w="211"/>
        <w:gridCol w:w="736"/>
        <w:gridCol w:w="166"/>
        <w:gridCol w:w="146"/>
        <w:gridCol w:w="211"/>
        <w:gridCol w:w="736"/>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Depreciation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2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2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of warrant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w:t>
            </w:r>
          </w:p>
        </w:tc>
        <w:tc>
          <w:tcPr>
            <w:tcW w:w="2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Impairment of 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and impairment of intangible assets, provides meaningful supplemental information for investors when evaluating our results and comparing us to peer companies as stock-based compensation expense and change in fair value of warrant liabilities are significant non-cash charges and impairment of intangible assets is a non-cash charge that is not indicative of our core operating results.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six months ended June 30, 2024 and 2023, we had net losses of $11.2 million and $13.0 million, respectively, and as of June 30, 2024, we had an accumulated deficit of $123.1 million. The change in fair value of warrant liabilities decreased net loss by $3.4 million in the six months ended June 30, 2024, and it is difficult to predict how the fair value of warrant liabilities will impact our future results. We expect to continue to incur losses and operating cash outflows for the near-term future as we continue to build our commercial and clinical infrastructure and pursue further regulatory clearances of our ALLY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liquidity needs will be largely determined by our ability to successfully commercialize our products and the progression, additional regulatory clearances or certifications and launch of the ALLY System in additional jurisdictions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2022, we transitioned from manufacturing and selling our LLS to focus on our ALLY System. The ALLY System has received regulatory approval in the United States, EU, India, Taiwan, as well as certain other countries. In addition, we have submitted the ALLY System for certification through distributors in South Korea and China for additional marketing or certification applications. Our growth, market presence and ability to sell the ALLY System will depend on whether the ALLY System receives regulatory clearance in other regions outside the United States and the timing of these clearance or certifications, among other factors. In addition, our future revenue and cash flows will depend on, among other factors, our installed base of Systems and the timing of and applicable clearances for our ALLY System.</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We expect selling, general and administrative expenses to increase from current levels to support the expansion efforts in the U.S. and internationally for the ALLY System. The successful commercialization of the ALLY System depends in part on the Company’s ability to produce the ALLY System in sufficient quantities, within requested timing and at an acceptable price to satisfy customer demand.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and other macroeconomic conditions have negatively affected our capital requirements and more operating capital may be needed to fund our operations in the future. As of June 30, 2024, we expect our current cash, cash equivalents, and investments, together with cash generated from the future sale and lease of our products, to be sufficient to operate our business. Based on our current operating plan, we believe we have sufficient cash and cash equivalents on hand to support current operations for at least one year from the date of issuance of the financial statements included in this Quarterly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revenue and expenses to increase in connection with our on-going activities, particularly as we continue to execute on our growth strategy, including expansion of our sales and customer support teams, as well as increasing our fleet of equipment under lease. The primary factors determining our cash needs are the funding of operations, which we expect to continue to expand as the business grows, and enhancing our product offerings through the commercialization of the ALLY System. Our future liquidity needs, and ability to address those needs, will largely be determined by the success of our commercial efforts and those of our distributors; the ongoing impact of global macroeconomic conditions and supply chain issues on our business; and the timing, scope and magnitude of our commercial and development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we entered into a Securities Purchase Agreement, or the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raise additional funds will depend, among other factors, on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material contractual obligations and commercial commitments at June 30, 2024 primarily consist of $2.0 million in operating lease liabilities for our facility lease and $2.2 million in remaining minimum purchase obligations for inventory components for the manufacture and supply of certain components within the next nine months. 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previously filed a shelf registration statement on Form S-3 (No. 333-255136), or the Registration Statement, which provided for the Company’s offering of its securities in an amount of up to $100.0 million in the aggregate, and previously entered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sales agreement providing for the offering, issuance and sale by the Company of up to an aggregate $35.0 million of its common stock from time to time in “at-the-market”, or ATM, offerings under the Registration Statement. No shares were sold under the ATM during the quarters ended June 30, 2024 and 2023, and the Registration Statement ceased to be effective in April 2024.</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for the periods indicated, selected items in our condensed statements of cash flows: </w:t>
      </w:r>
    </w:p>
    <w:tbl>
      <w:tblPr>
        <w:tblW w:w="6824"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67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2024 was $9.1 million, consisting primarily of a net loss of $11.2 million and a decrease in net operating assets of $8.5 million, partially offset by non-cash charges of $10.6 million. The decrease in net operating assets was primarily due to changes in accounts receivable, inventories, and accrued liabilities. Non-cash charges primarily consisted of impairment of intangible assets, depreciation, amortization, stock-based compensation, and change in fair value of warrant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2023 was $8.8 million, consisting primarily of a net loss of $13.0 million and an increase in net operating assets of $7.3 million and non-cash charges of $11.5 million. The increase in net operating assets was primarily due to changes in notes receivables and inventories offset by changes in accounts receivable. Non-cash charges primarily consisted of depreciation, amortization, stock-based compensation, and change in fair value of warrant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investing activities for the six months ended June 30, 2024 was $3.2 million, consisting primarily of the purchase of investments, offset by investment maturities. Investing activities for the six months ended June 30, 2023 were immaterial.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Net cash used in financing activities for the six months ended June 30, 2024 was not significant.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2023 was $19.8 million, primarily due to the net proceeds from issuance of Series A Redeemable Convertible Preferred Stock and Warrants of $19.7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Incentive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2020 Incentive Award Plan and 2024 Employment Inducement Incentive Award Plan provide for the grant of stock options, restricted stock, restricted stock unit awards, performance stock unit awards and other stock-based awards to recipients. During 2022, 2023 and the six months ended June 30, 2024, we granted stock options, restricted stock units and performance stock units to directors, employees and non-employees. We intend to grant stock options. restricted stock units and performance stock units as part of our overall compensation package to directors, employees, and non-employees.</w:t>
      </w:r>
    </w:p>
    <w:p>
      <w:pPr>
        <w:pStyle w:val="TextBody"/>
        <w:bidi w:val="0"/>
        <w:spacing w:before="240" w:after="120"/>
        <w:jc w:val="both"/>
        <w:rPr>
          <w:rFonts w:ascii="Times New Roman" w:hAnsi="Times New Roman"/>
          <w:color w:val="231F20"/>
          <w:sz w:val="20"/>
        </w:rPr>
      </w:pPr>
      <w:r>
        <w:rPr>
          <w:rFonts w:ascii="Times New Roman" w:hAnsi="Times New Roman"/>
          <w:color w:val="231F20"/>
          <w:sz w:val="20"/>
        </w:rPr>
        <w:t xml:space="preserve">At June 30, 2024, there was approximately $2.2 million and $1.6 million of total unrecognized compensation expense related to restricted stock units and performance stock units and stock options, respectively, which is expected to be recognized over a weighted-average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231F20"/>
          <w:sz w:val="20"/>
        </w:rPr>
      </w:pPr>
      <w:r>
        <w:rPr>
          <w:rFonts w:ascii="Times New Roman" w:hAnsi="Times New Roman"/>
          <w:color w:val="231F20"/>
          <w:sz w:val="20"/>
        </w:rPr>
        <w:t>period of 2.2 years and 1.9 years, respectively. 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91" w:type="dxa"/>
            <w:tcBorders/>
            <w:shd w:fill="FFFFFF" w:val="cle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91" w:type="dxa"/>
            <w:tcBorders/>
            <w:shd w:fill="FFFFFF" w:val="cle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unrecognized 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included in this table are based on restricted stock awards, restricted stock units, performance stock units and stock options outstanding at June 30, 2024 and assumes the requisite service period is fulfilled for all awards outstanding. Actual stock-based compensation expense in future periods may vary from those reflected in the table.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significant and material changes in our critical accounting estimates during the three months ended June 30, 2024, as compared to those disclosed in “Management's Discussion and Analysis of Financial Condition and Results of Operations” included in the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unaudited condensed financial statements included in this Quarterly Report for a discussion of recently adopted accounting pronouncements and recently issued accounting pronouncements not yet adopted as of June 30, 2024. </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had cash, cash equivalents and short-term and long-term investments of $15.4 million as of June 30, 2024. We generally hold our cash and cash equivalents in interest-bearing bank accounts, money market funds, and U.S. treasury bills. Our investments consist primarily of U.S. treasury bills and agency bonds, as well as certificates of deposit.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June 30,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a system’s ability to operate for lack of payment and, in the case of notes receivable, repossess the system if scheduled payments lapse. As of June 30, 2024, no customers accounted for more than 10% of our accounts receivable,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have limited exposure to foreign currency fluctuations and do not engage in any hedging activities as part of our normal course of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sz w:val="20"/>
        </w:rPr>
      </w:pPr>
      <w:r>
        <w:rPr>
          <w:rFonts w:ascii="Times New Roman" w:hAnsi="Times New Roman"/>
          <w:b/>
          <w:color w:val="000000"/>
          <w:sz w:val="20"/>
        </w:rPr>
        <w:t>Limitations on Effectiveness of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June 30,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three months ended June 30, 2024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
      <w:bookmarkEnd w:id="14"/>
      <w:r>
        <w:rPr>
          <w:rFonts w:ascii="Times New Roman" w:hAnsi="Times New Roman"/>
          <w:b/>
          <w:color w:val="000000"/>
          <w:sz w:val="20"/>
        </w:rPr>
        <w:t>PART II – OTHER INFORMATION</w:t>
      </w:r>
    </w:p>
    <w:p>
      <w:pPr>
        <w:pStyle w:val="TextBody"/>
        <w:bidi w:val="0"/>
        <w:spacing w:before="200" w:after="283"/>
        <w:jc w:val="both"/>
        <w:rPr>
          <w:rFonts w:ascii="Times New Roman" w:hAnsi="Times New Roman"/>
          <w:b/>
          <w:color w:val="000000"/>
          <w:sz w:val="20"/>
        </w:rPr>
      </w:pPr>
      <w:bookmarkStart w:id="15" w:name="item1_legal_proceedings"/>
      <w:bookmarkEnd w:id="15"/>
      <w:r>
        <w:rPr>
          <w:rFonts w:ascii="Times New Roman" w:hAnsi="Times New Roman"/>
          <w:b/>
          <w:color w:val="000000"/>
          <w:sz w:val="20"/>
        </w:rPr>
        <w:t>Item 1.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14, 2023, stockholders Ryan Schaper and Christopher P. Bolster filed a Verified Amended Class Action Complaint (“Amended Complaint”) against the Company and certain of its officers and members of the board of directors (“Defendants”) in the matter captioned Schaper v. LENSAR, Inc., et al., Case No. 1:23-cv-00692-JLH (D. Del.). Plaintiffs allege that Defendants violated Sections 14(a) and 20(a) of the Exchange Act, as well as Rule 14d-9 promulgated thereunder, and assert claims challenging the adequacy of disclosures in the definitive proxy statement filed with the SEC on June 20, 2023, or the Proxy, in connection with the Private Placement. On August 18, 2023, the parties filed a joint stipulation extending Defendants’ time to respond to the complaint. On December 12, 2023, the Court appointed Ryan Schaper and Christopher P. Bolster as Lead Plaintiffs. On December 22, 2023, the parties filed a joint stipulation providing that Lead Plaintiffs will file a second amended complaint or designate the Amended Complaint as operative on or before January 12, 2024. On January 12, 2024, Lead Plaintiffs filed a Verified Second Amended Class Action Complaint (“Second Amended Complaint”). The Second Amended Complaint alleges that the Proxy failed to disclose details about North Run, discussion with stockholders regarding possible financing alternatives, LENSAR’s internal budget, the basis for the Board’s recommendation on the vote, potential costs to LENSAR if shareholders voted against the proposal, and purported conflicts of interest. Defendants filed a motion to dismiss on February 26, 2024. The parties completed briefing on the motion to dismiss in May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vigorously denies that the Proxy was deficient in any respect or that supplemental disclosures were required or necessary under applicable laws. At this time, the Company cannot predict the outcome, or provide a reasonable estimate or range of estimates of the possible outcome or loss, if any, in this matter.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matter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pStyle w:val="TextBody"/>
        <w:bidi w:val="0"/>
        <w:spacing w:before="240" w:after="283"/>
        <w:jc w:val="both"/>
        <w:rPr>
          <w:rFonts w:ascii="Times New Roman" w:hAnsi="Times New Roman"/>
          <w:sz w:val="20"/>
        </w:rPr>
      </w:pPr>
      <w:bookmarkStart w:id="16" w:name="item1a_risk_factors"/>
      <w:bookmarkEnd w:id="1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results have been in the past, and could be in the future, adversely affected by economic uncertainty or deteriorations in economic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Global economic uncertainty, including due to factors such as increased inflation and rising interest rates,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since 2020,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 </w:t>
      </w:r>
    </w:p>
    <w:p>
      <w:pPr>
        <w:pStyle w:val="TextBody"/>
        <w:bidi w:val="0"/>
        <w:spacing w:before="240" w:after="283"/>
        <w:jc w:val="both"/>
        <w:rPr>
          <w:rFonts w:ascii="Times New Roman" w:hAnsi="Times New Roman"/>
          <w:sz w:val="20"/>
        </w:rPr>
      </w:pPr>
      <w:r>
        <w:rPr>
          <w:rFonts w:ascii="Times New Roman" w:hAnsi="Times New Roman"/>
          <w:b/>
          <w:i/>
          <w:color w:val="000000"/>
          <w:sz w:val="20"/>
        </w:rPr>
        <w:t>We expect to incur operating losses for the near-term future and we cannot assure you that we will be able to generate sufficient revenue to achieve or sustain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years ended December 31, 2022 and 2023, we had net losses of $19.9 million and $14.4 million, respectively, and for the six months ended June 30, 2023 and 2024, we had net losses of $8.8 million and $9.0 million, respectively. As of June 30, 2024, we had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accumulated deficit of $123.1 million. We expect to continue to incur losses for the near-term future as a result of building our commercial and clinical infrastructure, pursuing further U.S. Food and Drug Administration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historically derived our revenue from the sale or lease of our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In 2022, we transitioned from manufacturing and selling our LLS to focus on our ALLY System. The ALLY System has also received regulatory approval in the European Union, or EU, India, Taiwan, as well as certain other countries. In addition, we have submitted the ALLY System for certification through distributors in South Korea and China for additional marketing or certification applications. Our growth, market presence and ability to sell the ALLY System will depend on whether the ALLY System receives regulatory clearance or certifications in other regions outside the United States and the timing of these clearance or certifications, among other factors. In addition, our future revenue and cash flows will depend on, among other factors, our installed base of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maintain our market share, execute our growth strategy, achieve commercial success and become profitable will depend upon the adoption and continued acceptance of our LLS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LLS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provide visual outcomes and economic data that show the safety, efficacy, cost effectiveness and other patient benefits from use of our Systems or other future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acceptance by cataract surgeons and others in the medical community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potential and perceived advantages and disadvantages of our Systems as compared to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willingness of patients to pay out-of-pocket for procedures in which our Systems or other future products is used but for which limited reimbursement by third-party payors, including government authorities, is available;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effectiveness of our sales and marketing efforts, and of those of our international distributors;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prevalence and severity of any complications associated with using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ease of use, reliability and convenience of our Systems relative to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competitive response and negative selling efforts from providers of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quality of outcomes for patients in procedures in which surgeons use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clinical trials and post-market clinical studies relating to the use of our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technical leadership of our research and development teams;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absence of third party blocking intellectual property;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introduce our products to the market with speed and on time with our projected timelines;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pricing pressure, including from larger, well-capitalized and product-diverse competitors, corporate-owned ASCs, group purchasing organizations, and government payors;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availability of coverage and adequate reimbursement for procedures using our Systems or other future products from third-party payors, including government authorities.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maintain or increase market acceptance would limit our ability to generate revenue and would have a material adverse effect on our business, financial condition and results of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growth depends on our ability to gain regulatory clearances and certifications, as well as our ability to meet production goals for our ALLY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which has received clearance from the FDA, enables cataract surgeons to complete the laser-assisted cataract surgery seamlessly in a single, sterile environment. The ALLY System is available to all U.S. and EU cataract surgeons and has also received regulatory clearance in India, Taiwan, as well as certain other countries. In addition, we have submitted the ALLY System for certification through distributors in South Korea and China for additional marketing or certification applications. In addition, our ability to meet production goals can also be impacted by supply chain interruptions. Our ability to place Systems in 2022 was limited by supply chain constraints that delayed the delivery of certain ALLY System raw materials and the completion and testing of ALLY Systems for use as launch-stock. If we experience further supply chain constraints, we may be unable to deliver ALLY Systems as planned.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success of our ALLY System or any other new product offering or product enhancements we pursue will depend on several factors, including our ability to: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properly identify and anticipate cataract surgeon and patient needs;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 and introduce new products and product enhancements in a timely manner;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exclude competition based on our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avoid infringing upon the intellectual property rights of third-parties;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demonstrate, if required, the safety and efficacy of new products with data from preclinical studies and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 the necessary regulatory clearances, certifications or approvals for expanded indications, new products or product modifications;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 fully FDA (or other regulatory authority)-compliant with manufacturing and marketing of new devices or modified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provide adequate training to potential users of these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receive adequate coverage and reimbursement for procedures performed with our ALLY System or any other products we may develop in the future;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 an effective and dedicated sales and marketing team.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not successful in expanding our product offering, our ability to increase our revenue may be impaired, which could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Systems, or procedures involving similar laser systems that meets their expectations. If patients are not adequately satisfied with the results of such procedures, they or their surgeons may be less willing to recommend these procedures to other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weak or uncertain economic conditions may cause individuals to be less willing to pay for advanced cataract procedures. Although we anticipate use of our ALLY System in certain aspects of the standard cataract procedure will be covered by or reimbursable through government or other third-party payors, our current LLS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rely exclusively on a network of independent distributors to generate sales and leases of our Systems as well as purchases of our consumables and licensed applications outside of the United States. For the six months ended June 30, 2024, one customer accounted for 12%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Systems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future capital needs are uncertain and we may need to raise additional funds in the future, and such funds may not be available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revenues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future.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the date of this Quarterly Report, we expect our current cash and cash equivalents, together with cash generated from the future sale and lease of our products, to be sufficient to operate our business for at least one year from the date of issuance of the condensed financial statements included in this Quarterly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 generated by the sale, lease or use of our Systems;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expanding our sales and marketing efforts;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expenses we incur in procuring, manufacturing and selling our Systems, including increased costs, uncertainties, and delays associated with global supply chain disruptions and inflationary pressures;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of commercializing the ALLY System, including increased costs associated with supply chain disruptions and inflationary pressures or other new products or technologies;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rate of progress and cost of our clinical studies that we are currently conducting or may conduct in the future;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and timing of obtaining and maintaining regulatory approval, certification or clearance of our products and planned or future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costs associated with any product recall that may occur;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complying with state, federal and foreign laws and regulations;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filing and prosecuting patent applications and defending and enforcing our patent and other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defending, in litigation or otherwise, any claims that we infringe third-party patent or other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enforcing or defending against non-competition claims;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and timing of acquisitions and other strategic transactions;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increased capital expenditures;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anticipated and unanticipated general and administrative expenses, including expenses related to operating as a public company and insurance expenses;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costs associated with any adverse market conditions or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capital may not be available on favorable terms, or at all. The existence of inflation in the economy has resulted in, and may continue to result in, higher interest rates and capital costs, which may impact our ability to obtain additional capital on favorable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51.6% of our total outstanding shares of common stock based on our shares outstanding as of June 30, 2024,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or sale of the Company or other Fundamental Transaction (as defined in Note 11, </w:t>
      </w:r>
      <w:r>
        <w:rPr>
          <w:rFonts w:ascii="Times New Roman" w:hAnsi="Times New Roman"/>
          <w:i/>
          <w:color w:val="000000"/>
          <w:sz w:val="20"/>
        </w:rPr>
        <w:t>Redeemable Convertible Preferred Stock</w:t>
      </w:r>
      <w:r>
        <w:rPr>
          <w:rFonts w:ascii="Times New Roman" w:hAnsi="Times New Roman"/>
          <w:color w:val="000000"/>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(including a resurgence of COVID-19 and its variants), epidemic or infectious disease, this could materially impact our ability to operate.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If one or more of our suppliers cease to provide us with sufficient quantities of materials in a timely manner or on terms acceptable to us,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and other macroeconomic conditions may necessitate an increase in the overall cost to customers, which in turn may have an adverse impact on customer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some of our suppliers and contract facilities are required to comply with regulatory requirements of the FDA (and other regulatory authorities). In particular, the FDA’s Quality System Regulation, or QSR,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compete, and expect to compete in the future, against other companies, some of which have longer operating histories, more established products or greater resources than we do.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industry is global, highly competitive and subject to rapid and profound technological, market and product-related changes. We face significant competition from large multinational medical device companies, as well as smaller, emerging players focused on product innovation.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our current and potential competitors are large publicly traded companies or divisions of publicly-traded companies and have several competitive advantages,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greater financial and human resources for product development and sales and marketing;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significantly greater name recognition;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longer operating histories;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 established sales and marketing programs and distribution networks.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many of our competitors have their own intraocular lens, or IOLs, while we do not, which could put us at a competitive disadvantage. If we are unable to compete effectively in this environment, it could adversely affect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To successfully market, sell and lease our products in markets outside of the United States, we must address many international business risks with which we have limited experience.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historically sold and leased a significant portion of our LLS outside of the United States through a network of independent distributors and intend to increase our international presence in Germany, China, India, and South Korea, as well as other international markets, including through sales and leases of our ALLY System once regulatory clearance in these regions has been obtained. Our international business operations are subject to a number of risks,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difficulties in staffing and managing our international operations;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competition as a result of more products and procedures receiving regulatory approval, certification or clearance or otherwise becoming free to market in international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longer accounts receivable payment cycles and difficulties in collecting accounts receivable;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reduced or varied protection for intellectual property rights in some countries;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export restrictions, trade regulations, and foreign tax laws;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fluctuations in currency exchange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certification and regulatory clearance or approval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difficulties in developing effective marketing campaigns in unfamiliar international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customs clearance and shipping delays;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political, social, and economic instability abroad, including the ongoing war between Russia and Ukraine, conflicts in the Middle East, potential conflict between China and Taiwan, terrorist attacks, and security concerns in general;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preference for locally produced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potentially adverse tax consequences, including the complexities of foreign value-added tax systems, tax inefficiencies related to our corporate structure, and restrictions on the repatriation of earnings;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burdens of complying with a wide variety of foreign laws and different legal standards;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financial accounting and reporting burdens and complexities.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 In addition, the war between Russia and Ukraine has not had a direct material impact on our revenue to date; however, that could change depending on the magnitude of the conflict and the imposition of additional sanctions by the U.S. and other countries or the spread of the conflict to surrounding areas. Further, while we are not directly exposed to economic conditions in Russia or Ukraine, the conflict has had a substantial impact on global supply chains and may be a contributing factor to the supply chain shortages we are experiencing.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exposed to the credit risk of some of our customers, which could result in material losses.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unable to accurately forecast customer demand and our inventory levels.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generally do not maintain large volumes of finished goods and anticipating demand for our products may be challenging as cataract surgeon demand and adoption rates can be unpredictable. In addition, as use of our Systems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customer relationships. In connection with the commercial launch of the ALLY System, we have modified our manufacturing operations from producing the LLS to the ALLY System. We could underestimate the worldwide demand for the ALLY System and be unable to fulfill customer requests. Conversely, if we overestimate customer demand, our excess or obsolete inventory may increase significantly, which would reduce our gross margin and adversely affect our financial results. </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secure adequate coverage or reimbursement by government or other third-party payors for certain procedures using our ALLY System or our other future products, or changes in current coverage or reimbursement, could materially impact our revenue and future growth.</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Adequate coverage and reimbursement from third-party payors, including government programs such as Medicare and Medicaid, private insurance plans and managed care programs, for certain procedures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provide a limited warranty for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 </w:t>
      </w:r>
    </w:p>
    <w:p>
      <w:pPr>
        <w:pStyle w:val="TextBody"/>
        <w:bidi w:val="0"/>
        <w:spacing w:before="240" w:after="283"/>
        <w:jc w:val="both"/>
        <w:rPr>
          <w:rFonts w:ascii="Times New Roman" w:hAnsi="Times New Roman"/>
          <w:sz w:val="20"/>
        </w:rPr>
      </w:pPr>
      <w:r>
        <w:rPr>
          <w:rFonts w:ascii="Times New Roman" w:hAnsi="Times New Roman"/>
          <w:b/>
          <w:i/>
          <w:color w:val="000000"/>
          <w:sz w:val="20"/>
        </w:rPr>
        <w:t>Product liability suits brought against us could cause us to incur substantial liabilities, limit the selling or leasing of our existing products and interfere with commercialization of any products that we may develop.</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financial results may fluctuate significantly and may not fully reflect the underlying performance of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being the strongest and the first or third quarter being the slowest. We believe these seasonal changes are consistent across our industry. Other factors that may cause fluctuations in our quarterly and annual results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fluctuations in the demand for the more advanced, patient-pay procedures in which our Systems are used;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adoption of our LLS and ALLY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establish and maintain an effective and dedicated sales organization in the United States and network of independent distributors outside the United States;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pricing pressure applicable to our products from competitor pricing;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results of clinical research and studies on our products or competitive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mix of sales and leases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timing of delivery of Systems, new product offerings, acquisitions, licenses or other significant events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decisions by surgeons, hospitals and ASCs to defer acquisitions of Systems in anticipation of the introduction of new products or product enhancements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sampling by and additional training requirements for cataract surgeons upon the commercialization of a new product by us or one of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regulatory approvals, clearances or certifications and legislative changes affecting the products we may offer or those of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interruption in the manufacturing or distribution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delays in, or failure of, component and raw material deliveries by our suppliers;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suppliers to timely provide us with an adequate supply of components;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effect of competing technological, industry and market developments;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our ability to obtain regulatory clearance, certification or approval for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manage our anticipated growth effectively, or are unable to increase or maintain our manufacturing capacity, we may not be able to meet customer demand for our products and our business could suffer.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experienced significant period-to-period growth in our business, with the exception of 2020 due to the impact of the COVID-19 pandemic on our operations, and we must continue to grow in order to meet our business and financial objectives. However, continued growth may create numerous challenges,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new and increased responsibilities for our management team;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pressure on our operating, financial and reporting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pressure to anticipate and satisfy market demand;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 manufacturing capacity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strain on our ability to source a larger supply of components, including as a result of ongoing supply chain issues, in order to meet our required specifications on a timely basis;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of an increasing number of relationships with our customers, suppliers and other third parties;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entry into new international territories with unfamiliar regulations and business approaches;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need to hire, train and manage additional qualified personnel;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transitioning manufacturing from our LLS to our ALLY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choose to acquire new and complementary businesses, products or technologies, we may be unable to complete these acquisitions or to successfully integrate them in a cost-effective and non-disruptive manner.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 </w:t>
      </w:r>
    </w:p>
    <w:p>
      <w:pPr>
        <w:pStyle w:val="TextBody"/>
        <w:bidi w:val="0"/>
        <w:spacing w:before="240" w:after="283"/>
        <w:jc w:val="both"/>
        <w:rPr>
          <w:rFonts w:ascii="Times New Roman" w:hAnsi="Times New Roman"/>
          <w:sz w:val="20"/>
        </w:rPr>
      </w:pPr>
      <w:r>
        <w:rPr>
          <w:rFonts w:ascii="Times New Roman" w:hAnsi="Times New Roman"/>
          <w:b/>
          <w:i/>
          <w:color w:val="000000"/>
          <w:sz w:val="20"/>
        </w:rPr>
        <w:t>Our future growth depends on our ability to retain members of our senior management and other key employees. If we are unable to retain or recruit qualified personnel for growth, our business results could suffer.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begun to experience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rely significantly on the use of information technology. Cybersecurity risks – any technology failures causing a material disruption to operational technology or cyber-attacks on our systems affecting our ability to protect the integrity and security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confidential customer and employee information – could harm our reputation and/or could disrupt our operations and negatively impact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certain personal information, including of our employees and contractors (collectively Confidential Information). The future operation, success and growth of our business depends on streamlined processes made available through our uninhibited access to information technology systems, global communications, internet activity and other network processes.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Like most companies, despite our current security measures, our information technology systems, and those of our third-party service providers, may be vulnerable to information security breaches, acts of vandalism, computer viruses and interruption,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Hackers and data thieves are increasingly sophisticated and operate large-scale and complex automated attacks which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We and certain of our service providers are from time to time subject to cyberattacks and security incidents. Any significant information technology system failure, accident or security breach could cause interruptions in our operations, result in damage to our reputation, the loss or misappropriation of Confidential Information, result in key personnel being unable to perform duties or communicate throughout the organization, significant costs associated with the investigation, data restoration and remediation, and potential notification of the breach to third-parties, including counter-parties and data subjects, and have other adverse impacts on our business.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if our network were compromised, it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carry cyber insurance, which may expose us to certain potential losses for damages or result in penalization with fines in an amount exceeding our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actual or perceived failure to comply with data privacy and security laws and other obligations could have a material adverse effect on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Confidential Information and in protecting the security of such information. We could be subject to attacks on our information technology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information or prevent use of their accounts. Data breaches could result in a violation of applicable U.S. and international privacy, data protection and other laws, and subject us to individual or consumer class action litigation and governmental investigations and proceedings by federal, state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or, collectively, HIPAA, the EU’s General Data Protection Regulation 2016/679 and applicable national supplementing laws, or GDPR, and the California Consumer Privacy Act, as amended by the California Privacy Rights Act, or, 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Federal Trade Commission, or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GDPR imposes comprehensive compliance obligations regarding our processing of personal data of individuals within the European Economic Area, or EEA, or in the context of our activities within the EEA, including a principle of accountability and the obligation to demonstrate that appropriate legal bases are in place to justify data processing activities. Additionally, we are subject to laws and regulations regarding cross-border transfers of personal data,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or SSCs - a standard form of contract approved by the European Commission as an adequate personal data transfer mechanism - alone may not necessarily be sufficient in all circumstances and that transfers must be assessed on a case-by-case basis. The European Commission adopted its Adequacy Decision in relation to the new EU-U.S. Data Privacy Framework, or DPF, on July 10, 2023, rendering the DPF effective as a GDPR transfer mechanism to U.S. entities self-certified under the DPF.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rely on the SCCs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If we cannot rely on existing mechanisms for transferring personal data from the EEA, or other jurisdictions, we could be prevented from transferring personal data of individuals in those regions; we could suffer additional costs, complaints and/or regulatory investigations or fines; we may have to stop using certain tools and vendors and make other operational changes; we will have to implement revised SSCs for existing arrangements within required time frame; and/or it could otherwise adversely affect the manner in which we provide our services and thus materially affect our operations and financial results. Failure to comply with the GDPR could result in penalties for certain breaches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up to the greater of EUR 20 million or 4% of our global annual turnover. In addition to fines, a breach of the GDPR may result in regulatory investigations, reputational damage, orders to cease/change our data processing activities, enforcement notices, assessment notices (for a compulsory audit) and/ or civil claims (including class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the United Kingdom General Data Protection Regulation and Data Protection Act 2018, which collectively impose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expect that there will continue to be new laws, regulations and industry standards concerning privacy, data protection and information security proposed and enacted in various jurisdictions. For example, Washington State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to host or otherwise process some of this data. In some instances, these third parties have experienced immaterial failures to protect data privacy. There can be no assurances that the privacy and security-related measures and safeguards we have put in place in relation to these third parties will be effective to protect us and/ or the relevant personal information from the risks associated with the third-party processing of such data. Any failure by a third party to prevent security breaches could have adverse consequences for us,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pStyle w:val="TextBody"/>
        <w:bidi w:val="0"/>
        <w:spacing w:before="240" w:after="283"/>
        <w:jc w:val="both"/>
        <w:rPr>
          <w:rFonts w:ascii="Times New Roman" w:hAnsi="Times New Roman"/>
          <w:sz w:val="20"/>
        </w:rPr>
      </w:pPr>
      <w:r>
        <w:rPr>
          <w:rFonts w:ascii="Times New Roman" w:hAnsi="Times New Roman"/>
          <w:b/>
          <w:i/>
          <w:color w:val="000000"/>
          <w:sz w:val="20"/>
        </w:rPr>
        <w:t>Performance issues, service interruptions or price increases by our shipping carriers could adversely affect our business and harm our reputation and ability to provide our products on a timely basis.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would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 </w:t>
      </w:r>
    </w:p>
    <w:p>
      <w:pPr>
        <w:pStyle w:val="TextBody"/>
        <w:bidi w:val="0"/>
        <w:spacing w:before="240" w:after="283"/>
        <w:jc w:val="both"/>
        <w:rPr>
          <w:rFonts w:ascii="Times New Roman" w:hAnsi="Times New Roman"/>
          <w:sz w:val="20"/>
        </w:rPr>
      </w:pPr>
      <w:r>
        <w:rPr>
          <w:rFonts w:ascii="Times New Roman" w:hAnsi="Times New Roman"/>
          <w:b/>
          <w:i/>
          <w:color w:val="000000"/>
          <w:sz w:val="20"/>
        </w:rPr>
        <w:t>Intangible assets on our books may lead to significant impairment charges.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have incurred and may incur significant impairment charges if the fair value of the intangible assets would be less than their carrying value on our balance sheet at any point in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continuing contingent liabilities of PDL BioPharma, Inc. following the Spin-Off.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 2020, we completed the Spin-Off and became an independent public company. There are several significant areas where the liabilities of PDL may become our obligations, notwithstanding the Spin-Off. For example, under the Internal Revenue Code of 1986, as amended, or the Code, and the related rules and regulations, each corporation that was a member of the PDL consolidated U.S. federal income tax reporting group during any taxable period or portion of any taxable period ending on or before the effective time of the Spin-Off is jointly and severally liable for the U.S. federal income tax liability of the entire PDL consolidated tax reporting group for that taxable period. In addition, the Tax Matters Agreement with PDL allocates the responsibility for taxes between PDL and us. Pursuant to this allocation, we may be responsible for taxes that we would not have otherwise incurred, or that we would have incurred but in different amounts or at different times, on a standalone basis outside of the PDL consolidated group, and the amount of such taxes could be significant. If PDL is unable to pay any prior period taxes for which it is responsible, we could be required to pay the entire amount of such taxes.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Potential indemnification obligations to PDL pursuant to the Separation and Distribution Agreement could materially and adversely affect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Spin-Off, the Company and PDL entered into a Separation and Distribution Agreement, dated September 30, 2020, or the Separation and Distribution Agreement, which sets forth the agreements between PDL and the Company regarding the principal transactions necessary to separate the Company from PDL and other agreements that govern certain aspects of the relationship with PDL after the completion of the Spin-Off. Among other things, the Separation and Distribution Agreement provides for indemnification obligations designed to make us financially responsible for substantially all of the liabilities that may exist relating to our business activities, whether incurred prior to or after the Spin-Off. If we are required to indemnify PDL under the circumstances set forth in the Separation and Distribution Agreement, we may be subject to substantial liabilities.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and operations are subject to extensive government regulation and oversight both in the United States and abroad, and our failure to comply with applicable requirements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receive, or may be delayed in receiving, the necessary clearances, certifications or approvals for our future products, or modifications to our current products, and failure to timely obtain necessary additional clearances, certifications or approvals for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ALLY System and future products or modifications to our current products would adversely affect our ability to grow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we have obtained clearance of our Systems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ALLY System, which has received clearance from the FDA, enables cataract surgeons to complete the laser-assisted procedure seamlessly in a single, sterile environment. The ALLY System is available to all U.S. and EU cataract surgeons and has also received regulatory clearance in India, Taiwan, as well as certain other countries. In addition, we have submitted the ALLY System for certification through distributors in South Korea and China for additional marketing or certification applications.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foreign regulatory authorities or notified bodies can delay, limit or deny clearance, certification or approval of a device for many reasons,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demonstrate to the satisfaction of the FDA or the applicable foreign regulatory authority or notified body that our products are safe or effective for their intended uses;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disagreement of the FDA or the applicable foreign regulatory authority or notified body with the design or implementation of our clinical trials or the interpretation of data from pre-clinical studies or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serious and unexpected adverse device effects experienced by participants in our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data from our pre-clinical studies and clinical trials may be insufficient to support clearance, certification or approval, where required;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demonstrate that the clinical and other benefits of the device outweigh the risks;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manufacturing process or facilities we use may not meet applicable requirements;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potential for approval or certification policies or regulations of the FDA or applicable foreign regulatory authority or notified body to change significantly in a manner rendering our clinical data or regulatory filings insufficient for clearance, certification or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transitional provisions and in order to sell our products in EU member states, our products must comply with the general safety and performance requirements of the EU Medical Devices Regulation, which repeals and replaces the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UK, on June 26, 2022, the Medicines and Healthcare products Regulatory Agency, or MHRA, published its response to a 10-week consultation on the future regulation of medical devices in the United Kingdom. The MHRA proposes amendments to the UK Medical Devices Regulations 2002 (which are based on EU legislation, primarily the EU Medical Devices Directive), in particular to create new access pathways to support innovation, create an innovative framework for regulating software and artificial intelligence as medical devices, reform in vitro diagnostic regulation, and foster sustainability through the reuse and remanufacture of medical devices. Regulations implementing the new regime were originally scheduled to come into force in July 2023, but the MHRA has recently updated guidance to reflect that it is now aiming for core aspects of the future regime for medical devices to apply from July 1, 2025. Medical devices bearing CE marks issued by EU notified bodies under the EU Medical Devices Regulation or EU Medical Devices Directive are now subject to transitional arrangements. Medical devices compliant with the EU Medical Devices Directive or EU Active Implantable Medical Devices Directive with a valid declaration and CE marking can be placed on the Great Britain market up until the sooner of expiry of certificate or June 30, 2028. Medical devices compliant with the EU Medical Devices Regulation can be placed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Great Britain market up until June 30, 2030. Following these transitional periods, all medical devices will require a UK Conformity Assessed, or UKCA, mark. Manufacturers may choose to use the UKCA mark on a voluntary basis prior to the regulations coming into force; however, UKCA marking will not be recognized in the EU. Following the transitional period, compliance with the UK regulations will be a prerequisite to be able to affix the UKCA mark to medical devices, without which they cannot be sold or marketed in Great Britain. The rules for placing medical devices on the Northern Ireland market will differ from those in the Great Britain and will continue to be governed according to EU requirements. These modifications may have an effect on the way we intend to conduct our business in these countries.</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comply with post-marketing regulatory requirements could subject us to enforcement actions, including substantial penalties, and might require us to recall or withdraw a product from the market.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untitled letters or warning letters;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fines, injunctions, consent decrees and civil penalties;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recalls, termination of distribution, administrative detention, or seizure of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 notifications or repair, replacement or refunds;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restrictions or partial suspension or total shutdown of production;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delays in or refusal to grant our requests for future clearances, certifications or approvals (including foreign regulatory approvals) of new products, new intended uses, or modifications to existing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withdrawals or suspensions of our current 510(k) clearances or certifications, resulting in prohibitions on sales of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sanctions could result in higher than anticipated costs or lower than anticipated sales and have a material adverse effect on our reputation,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must be manufactured in accordance with federal, state and foreign regulations, and we or any of our suppliers could be forced to recall products or terminate production if we fail to comply with these regulations.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actions could significantly and negatively affect supply of our products. If any of these events occurs, our reputation could be harmed, we could be exposed to product liability claims and we could lose customers and experience reduced sales and increased costs. </w:t>
      </w:r>
    </w:p>
    <w:p>
      <w:pPr>
        <w:pStyle w:val="TextBody"/>
        <w:bidi w:val="0"/>
        <w:spacing w:before="240" w:after="283"/>
        <w:jc w:val="both"/>
        <w:rPr>
          <w:rFonts w:ascii="Times New Roman" w:hAnsi="Times New Roman"/>
          <w:sz w:val="20"/>
        </w:rPr>
      </w:pPr>
      <w:r>
        <w:rPr>
          <w:rFonts w:ascii="Times New Roman" w:hAnsi="Times New Roman"/>
          <w:b/>
          <w:i/>
          <w:color w:val="000000"/>
          <w:sz w:val="20"/>
        </w:rPr>
        <w:t>The misuse or off-label use of our LLS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Systems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obtain and maintain international regulatory registrations, clearances, certifications or approvals for our products, we will be unable to market and sell our products outside of the United States.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 </w:t>
      </w:r>
    </w:p>
    <w:p>
      <w:pPr>
        <w:pStyle w:val="TextBody"/>
        <w:bidi w:val="0"/>
        <w:spacing w:before="240" w:after="283"/>
        <w:jc w:val="both"/>
        <w:rPr>
          <w:rFonts w:ascii="Times New Roman" w:hAnsi="Times New Roman"/>
          <w:sz w:val="20"/>
        </w:rPr>
      </w:pPr>
      <w:r>
        <w:rPr>
          <w:rFonts w:ascii="Times New Roman" w:hAnsi="Times New Roman"/>
          <w:b/>
          <w:i/>
          <w:color w:val="000000"/>
          <w:sz w:val="20"/>
        </w:rPr>
        <w:t>The clinical trial process is lengthy and expensive with uncertain outcomes. Results of earlier studies may not be predictive of future clinical trial results, or the safety or efficacy profile for such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and other comparable foreign regulatory authorities may disagree as to the design or implementation of our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Institutional Review Boards, or IRBs, or other reviewing bodies may not authorize us or our investigators to commence a clinical trial, or to conduct or continue a clinical trial at a prospective or specific trial site;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may produce negative or inconclusive results, and we may decide, or regulators or notified bodies may require us, to conduct additional clinical trials or abandon product development programs;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might have to suspend or terminate clinical trials for various reasons, including a finding that the subjects are being exposed to unacceptable health risks;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reviewing bodies), regulatory authorities, or both, for re-examination;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IRBs, other reviewing bodies, or other parties may require or recommend that we or our investigators suspend or terminate clinical research for various reasons, including safety signals or noncompliance with regulatory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clinical trials may be greater than we anticipate;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sites may not adhere to the clinical protocol or may drop out of a clinical trial;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unable to recruit a sufficient number of clinical trial sites;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approval or certification policies or regulations of FDA or applicable foreign regulatory agencies may change in a manner rendering our clinical data insufficient for certification or approval;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current or future products may have undesirable side effects or other unexpected characteristics.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occurrences may significantly harm our business, financial condition and prospects. In addition, any further disruptions related to public health crises, such as a resurgence of COVID-19,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in November 2018, FDA officials announced steps that the FDA intended to take to modernize the premarket notification pathway under Section 510(k) of the Federal Food, Drug, and Cosmetic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regulatory landscape related to medical devices in the EU recently evolved.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 </w:t>
      </w:r>
    </w:p>
    <w:p>
      <w:pPr>
        <w:pStyle w:val="TextBody"/>
        <w:bidi w:val="0"/>
        <w:spacing w:before="240" w:after="283"/>
        <w:jc w:val="both"/>
        <w:rPr>
          <w:rFonts w:ascii="Times New Roman" w:hAnsi="Times New Roman"/>
          <w:sz w:val="20"/>
        </w:rPr>
      </w:pPr>
      <w:r>
        <w:rPr>
          <w:rFonts w:ascii="Times New Roman" w:hAnsi="Times New Roman"/>
          <w:b/>
          <w:i/>
          <w:color w:val="000000"/>
          <w:sz w:val="20"/>
        </w:rPr>
        <w:t>Disruptions at the FDA and other government agencies and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and any resurgence of the COVID-19 virus or emergence of new variants may lead to further inspectional delays. Regulatory authorities outside the United States have also adopted similar restrictions or other policy measures at times in response to the COVID-19 pandemic and may adopt similar restrictions or other policy measures in the future. If a prolonged government shutdown occurs, or if global health concerns continue to prevent the FDA or other regulatory authorities or notified bodies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notified bodies must be officially designated to certify products and services in accordance with the EU Medical Devices Regulation. Their designation process, which is significantly stricter under the new Regulation, has experienced considerable delays due to the COVID-19 pandemic.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pStyle w:val="TextBody"/>
        <w:bidi w:val="0"/>
        <w:spacing w:before="240" w:after="283"/>
        <w:jc w:val="both"/>
        <w:rPr>
          <w:rFonts w:ascii="Times New Roman" w:hAnsi="Times New Roman"/>
          <w:sz w:val="20"/>
        </w:rPr>
      </w:pPr>
      <w:r>
        <w:rPr>
          <w:rFonts w:ascii="Times New Roman" w:hAnsi="Times New Roman"/>
          <w:b/>
          <w:i/>
          <w:color w:val="000000"/>
          <w:sz w:val="20"/>
        </w:rPr>
        <w:t>Enacted and future healthcare legislation may increase the difficulty and cost for us to commercialize our ALLY System or other products we may develop in the future and may affect the prices we may set.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EU states, in December 2021, the EU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certain federal, state and foreign laws pertaining to healthcare fraud and abuse, including anti-kickback, self-referral, false claims and fraud laws, and any violations by us of such laws could result in fines or other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EU and other foreign law equivalents of each of the laws, including reporting requirements detailing interactions with and payments to healthcare providers.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subject to anti-corruption, anti-bribery and similar laws and any violations by us of such laws could result in fines or other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employees, independent contractors, principal investigators, consultants, vendors, distributors and contract research organizations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 (iv) 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Intellectual Property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success will depend on our ability to obtain, maintain and protect our intellectual property rights.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efforts to enter into confidentiality agreements with our employees, consultants, clients and other vendors who have access to such information, our trade secrets, data and know-how may not prevent unauthorized use, misappropriation, or disclosure to unauthorized parties, and could otherwise become known or be independently discovered by third parties. Our intellectual property, including trademarks, could be challenged, invalidated, infringed,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competitive harm. Third parties may also adopt trademarks similar to ours, which could harm our brand identity and lead to market confusion.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enforcing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We may not be successful in protecting our proprietary rights, and unauthorized parties may be able to obtain and use information that we regard as proprietary.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numerous issued patents and pending patent applications. As of June 30, 2024, we owned approximately 62 U.S. patents, 30 pending U.S. patent applications, 166 issued foreign patents, and 77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or circumvented. Proceedings challenging our patents could result in either loss of the patent, or denial or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and we cannot ensure that: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patents, or any of our pending patent applications, if issued, will include claims having a scope sufficient to protect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pending patent applications will issue as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be able to successfully commercialize our products on a substantial scale, if approved, before our relevant patents we may have expire;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the first to make the inventions covered by each of our patents and pending patent applications;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the first to file patent applications for these inventions;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others will not develop similar or alternative technologies that do not infringe our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patents will be found to ultimately be valid and enforceable;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patents issued to us will provide a basis for an exclusive market for our commercially viable products, will provide us with any competitive advantages or will not be challenged by third parties;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develop additional proprietary technologies or products that are separately patentable; or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activities or products will not infringe upon the patents of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 </w:t>
      </w:r>
    </w:p>
    <w:p>
      <w:pPr>
        <w:pStyle w:val="TextBody"/>
        <w:bidi w:val="0"/>
        <w:spacing w:before="240" w:after="283"/>
        <w:jc w:val="both"/>
        <w:rPr>
          <w:rFonts w:ascii="Times New Roman" w:hAnsi="Times New Roman"/>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 Patent and Trademark Office, or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reviving the patent or application, there is a risk that the revival can be challenged by third parties in proceeding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existing and future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cannot license and maintain rights to use third-party technology on reasonable terms, we may not be able to successfully commercialize our products. Our licensed or acquired technology may lose value or utility or over time.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past, we have licensed technology from third parties and may choose or need to do so in the future, including to develop or commercialize new products or services. We may also need to negotiate licenses to patents or patent applications before or after introducing a commercial product, and we may not be able to obtain necessary licenses to such patents or patent applications.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or utility, including as a result of a change of in the industry, in our business objectives, others’ technology, our dispute with the licensor, and other circumstances outside our control. In return for the use of a third party’s technology,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 consuming and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third-party’s patent or trademark or of misappropriating a third-party’s trade secret.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a court agrees, we would lose our rights to those challenged patents or have the scope of those rights narrowed.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may in the future be subject to claims by our former employees or consultants asserting an ownership right in our patents, patent applications or other intellectual property, as a result of the work they performed on our behalf. Our general requirement that our employees and consultants and any other partners or collaborators who have access to our proprietary know-how, information or technology assign or grant similar rights to their inventions to us may not fully protect us from intellectual property claims. Additionally, we cannot be certain that we have executed such agreements with all parties who may have contributed to our intellectual property, nor can we be certain that our agreements with such parties will be upheld in the face of a potential challenge, that such agreements will adequately protect us, or that they will not be breached, for which we may not have an adequate remedy.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lawsuits relating to intellectual property rights could subject us to significant liability for damages and invalidate our proprietary rights. Any potential intellectual property litigation also could force us to do one or more of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stop making, selling or using products or technologies that allegedly infringe the asserted intellectual property;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lose the opportunity to license our intellectual property to others or to collect royalty payments based upon successful protection and assertion of our intellectual property rights against others; incur significant legal expenses;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 substantial damages or royalties to the party whose intellectual property rights we may be found to be infringing;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 the attorney’s fees and costs of litigation to the party whose intellectual property rights we may be found to be infringing;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redesign those products or technologies that contain the allegedly infringing intellectual property, which could be costly and disruptive, and may be infeasible;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attempt to obtain a license to the relevant intellectual property from third parties, which may not be available on reasonable terms or at all, or from third parties who may attempt to license rights that they do not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litigation or claim against us, even those without merit and even those where we prevail,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willfully infringe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make any necessary changes to our products or technologies, we may have to withdraw existing products from the market or may be unable to commercialize one or more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generally indemnify our customers with respect to infringement by our products of the proprietary rights of third parties. However,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parties review, post grant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may file lawsuits or initiate other proceedings to protect or enforce our patents or other intellectual property rights, which could be expensive, time consuming and unsuccessful. 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protect the confidentiality of our other proprietary information, our business and competitive position may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protection of trade secrets, know-how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The protections we place on our intellectual property or other proprietary rights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 be sufficient.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The failure of third parties to meet their contractual, regulatory, and other obligations could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suppliers, vendors, outsourcing partners, consultants, alliance partners and other third parties to research, develop, manufacture and commercialize our products and manage certain parts of our business. Using these third parties poses a number of risks, such as: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perform to our standards or legal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produce reliable results;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perform in a timely manner;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maintain confidentiality of our proprietary information;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disputes may arise with respect to ownership of rights to technology developed with our partners, and those disputes may be resolved against us;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disagreements could cause delays in, or termination of, the research, development or commercialization of our products or result in litigation or arbitration.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and our business may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trademarks, service marks, trade names and brand names to distinguish our products from the products of our competitors, and have registered or applied to register many of these trademarks. It is possible that some of our trademark applications may not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Owning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large number of shares eligible for public sale could depress the market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51.6% of our total outstanding shares of common stock based on our shares outstanding as of June 30, 2024,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pStyle w:val="TextBody"/>
        <w:bidi w:val="0"/>
        <w:spacing w:before="240" w:after="283"/>
        <w:jc w:val="both"/>
        <w:rPr>
          <w:rFonts w:ascii="Times New Roman" w:hAnsi="Times New Roman"/>
          <w:sz w:val="20"/>
        </w:rPr>
      </w:pPr>
      <w:r>
        <w:rPr>
          <w:rFonts w:ascii="Times New Roman" w:hAnsi="Times New Roman"/>
          <w:color w:val="000000"/>
          <w:sz w:val="20"/>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 w:hAnsi="Times New Roman"/>
          <w:b/>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we cannot be certain if the reduced disclosure requirements applicable to us will make our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As a result of this election, our financial statements may not be comparable to the financial statements of other public companies.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currently intend to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remain an “emerging growth company” until as late as December 31, 2025 (the fiscal year-end following the fifth anniversary of the completion of the spin-off), though we may cease to be an “emerging growth company” earlier under certain circumstances, including (1) if the market value of our common stock that is held by non-affiliates exceeds $700.0 million as of any June 30, in which case we would cease to be an “emerging growth company” as of December 31, (2) if our gross revenue exceeds $1.235 billion in any fiscal year or (3) if we issue more than $1.0 billion in nonconvertible notes in any three-year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some investors find our common stock less attractive as a result, there may be a less active trading market for our common stock and our stock price may decline or become more volatile.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issued shares of redeemable convertible preferred stock, and may in the future issue additional shares of preferred stock, with terms that could dilute the voting power or reduce the value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hAnsi="Times New Roman"/>
          <w:i/>
          <w:color w:val="000000"/>
          <w:sz w:val="20"/>
        </w:rPr>
        <w:t>Redeemable Convertible Preferred Stock</w:t>
      </w:r>
      <w:r>
        <w:rPr>
          <w:rFonts w:ascii="Times New Roman" w:hAnsi="Times New Roman"/>
          <w:color w:val="000000"/>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North Run and its affiliates’ ownership may limit or preclude other stockholders’ ability to influence corporate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North Run Capital, LP, or North Run, and its affiliates held 46.5% of the voting power of our capital stock based on shares outstanding as of June 30, 2024,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our securities in one or more transactions, including to one or several private parties in negotiated transactions. In that case, those buyers may subsequently be able to exert significant control over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anticipate paying cash dividends, and accordingly, stockholders must rely on stock appreciation for any return on their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Certain provisions in our charter documents and Delaware law could discourage takeover attempts and lead to management entrenchment and, therefore, may depress the trading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limitations on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pStyle w:val="TextBody"/>
        <w:bidi w:val="0"/>
        <w:spacing w:before="240" w:after="283"/>
        <w:jc w:val="both"/>
        <w:rPr>
          <w:rFonts w:ascii="Times New Roman" w:hAnsi="Times New Roman"/>
          <w:sz w:val="20"/>
        </w:rPr>
      </w:pPr>
      <w:r>
        <w:rPr>
          <w:rFonts w:ascii="Times New Roman" w:hAnsi="Times New Roman"/>
          <w:b/>
          <w:i/>
          <w:color w:val="000000"/>
          <w:sz w:val="20"/>
        </w:rPr>
        <w:t>An active, liquid and orderly market for our common stock may not develop or be sustained, and the trading price of our common stock is likely to be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shift in our investor base;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actual or anticipated fluctuations in our quarterly financial condition and operating performance;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operating and stock price performance of similar companies;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introduction of new products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success or failure of our business strategy;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obtain financing as needed;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accounting standards, policies, guidance, interpretations or principles;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overall performance of the equity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shares of our common stock publicly owned and available for trading;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threatened or actual litigation or governmental investigations;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laws or regulations affecting our business, including tax legislation;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announcements by us or our competitors of significant acquisitions or dispositions;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major change in our board of directors or management;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earnings estimates by securities analysts or our ability to meet earnings guidance;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publication of research reports about us or our industry or changes in recommendations or withdrawal of research coverage by securities analysts;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large volumes of sales of our shares of common stock by existing stockholders;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short sales of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investor perception of us and our industry;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financial markets or general economic conditions, including the effects of recession or slow economic growth in the U.S. and abroad, interest rates, fuel prices, international currency fluctuations, corruption, political instability, acts of war, including the ongoing war between Russia and Ukraine and the conflicts in the Middle East, acts of terrorism, natural disasters and public health crises, such as a resurgence of COVID-19.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For example, on August 14, 2023, two stockholders filed a Verified Amended Class Action Complaint against the Company and certain of its officers and members of the board of directors in the matter captioned Schaper v. LENSAR, Inc., et al., Case No. 1:23-cv-00692-JLH (D. Del.), alleging violations of Sections 14(a) and 20(a) of the Exchange Act, as well as Rule 14d-9 promulgated thereunder, and asserting claims challenging the adequacy of disclosures in the definitive proxy statement filed with the SEC on June 20, 2023. Plaintiffs filed a Verified Second Amended Class Action Complaint on January 12, 2024, alleging substantially the same claims. This type of litigation could result in very substantial costs, divert our management’s attention and resources, and could have a material adverse effect on our business, financial condition and results of operations.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obligated to develop and maintain proper and effective internal control over financial reporting and will be subject to other requirements that will be burdensome and costly.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as long as we are an “emerging growth company” under the JOBS Act or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and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 </w:t>
      </w:r>
    </w:p>
    <w:p>
      <w:pPr>
        <w:pStyle w:val="TextBody"/>
        <w:bidi w:val="0"/>
        <w:spacing w:before="240" w:after="283"/>
        <w:jc w:val="both"/>
        <w:rPr>
          <w:rFonts w:ascii="Times New Roman" w:hAnsi="Times New Roman"/>
          <w:sz w:val="20"/>
        </w:rPr>
      </w:pPr>
      <w:r>
        <w:rPr>
          <w:rFonts w:ascii="Times New Roman" w:hAnsi="Times New Roman"/>
          <w:b/>
          <w:i/>
          <w:color w:val="000000"/>
          <w:sz w:val="20"/>
        </w:rPr>
        <w:t>Increasing scrutiny and stakeholder expectations regarding environmental, social, and governance matters may cause us to incur expenses and liabilities or otherwise adversely impact our business, financial condition, or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across industries are facing increasing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rapidly,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 </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 carryforwards to offset future taxable income may be subject to certain limitations.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2023, we had net operating loss, or NOL, carryforwards of $32.5 million for federal income tax purposes and $22.6 million for state income tax purposes, which may be available to offset our future taxable income, if any. Our federal NOL carryforwards are not subject to expiration, but may generally only be used to offset 80% of future taxable income in a given year. Our state NOL carryforwards begin to expire in 2028. Our state NOL carryforwards could expire unused, to the extent subject to expiration, and be unavailable to offset future taxable income.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Sections 382 and 383 of the Code, a corporation that undergoes an “ownership change”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(by value) over a rolling three-year period. Similar rules may apply under state tax laws. We completed an ownership change analysis pursuant to Section 382 of the Code through our taxable year ended December 31, 2023, and determined we experienced an ownership change on May 18, 2023 in connection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Private Placement of Series A Redeemable Convertible Preferred Stock. Our ability to utilize our NOL carryforwards and other tax attributes to offset future taxable income or income taxes is limited as a result of such ownership change. However, we may have experienced additional ownership changes since December 31, 2023, and we may experience ownership changes in the future as a result of future transactions in our stock, some of which may be outside our control. If we have undergone additional ownership changes, or if we undergo ownership changes in the future, our ability to use our NOL carryforwards could be further limited. </w:t>
      </w:r>
    </w:p>
    <w:p>
      <w:pPr>
        <w:pStyle w:val="TextBody"/>
        <w:bidi w:val="0"/>
        <w:spacing w:before="240" w:after="283"/>
        <w:jc w:val="both"/>
        <w:rPr>
          <w:rFonts w:ascii="Times New Roman" w:hAnsi="Times New Roman"/>
          <w:b/>
          <w:color w:val="000000"/>
          <w:sz w:val="20"/>
        </w:rPr>
      </w:pPr>
      <w:bookmarkStart w:id="17" w:name="item2_unregistered_sales"/>
      <w:bookmarkEnd w:id="17"/>
      <w:r>
        <w:rPr>
          <w:rFonts w:ascii="Times New Roman" w:hAnsi="Times New Roman"/>
          <w:b/>
          <w:color w:val="000000"/>
          <w:sz w:val="20"/>
        </w:rPr>
        <w:t>Item 2. Unregistered Sales of Equity Securities and Use of Proceeds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120"/>
        <w:jc w:val="both"/>
        <w:rPr/>
      </w:pPr>
      <w:r>
        <w:rPr/>
        <w:t> </w:t>
      </w:r>
    </w:p>
    <w:p>
      <w:pPr>
        <w:pStyle w:val="TextBody"/>
        <w:bidi w:val="0"/>
        <w:jc w:val="left"/>
        <w:rPr>
          <w:rFonts w:ascii="Times New Roman" w:hAnsi="Times New Roman"/>
          <w:b/>
          <w:color w:val="000000"/>
          <w:sz w:val="20"/>
        </w:rPr>
      </w:pPr>
      <w:bookmarkStart w:id="18" w:name="item3_defaults_upon_senior"/>
      <w:bookmarkEnd w:id="18"/>
      <w:r>
        <w:rPr>
          <w:rFonts w:ascii="Times New Roman" w:hAnsi="Times New Roman"/>
          <w:b/>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9" w:name="item4_mine_safety_disclosures"/>
      <w:bookmarkEnd w:id="19"/>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0" w:name="item5_other_information"/>
      <w:bookmarkEnd w:id="20"/>
      <w:r>
        <w:rPr>
          <w:rFonts w:ascii="Times New Roman" w:hAnsi="Times New Roman"/>
          <w:b/>
          <w:color w:val="000000"/>
          <w:sz w:val="20"/>
        </w:rPr>
        <w:t>Item 5. Other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During the three months ended June 30, 2024, no directors or “officers” (as defined in Rule 16a-1(f) under the Exchange Act) of the Company adopted, modified or terminated a “Rule 10b5-1 trading arrangement” and/or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4"/>
        <w:gridCol w:w="4958"/>
        <w:gridCol w:w="646"/>
        <w:gridCol w:w="666"/>
        <w:gridCol w:w="631"/>
        <w:gridCol w:w="656"/>
        <w:gridCol w:w="874"/>
      </w:tblGrid>
      <w:tr>
        <w:trPr/>
        <w:tc>
          <w:tcPr>
            <w:tcW w:w="1774" w:type="dxa"/>
            <w:tcBorders/>
            <w:vAlign w:val="center"/>
          </w:tcPr>
          <w:p>
            <w:pPr>
              <w:pStyle w:val="TableContents"/>
              <w:bidi w:val="0"/>
              <w:spacing w:before="0" w:after="283"/>
              <w:jc w:val="left"/>
              <w:rPr>
                <w:sz w:val="4"/>
                <w:szCs w:val="4"/>
              </w:rPr>
            </w:pPr>
            <w:r>
              <w:rPr>
                <w:sz w:val="4"/>
                <w:szCs w:val="4"/>
              </w:rPr>
            </w:r>
          </w:p>
        </w:tc>
        <w:tc>
          <w:tcPr>
            <w:tcW w:w="495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774" w:type="dxa"/>
            <w:tcBorders/>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4958"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6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6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5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74"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2.1+</w:t>
            </w:r>
          </w:p>
        </w:tc>
        <w:tc>
          <w:tcPr>
            <w:tcW w:w="4958" w:type="dxa"/>
            <w:tcBorders/>
            <w:vAlign w:val="center"/>
          </w:tcPr>
          <w:p>
            <w:pPr>
              <w:pStyle w:val="TableContents"/>
              <w:bidi w:val="0"/>
              <w:spacing w:before="0" w:after="283"/>
              <w:jc w:val="left"/>
              <w:rPr/>
            </w:pPr>
            <w:hyperlink r:id="rId2">
              <w:r>
                <w:rPr>
                  <w:rStyle w:val="InternetLink"/>
                  <w:rFonts w:ascii="Times New Roman" w:hAnsi="Times New Roman"/>
                  <w:color w:val="0000FF"/>
                  <w:sz w:val="18"/>
                  <w:u w:val="single"/>
                </w:rPr>
                <w:t>Separation and Distribution Agreement between PDL BioPharma, Inc. and LENSAR, Inc.</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10/2/2020</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w:t>
            </w:r>
          </w:p>
        </w:tc>
        <w:tc>
          <w:tcPr>
            <w:tcW w:w="4958" w:type="dxa"/>
            <w:tcBorders/>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Certificate of Incorporation of LENSAR, Inc.</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10/2/2020</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3.2</w:t>
            </w:r>
          </w:p>
        </w:tc>
        <w:tc>
          <w:tcPr>
            <w:tcW w:w="4958" w:type="dxa"/>
            <w:tcBorders/>
            <w:vAlign w:val="center"/>
          </w:tcPr>
          <w:p>
            <w:pPr>
              <w:pStyle w:val="TableContents"/>
              <w:bidi w:val="0"/>
              <w:spacing w:before="0" w:after="283"/>
              <w:jc w:val="left"/>
              <w:rPr/>
            </w:pPr>
            <w:hyperlink r:id="rId4">
              <w:r>
                <w:rPr>
                  <w:rStyle w:val="InternetLink"/>
                  <w:rFonts w:ascii="Times New Roman" w:hAnsi="Times New Roman"/>
                  <w:color w:val="0000FF"/>
                  <w:sz w:val="18"/>
                  <w:u w:val="single"/>
                </w:rPr>
                <w:t>Second Amended and Restated Bylaws of LENSAR, Inc.</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10-K</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3/12/2021</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3.3</w:t>
            </w:r>
          </w:p>
        </w:tc>
        <w:tc>
          <w:tcPr>
            <w:tcW w:w="4958" w:type="dxa"/>
            <w:tcBorders/>
            <w:vAlign w:val="center"/>
          </w:tcPr>
          <w:p>
            <w:pPr>
              <w:pStyle w:val="TableContents"/>
              <w:bidi w:val="0"/>
              <w:spacing w:before="0" w:after="283"/>
              <w:jc w:val="left"/>
              <w:rPr/>
            </w:pPr>
            <w:hyperlink r:id="rId5">
              <w:r>
                <w:rPr>
                  <w:rStyle w:val="InternetLink"/>
                  <w:rFonts w:ascii="Times New Roman" w:hAnsi="Times New Roman"/>
                  <w:color w:val="0000FF"/>
                  <w:sz w:val="18"/>
                  <w:u w:val="single"/>
                </w:rPr>
                <w:t>Certificate of Designations, Preferences and Rights of Series A Convertible Preferred Stock filed May 18, 2023</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4.1</w:t>
            </w:r>
          </w:p>
        </w:tc>
        <w:tc>
          <w:tcPr>
            <w:tcW w:w="4958" w:type="dxa"/>
            <w:tcBorders/>
            <w:vAlign w:val="center"/>
          </w:tcPr>
          <w:p>
            <w:pPr>
              <w:pStyle w:val="TableContents"/>
              <w:bidi w:val="0"/>
              <w:spacing w:before="0" w:after="283"/>
              <w:jc w:val="left"/>
              <w:rPr/>
            </w:pPr>
            <w:hyperlink r:id="rId6">
              <w:r>
                <w:rPr>
                  <w:rStyle w:val="InternetLink"/>
                  <w:rFonts w:ascii="Times New Roman" w:hAnsi="Times New Roman"/>
                  <w:color w:val="0000FF"/>
                  <w:sz w:val="18"/>
                  <w:u w:val="single"/>
                </w:rPr>
                <w:t>Form of Certificate of Common Stock</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10/A</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9/14/2020</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4.2</w:t>
            </w:r>
          </w:p>
        </w:tc>
        <w:tc>
          <w:tcPr>
            <w:tcW w:w="4958" w:type="dxa"/>
            <w:tcBorders/>
            <w:vAlign w:val="center"/>
          </w:tcPr>
          <w:p>
            <w:pPr>
              <w:pStyle w:val="TableContents"/>
              <w:bidi w:val="0"/>
              <w:spacing w:before="0" w:after="283"/>
              <w:jc w:val="left"/>
              <w:rPr/>
            </w:pPr>
            <w:hyperlink r:id="rId7">
              <w:r>
                <w:rPr>
                  <w:rStyle w:val="InternetLink"/>
                  <w:rFonts w:ascii="Times New Roman" w:hAnsi="Times New Roman"/>
                  <w:color w:val="0000FF"/>
                  <w:sz w:val="18"/>
                  <w:u w:val="single"/>
                </w:rPr>
                <w:t>Registration Rights Agreement, dated May 12, 2023, between LENSAR, Inc, and NR-GRI Partners, LP</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5/15/2023</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4.3</w:t>
            </w:r>
          </w:p>
        </w:tc>
        <w:tc>
          <w:tcPr>
            <w:tcW w:w="4958" w:type="dxa"/>
            <w:tcBorders/>
            <w:vAlign w:val="center"/>
          </w:tcPr>
          <w:p>
            <w:pPr>
              <w:pStyle w:val="TableContents"/>
              <w:bidi w:val="0"/>
              <w:spacing w:before="0" w:after="283"/>
              <w:jc w:val="left"/>
              <w:rPr/>
            </w:pPr>
            <w:hyperlink r:id="rId8">
              <w:r>
                <w:rPr>
                  <w:rStyle w:val="InternetLink"/>
                  <w:rFonts w:ascii="Times New Roman" w:hAnsi="Times New Roman"/>
                  <w:color w:val="0000FF"/>
                  <w:sz w:val="18"/>
                  <w:u w:val="single"/>
                </w:rPr>
                <w:t>Class A Common Stock Purchase Warrant, dated May 18, 2023</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sz w:val="4"/>
                <w:szCs w:val="4"/>
              </w:rPr>
            </w:pPr>
            <w:r>
              <w:rPr>
                <w:sz w:val="4"/>
                <w:szCs w:val="4"/>
              </w:rPr>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4.4</w:t>
            </w:r>
          </w:p>
        </w:tc>
        <w:tc>
          <w:tcPr>
            <w:tcW w:w="4958" w:type="dxa"/>
            <w:tcBorders/>
            <w:vAlign w:val="center"/>
          </w:tcPr>
          <w:p>
            <w:pPr>
              <w:pStyle w:val="TableContents"/>
              <w:bidi w:val="0"/>
              <w:spacing w:before="0" w:after="283"/>
              <w:jc w:val="left"/>
              <w:rPr/>
            </w:pPr>
            <w:hyperlink r:id="rId9">
              <w:r>
                <w:rPr>
                  <w:rStyle w:val="InternetLink"/>
                  <w:rFonts w:ascii="Times New Roman" w:hAnsi="Times New Roman"/>
                  <w:color w:val="0000FF"/>
                  <w:sz w:val="18"/>
                  <w:u w:val="single"/>
                </w:rPr>
                <w:t>Class B Common Stock Purchase Warrant, dated May 18, 2023</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4958" w:type="dxa"/>
            <w:tcBorders/>
            <w:vAlign w:val="center"/>
          </w:tcPr>
          <w:p>
            <w:pPr>
              <w:pStyle w:val="TableContents"/>
              <w:bidi w:val="0"/>
              <w:spacing w:before="0" w:after="283"/>
              <w:jc w:val="left"/>
              <w:rPr/>
            </w:pPr>
            <w:hyperlink r:id="rId10">
              <w:r>
                <w:rPr>
                  <w:rStyle w:val="InternetLink"/>
                  <w:rFonts w:ascii="Times New Roman" w:hAnsi="Times New Roman"/>
                  <w:color w:val="0000FF"/>
                  <w:sz w:val="18"/>
                  <w:u w:val="single"/>
                </w:rPr>
                <w:t>Non-Employee Director Compensation Program, as amended</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10-Q</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5/9/2024</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w:t>
            </w:r>
          </w:p>
        </w:tc>
        <w:tc>
          <w:tcPr>
            <w:tcW w:w="4958" w:type="dxa"/>
            <w:tcBorders/>
            <w:vAlign w:val="center"/>
          </w:tcPr>
          <w:p>
            <w:pPr>
              <w:pStyle w:val="TableContents"/>
              <w:bidi w:val="0"/>
              <w:spacing w:before="0" w:after="283"/>
              <w:jc w:val="left"/>
              <w:rPr/>
            </w:pPr>
            <w:hyperlink r:id="rId11">
              <w:r>
                <w:rPr>
                  <w:rStyle w:val="InternetLink"/>
                  <w:rFonts w:ascii="Times New Roman" w:hAnsi="Times New Roman"/>
                  <w:color w:val="0000FF"/>
                  <w:sz w:val="18"/>
                  <w:u w:val="single"/>
                </w:rPr>
                <w:t>Form of Performance Stock Unit Agreement pursuant to 2020 Incentive Award Plan</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10-Q</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5/9/2024</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10.3</w:t>
            </w:r>
          </w:p>
        </w:tc>
        <w:tc>
          <w:tcPr>
            <w:tcW w:w="4958" w:type="dxa"/>
            <w:tcBorders/>
            <w:vAlign w:val="center"/>
          </w:tcPr>
          <w:p>
            <w:pPr>
              <w:pStyle w:val="TableContents"/>
              <w:bidi w:val="0"/>
              <w:spacing w:before="0" w:after="283"/>
              <w:jc w:val="left"/>
              <w:rPr/>
            </w:pPr>
            <w:hyperlink r:id="rId12">
              <w:r>
                <w:rPr>
                  <w:rStyle w:val="InternetLink"/>
                  <w:rFonts w:ascii="Times New Roman" w:hAnsi="Times New Roman"/>
                  <w:color w:val="0000FF"/>
                  <w:sz w:val="18"/>
                  <w:u w:val="single"/>
                </w:rPr>
                <w:t>Form of Restricted Stock Unit Agreement pursuant to 2020 Incentive Award Plan</w:t>
              </w:r>
            </w:hyperlink>
          </w:p>
        </w:tc>
        <w:tc>
          <w:tcPr>
            <w:tcW w:w="6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10-Q</w:t>
            </w:r>
          </w:p>
        </w:tc>
        <w:tc>
          <w:tcPr>
            <w:tcW w:w="6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6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5/9/2024</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4958" w:type="dxa"/>
            <w:tcBorders/>
            <w:vAlign w:val="center"/>
          </w:tcPr>
          <w:p>
            <w:pPr>
              <w:pStyle w:val="TableContents"/>
              <w:bidi w:val="0"/>
              <w:spacing w:before="0" w:after="283"/>
              <w:jc w:val="left"/>
              <w:rPr/>
            </w:pPr>
            <w:hyperlink w:anchor="lnsr-ex31_1.htm">
              <w:r>
                <w:rPr>
                  <w:rStyle w:val="InternetLink"/>
                  <w:rFonts w:ascii="Times New Roman" w:hAnsi="Times New Roman"/>
                  <w:color w:val="0000FF"/>
                  <w:sz w:val="18"/>
                  <w:u w:val="single"/>
                </w:rPr>
                <w:t>Certification of Principal Executive Officer pursuant to Rule 13a-14(a) or Rule 15d-14(a) of the Securities Exchange Act of 1934, as amended</w:t>
              </w:r>
            </w:hyperlink>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4958" w:type="dxa"/>
            <w:tcBorders/>
            <w:vAlign w:val="center"/>
          </w:tcPr>
          <w:p>
            <w:pPr>
              <w:pStyle w:val="TableContents"/>
              <w:bidi w:val="0"/>
              <w:spacing w:before="0" w:after="283"/>
              <w:jc w:val="left"/>
              <w:rPr/>
            </w:pPr>
            <w:hyperlink w:anchor="lnsr-ex31_2.htm">
              <w:r>
                <w:rPr>
                  <w:rStyle w:val="InternetLink"/>
                  <w:rFonts w:ascii="Times New Roman" w:hAnsi="Times New Roman"/>
                  <w:color w:val="0000FF"/>
                  <w:sz w:val="18"/>
                  <w:u w:val="single"/>
                </w:rPr>
                <w:t>Certification of Principal Financial Officer pursuant to Rule 13a-14(a) or Rule 15d-14(a) of the Securities Exchange Act of 1934, as amended</w:t>
              </w:r>
            </w:hyperlink>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4958" w:type="dxa"/>
            <w:tcBorders/>
            <w:vAlign w:val="center"/>
          </w:tcPr>
          <w:p>
            <w:pPr>
              <w:pStyle w:val="TableContents"/>
              <w:bidi w:val="0"/>
              <w:spacing w:before="0" w:after="283"/>
              <w:jc w:val="left"/>
              <w:rPr/>
            </w:pPr>
            <w:hyperlink w:anchor="lnsr-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4958" w:type="dxa"/>
            <w:tcBorders/>
            <w:vAlign w:val="center"/>
          </w:tcPr>
          <w:p>
            <w:pPr>
              <w:pStyle w:val="TableContents"/>
              <w:bidi w:val="0"/>
              <w:spacing w:before="0" w:after="283"/>
              <w:jc w:val="left"/>
              <w:rPr/>
            </w:pPr>
            <w:hyperlink w:anchor="lnsr-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4958"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vAlign w:val="center"/>
          </w:tcPr>
          <w:p>
            <w:pPr>
              <w:pStyle w:val="TableContents"/>
              <w:bidi w:val="0"/>
              <w:spacing w:before="0" w:after="283"/>
              <w:ind w:left="0" w:right="0" w:firstLine="1613"/>
              <w:jc w:val="left"/>
              <w:rPr/>
            </w:pPr>
            <w:r>
              <w:rPr/>
              <w:t> </w:t>
            </w:r>
          </w:p>
        </w:tc>
        <w:tc>
          <w:tcPr>
            <w:tcW w:w="4958" w:type="dxa"/>
            <w:tcBorders/>
            <w:vAlign w:val="center"/>
          </w:tcPr>
          <w:p>
            <w:pPr>
              <w:pStyle w:val="TableContents"/>
              <w:pBdr/>
              <w:bidi w:val="0"/>
              <w:spacing w:before="0" w:after="283"/>
              <w:ind w:left="29" w:right="0" w:hanging="1584"/>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4958"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4958"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(as formatted as Inline XBRL and contained in Exhibit 101)</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Certain schedules and attachments to certain of these exhibits have been omitted pursuant to Regulation S-K, Item 601(a)(5).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00" w:after="283"/>
        <w:jc w:val="center"/>
        <w:rPr>
          <w:rFonts w:ascii="Times New Roman" w:hAnsi="Times New Roman"/>
          <w:sz w:val="20"/>
        </w:rPr>
      </w:pPr>
      <w:r>
        <w:rPr>
          <w:rFonts w:ascii="Times New Roman" w:hAnsi="Times New Roman"/>
          <w:b/>
          <w:color w:val="000000"/>
          <w:sz w:val="20"/>
        </w:rPr>
        <w:t>LENSAR, Inc.</w:t>
      </w:r>
      <w:r>
        <w:rPr>
          <w:rFonts w:ascii="Times New Roman" w:hAnsi="Times New Roman"/>
          <w:color w:val="000000"/>
          <w:sz w:val="20"/>
        </w:rPr>
        <w:t xml:space="preserve"> </w:t>
      </w:r>
    </w:p>
    <w:p>
      <w:pPr>
        <w:pStyle w:val="TextBody"/>
        <w:bidi w:val="0"/>
        <w:jc w:val="left"/>
        <w:rPr/>
      </w:pPr>
      <w:r>
        <w:rPr/>
        <w:t> </w:t>
      </w:r>
    </w:p>
    <w:tbl>
      <w:tblPr>
        <w:tblW w:w="5008" w:type="dxa"/>
        <w:jc w:val="left"/>
        <w:tblInd w:w="0" w:type="dxa"/>
        <w:tblLayout w:type="fixed"/>
        <w:tblCellMar>
          <w:top w:w="28" w:type="dxa"/>
          <w:left w:w="28" w:type="dxa"/>
          <w:bottom w:w="28" w:type="dxa"/>
          <w:right w:w="28" w:type="dxa"/>
        </w:tblCellMar>
      </w:tblPr>
      <w:tblGrid>
        <w:gridCol w:w="1846"/>
        <w:gridCol w:w="146"/>
        <w:gridCol w:w="406"/>
        <w:gridCol w:w="1129"/>
        <w:gridCol w:w="148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T. CURTIS</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T. Curtis</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R. STAAB, II</w:t>
            </w:r>
          </w:p>
        </w:tc>
      </w:tr>
      <w:tr>
        <w:trPr/>
        <w:tc>
          <w:tcPr>
            <w:tcW w:w="18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R. Staab, II</w:t>
            </w:r>
          </w:p>
        </w:tc>
      </w:tr>
      <w:tr>
        <w:trPr/>
        <w:tc>
          <w:tcPr>
            <w:tcW w:w="18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8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KENDRA W. WONG</w:t>
            </w:r>
          </w:p>
        </w:tc>
      </w:tr>
      <w:tr>
        <w:trPr/>
        <w:tc>
          <w:tcPr>
            <w:tcW w:w="18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Kendra W. Wong</w:t>
            </w:r>
          </w:p>
        </w:tc>
      </w:tr>
      <w:tr>
        <w:trPr/>
        <w:tc>
          <w:tcPr>
            <w:tcW w:w="18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r>
        <w:trPr/>
        <w:tc>
          <w:tcPr>
            <w:tcW w:w="18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bookmarkStart w:id="23" w:name="lnsr-ex31_1.htm"/>
      <w:bookmarkStart w:id="24" w:name="kslnsr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Nicholas T. Curtis,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LENSAR,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57" w:type="dxa"/>
        <w:jc w:val="left"/>
        <w:tblInd w:w="0" w:type="dxa"/>
        <w:tblLayout w:type="fixed"/>
        <w:tblCellMar>
          <w:top w:w="28" w:type="dxa"/>
          <w:left w:w="28" w:type="dxa"/>
          <w:bottom w:w="28" w:type="dxa"/>
          <w:right w:w="28" w:type="dxa"/>
        </w:tblCellMar>
      </w:tblPr>
      <w:tblGrid>
        <w:gridCol w:w="1846"/>
        <w:gridCol w:w="109"/>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T. Curtis</w:t>
            </w:r>
          </w:p>
        </w:tc>
      </w:tr>
      <w:tr>
        <w:trPr/>
        <w:tc>
          <w:tcPr>
            <w:tcW w:w="18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9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18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96" w:type="dxa"/>
            <w:tcBorders/>
            <w:shd w:fill="FFFFFF" w:val="cle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nsr-ex31_2.htm"/>
      <w:bookmarkStart w:id="26" w:name="kslnsr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R. Staab, II,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LENSAR,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846"/>
        <w:gridCol w:w="109"/>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R. Staab, II</w:t>
            </w:r>
          </w:p>
        </w:tc>
      </w:tr>
      <w:tr>
        <w:trPr/>
        <w:tc>
          <w:tcPr>
            <w:tcW w:w="18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6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r>
      <w:tr>
        <w:trPr/>
        <w:tc>
          <w:tcPr>
            <w:tcW w:w="18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66" w:type="dxa"/>
            <w:tcBorders/>
            <w:shd w:fill="FFFFFF" w:val="cle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nsr-ex32_1.htm"/>
      <w:bookmarkStart w:id="28" w:name="kslnsr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LENSAR, Inc. (the “Company”) for the quarterly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57" w:type="dxa"/>
        <w:jc w:val="left"/>
        <w:tblInd w:w="0" w:type="dxa"/>
        <w:tblLayout w:type="fixed"/>
        <w:tblCellMar>
          <w:top w:w="28" w:type="dxa"/>
          <w:left w:w="28" w:type="dxa"/>
          <w:bottom w:w="28" w:type="dxa"/>
          <w:right w:w="28" w:type="dxa"/>
        </w:tblCellMar>
      </w:tblPr>
      <w:tblGrid>
        <w:gridCol w:w="1846"/>
        <w:gridCol w:w="109"/>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T. Curtis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lnsr-ex32_2.htm"/>
      <w:bookmarkStart w:id="30" w:name="kslnsr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LENSAR, Inc. (the “Company”) for the quarterly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846"/>
        <w:gridCol w:w="109"/>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R. Staab, II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0350/000119312520262511/d98252dex21.htm" TargetMode="External"/><Relationship Id="rId3" Type="http://schemas.openxmlformats.org/officeDocument/2006/relationships/hyperlink" Target="https://www.sec.gov/Archives/edgar/data/1320350/000119312520262511/d98252dex31.htm" TargetMode="External"/><Relationship Id="rId4" Type="http://schemas.openxmlformats.org/officeDocument/2006/relationships/hyperlink" Target="https://www.sec.gov/Archives/edgar/data/0001320350/000156459021012594/lnsr-ex32_419.htm" TargetMode="External"/><Relationship Id="rId5" Type="http://schemas.openxmlformats.org/officeDocument/2006/relationships/hyperlink" Target="https://www.sec.gov/Archives/edgar/data/1320350/000119312523148214/d487803dex31.htm" TargetMode="External"/><Relationship Id="rId6" Type="http://schemas.openxmlformats.org/officeDocument/2006/relationships/hyperlink" Target="https://www.sec.gov/Archives/edgar/data/1320350/000119312520245277/d945311dex41.htm" TargetMode="External"/><Relationship Id="rId7" Type="http://schemas.openxmlformats.org/officeDocument/2006/relationships/hyperlink" Target="https://www.sec.gov/Archives/edgar/data/1320350/000119312523144213/d510326dex102.htm" TargetMode="External"/><Relationship Id="rId8" Type="http://schemas.openxmlformats.org/officeDocument/2006/relationships/hyperlink" Target="https://www.sec.gov/Archives/edgar/data/1320350/000119312523148214/d487803dex41.htm" TargetMode="External"/><Relationship Id="rId9" Type="http://schemas.openxmlformats.org/officeDocument/2006/relationships/hyperlink" Target="https://www.sec.gov/Archives/edgar/data/1320350/000119312523148214/d487803dex42.htm" TargetMode="External"/><Relationship Id="rId10" Type="http://schemas.openxmlformats.org/officeDocument/2006/relationships/hyperlink" Target="https://www.sec.gov/Archives/edgar/data/1320350/000095017024056837/lnsr-ex10_1.htm" TargetMode="External"/><Relationship Id="rId11" Type="http://schemas.openxmlformats.org/officeDocument/2006/relationships/hyperlink" Target="https://www.sec.gov/Archives/edgar/data/1320350/000095017024056837/lnsr-ex10_2.htm" TargetMode="External"/><Relationship Id="rId12" Type="http://schemas.openxmlformats.org/officeDocument/2006/relationships/hyperlink" Target="https://www.sec.gov/Archives/edgar/data/1320350/000095017024056837/lnsr-ex10_3.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53978</Words>
  <Characters>297393</Characters>
  <CharactersWithSpaces>352583</CharactersWithSpaces>
  <Paragraphs>7072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