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nsr-20260813.htm"/>
      <w:bookmarkStart w:id="1" w:name="kslnsr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LENSAR,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001-39473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32-0125724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2800 Discovery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Orlando,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32826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888</w:t>
            </w:r>
            <w:r>
              <w:rPr>
                <w:rFonts w:ascii="Times New Roman" w:hAnsi="Times New Roman"/>
                <w:color w:val="000000"/>
                <w:sz w:val="20"/>
              </w:rPr>
              <w:t xml:space="preserve"> </w:t>
            </w:r>
            <w:r>
              <w:rPr>
                <w:rFonts w:ascii="Times New Roman" w:hAnsi="Times New Roman"/>
                <w:b/>
                <w:color w:val="000000"/>
                <w:sz w:val="20"/>
              </w:rPr>
              <w:t>536-7271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30" w:type="dxa"/>
        <w:jc w:val="left"/>
        <w:tblInd w:w="0" w:type="dxa"/>
        <w:tblLayout w:type="fixed"/>
        <w:tblCellMar>
          <w:top w:w="28" w:type="dxa"/>
          <w:left w:w="28" w:type="dxa"/>
          <w:bottom w:w="28" w:type="dxa"/>
          <w:right w:w="28" w:type="dxa"/>
        </w:tblCellMar>
      </w:tblPr>
      <w:tblGrid>
        <w:gridCol w:w="3466"/>
        <w:gridCol w:w="146"/>
        <w:gridCol w:w="946"/>
        <w:gridCol w:w="14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LNSR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13, 2026, LENSAR, Inc. (the “Company”) issued a press release announcing financial results for the fiscal quarter ended June 30, 2026. A copy of the Company’s press release is furnished as Exhibit 99.1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a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nsr-ex99_1.htm">
              <w:r>
                <w:rPr>
                  <w:rStyle w:val="InternetLink"/>
                  <w:rFonts w:ascii="Times New Roman" w:hAnsi="Times New Roman"/>
                  <w:color w:val="0000FF"/>
                  <w:sz w:val="20"/>
                  <w:u w:val="single"/>
                </w:rPr>
                <w:t>Press Release of LENSAR, Inc., dated August 13,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14" w:type="dxa"/>
        <w:jc w:val="left"/>
        <w:tblInd w:w="0" w:type="dxa"/>
        <w:tblLayout w:type="fixed"/>
        <w:tblCellMar>
          <w:top w:w="28" w:type="dxa"/>
          <w:left w:w="28" w:type="dxa"/>
          <w:bottom w:w="28" w:type="dxa"/>
          <w:right w:w="28" w:type="dxa"/>
        </w:tblCellMar>
      </w:tblPr>
      <w:tblGrid>
        <w:gridCol w:w="556"/>
        <w:gridCol w:w="1456"/>
        <w:gridCol w:w="63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LENSAR,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Nicholas T. Curtis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Nicholas T. Curtis</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lnsr-ex99_1.htm"/>
      <w:bookmarkStart w:id="3" w:name="kslnsrex99_1"/>
      <w:bookmarkEnd w:id="2"/>
      <w:bookmarkEnd w:id="3"/>
      <w:r>
        <w:rPr>
          <w:rFonts w:ascii="Times New Roman" w:hAnsi="Times New Roman"/>
          <w:color w:val="000000"/>
          <w:sz w:val="20"/>
        </w:rPr>
        <w:t>Exhibit 99.1</w:t>
      </w:r>
      <w:r>
        <w:br w:type="page"/>
      </w:r>
    </w:p>
    <w:p>
      <w:pPr>
        <w:pStyle w:val="TextBody"/>
        <w:bidi w:val="0"/>
        <w:jc w:val="left"/>
        <w:rPr/>
      </w:pPr>
      <w:r>
        <w:rPr/>
        <w:drawing>
          <wp:inline distT="0" distB="0" distL="0" distR="0">
            <wp:extent cx="18764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58102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LENSAR</w:t>
      </w:r>
      <w:r>
        <w:rPr>
          <w:rFonts w:ascii="Times New Roman" w:hAnsi="Times New Roman"/>
          <w:b/>
          <w:color w:val="000000"/>
          <w:sz w:val="15"/>
        </w:rPr>
        <w:t>®</w:t>
      </w:r>
      <w:r>
        <w:rPr>
          <w:rFonts w:ascii="Times New Roman" w:hAnsi="Times New Roman"/>
          <w:color w:val="000000"/>
          <w:sz w:val="20"/>
        </w:rPr>
        <w:t xml:space="preserve"> </w:t>
      </w:r>
      <w:r>
        <w:rPr>
          <w:rFonts w:ascii="Times New Roman" w:hAnsi="Times New Roman"/>
          <w:b/>
          <w:color w:val="000000"/>
          <w:sz w:val="22"/>
        </w:rPr>
        <w:t>Reports Second Quarter 2026 Results and Provides Business Update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10 ALLY Robotic Cataract Laser Systems</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(“ALLY System”) Placements in Second Quarter 2026; Backlog of 13 ALLY Systems as of June 30,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Second Quarter Recurring Revenue was $13.7 million</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Total Laser Installed Base Climbs to 445 Systems, Driven by 30% Growth in ALLY Placements</w:t>
      </w:r>
    </w:p>
    <w:p>
      <w:pPr>
        <w:pStyle w:val="TextBody"/>
        <w:bidi w:val="0"/>
        <w:spacing w:before="240" w:after="240"/>
        <w:jc w:val="left"/>
        <w:rPr>
          <w:rFonts w:ascii="Times New Roman" w:hAnsi="Times New Roman"/>
          <w:sz w:val="20"/>
        </w:rPr>
      </w:pPr>
      <w:r>
        <w:rPr>
          <w:rFonts w:ascii="Times New Roman" w:hAnsi="Times New Roman"/>
          <w:b/>
          <w:color w:val="000000"/>
          <w:sz w:val="20"/>
        </w:rPr>
        <w:t xml:space="preserve">ORLANDO, Fla. (Aug 13, 2026) </w:t>
      </w:r>
      <w:r>
        <w:rPr>
          <w:rFonts w:ascii="Times New Roman" w:hAnsi="Times New Roman"/>
          <w:color w:val="000000"/>
          <w:sz w:val="20"/>
        </w:rPr>
        <w:t>- LENSAR, Inc. (Nasdaq: LNSR) (“LENSAR” or the “Company”), a global medical technology company focused on advanced robotic laser solutions for the treatment of cataracts, today announced financial results for the quarter ended June 30, 2026 and provided an update on key operational initiatives.</w:t>
      </w:r>
    </w:p>
    <w:p>
      <w:pPr>
        <w:pStyle w:val="TextBody"/>
        <w:bidi w:val="0"/>
        <w:spacing w:before="0" w:after="240"/>
        <w:jc w:val="left"/>
        <w:rPr/>
      </w:pPr>
      <w:r>
        <w:rPr>
          <w:color w:val="000000"/>
        </w:rPr>
        <w:t>“</w:t>
      </w:r>
      <w:r>
        <w:rPr>
          <w:rFonts w:ascii="Times New Roman" w:hAnsi="Times New Roman"/>
          <w:color w:val="000000"/>
          <w:sz w:val="20"/>
        </w:rPr>
        <w:t xml:space="preserve">In all metrics we delivered a significant second quarter, highlighted by 18% total revenue growth and 20% recurring revenue growth over the second quarter of 2025, and our strongest Adjusted EBITDA performance to date along with positive Net Income. These results reflect the continued strength of our business model, increasing utilization across our installed base, and sustained demand for the ALLY System,” said Nick Curtis, President and CEO of LENSAR. “Importantly, procedure revenue grew 23% over the second quarter last year as surgeons continued to increase the number of procedures performed using ALLY, reinforcing our belief in the solid health of our underlying business in realizing the long-term potential of our recurring revenue model. The growth we achieved during the second quarter gives us continued confidence in the trajectory of the business. Our increasing installed base, expanding recurring revenue and healthy backlog of pending installations exiting the second quarter position us well as we continue executing on our commercial strategy, LENSAR maintains a sharp focus on driving long-term value for our shareholders, as well as our surgeon partners and the patients they serve.”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LENSAR Q2 2026 Financial Summary</w:t>
      </w:r>
    </w:p>
    <w:tbl>
      <w:tblPr>
        <w:tblW w:w="4729" w:type="dxa"/>
        <w:jc w:val="left"/>
        <w:tblInd w:w="0" w:type="dxa"/>
        <w:tblLayout w:type="fixed"/>
        <w:tblCellMar>
          <w:top w:w="28" w:type="dxa"/>
          <w:left w:w="28" w:type="dxa"/>
          <w:bottom w:w="28" w:type="dxa"/>
          <w:right w:w="28" w:type="dxa"/>
        </w:tblCellMar>
      </w:tblPr>
      <w:tblGrid>
        <w:gridCol w:w="2296"/>
        <w:gridCol w:w="751"/>
        <w:gridCol w:w="766"/>
        <w:gridCol w:w="916"/>
      </w:tblGrid>
      <w:tr>
        <w:trPr/>
        <w:tc>
          <w:tcPr>
            <w:tcW w:w="22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Metric</w:t>
            </w:r>
          </w:p>
        </w:tc>
        <w:tc>
          <w:tcPr>
            <w:tcW w:w="7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7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91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2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$16.5M</w:t>
            </w:r>
          </w:p>
        </w:tc>
        <w:tc>
          <w:tcPr>
            <w:tcW w:w="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$13.9M</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22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$13.7M</w:t>
            </w:r>
          </w:p>
        </w:tc>
        <w:tc>
          <w:tcPr>
            <w:tcW w:w="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$11.4M</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22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Procedure revenue</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$10.2M</w:t>
            </w:r>
          </w:p>
        </w:tc>
        <w:tc>
          <w:tcPr>
            <w:tcW w:w="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$8.3M</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22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Procedure volume</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58,682</w:t>
            </w:r>
          </w:p>
        </w:tc>
        <w:tc>
          <w:tcPr>
            <w:tcW w:w="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52,100</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r>
        <w:trPr/>
        <w:tc>
          <w:tcPr>
            <w:tcW w:w="22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 %</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c>
          <w:tcPr>
            <w:tcW w:w="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22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Laser Installed Base</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445</w:t>
            </w:r>
          </w:p>
        </w:tc>
        <w:tc>
          <w:tcPr>
            <w:tcW w:w="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2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ALLY Installed Base</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215</w:t>
            </w:r>
          </w:p>
        </w:tc>
        <w:tc>
          <w:tcPr>
            <w:tcW w:w="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165</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22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$3.5M</w:t>
            </w:r>
          </w:p>
        </w:tc>
        <w:tc>
          <w:tcPr>
            <w:tcW w:w="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$(1.8)M</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22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$3.6M</w:t>
            </w:r>
          </w:p>
        </w:tc>
        <w:tc>
          <w:tcPr>
            <w:tcW w:w="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$(0.3)M</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bl>
    <w:p>
      <w:pPr>
        <w:pStyle w:val="Heading2"/>
        <w:bidi w:val="0"/>
        <w:spacing w:before="120" w:after="299"/>
        <w:jc w:val="center"/>
        <w:rPr>
          <w:rFonts w:ascii="Times New Roman" w:hAnsi="Times New Roman"/>
          <w:b w:val="false"/>
          <w:i/>
          <w:color w:val="000000"/>
          <w:sz w:val="20"/>
        </w:rPr>
      </w:pPr>
      <w:r>
        <w:rPr>
          <w:rFonts w:ascii="Times New Roman" w:hAnsi="Times New Roman"/>
          <w:b w:val="false"/>
          <w:i/>
          <w:color w:val="000000"/>
          <w:sz w:val="20"/>
        </w:rPr>
        <w:t>*N/M = Not meaningful due to change from a loss to positive earnings.</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Second Quarter 2026 Financial Results</w:t>
      </w:r>
    </w:p>
    <w:p>
      <w:pPr>
        <w:pStyle w:val="TextBody"/>
        <w:bidi w:val="0"/>
        <w:spacing w:before="0" w:after="240"/>
        <w:jc w:val="left"/>
        <w:rPr>
          <w:rFonts w:ascii="Times New Roman" w:hAnsi="Times New Roman"/>
          <w:sz w:val="20"/>
        </w:rPr>
      </w:pPr>
      <w:r>
        <w:rPr>
          <w:rFonts w:ascii="Times New Roman" w:hAnsi="Times New Roman"/>
          <w:color w:val="000000"/>
          <w:sz w:val="19"/>
        </w:rPr>
        <w:t>In addition to the revenue growth summarized above, during the three months ended June 30, 2026, the Company placed 10 ALLY Systems, bringing the total installed ALLY base to approximately 215 at quarter end. As of June 30, 2026, the Company had a backlog of 13 ALLY Systems pending installation.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information about revenue and recurring revenue, which we consider to be all components of our revenue except for the sales of our systems:</w:t>
      </w:r>
    </w:p>
    <w:tbl>
      <w:tblPr>
        <w:tblW w:w="7662" w:type="dxa"/>
        <w:jc w:val="left"/>
        <w:tblInd w:w="0" w:type="dxa"/>
        <w:tblLayout w:type="fixed"/>
        <w:tblCellMar>
          <w:top w:w="28" w:type="dxa"/>
          <w:left w:w="28" w:type="dxa"/>
          <w:bottom w:w="28" w:type="dxa"/>
          <w:right w:w="28" w:type="dxa"/>
        </w:tblCellMar>
      </w:tblPr>
      <w:tblGrid>
        <w:gridCol w:w="2226"/>
        <w:gridCol w:w="146"/>
        <w:gridCol w:w="211"/>
        <w:gridCol w:w="676"/>
        <w:gridCol w:w="271"/>
        <w:gridCol w:w="146"/>
        <w:gridCol w:w="211"/>
        <w:gridCol w:w="676"/>
        <w:gridCol w:w="271"/>
        <w:gridCol w:w="146"/>
        <w:gridCol w:w="211"/>
        <w:gridCol w:w="676"/>
        <w:gridCol w:w="271"/>
        <w:gridCol w:w="146"/>
        <w:gridCol w:w="211"/>
        <w:gridCol w:w="676"/>
        <w:gridCol w:w="491"/>
      </w:tblGrid>
      <w:tr>
        <w:trPr/>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Procedure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information about procedure volume:</w:t>
      </w:r>
    </w:p>
    <w:tbl>
      <w:tblPr>
        <w:tblW w:w="4153" w:type="dxa"/>
        <w:jc w:val="left"/>
        <w:tblInd w:w="0" w:type="dxa"/>
        <w:tblLayout w:type="fixed"/>
        <w:tblCellMar>
          <w:top w:w="28" w:type="dxa"/>
          <w:left w:w="28" w:type="dxa"/>
          <w:bottom w:w="28" w:type="dxa"/>
          <w:right w:w="28" w:type="dxa"/>
        </w:tblCellMar>
      </w:tblPr>
      <w:tblGrid>
        <w:gridCol w:w="556"/>
        <w:gridCol w:w="146"/>
        <w:gridCol w:w="146"/>
        <w:gridCol w:w="781"/>
        <w:gridCol w:w="146"/>
        <w:gridCol w:w="146"/>
        <w:gridCol w:w="146"/>
        <w:gridCol w:w="781"/>
        <w:gridCol w:w="146"/>
        <w:gridCol w:w="146"/>
        <w:gridCol w:w="146"/>
        <w:gridCol w:w="676"/>
        <w:gridCol w:w="19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81,689</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income and Adjusted EBITDA increased due to improved revenue, lower operating expenses, and a $1.1 million tariff refund. Net income growth was offset by lower non-cash income related to the change in fair value of warrant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cash equivalents, and investments totaled $13.6 million as of June 30, 2026, compared to $18.0 million at December 31,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Conference Call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LENSAR management will host a conference call and live webcast to discuss the results and provide an update on the Company’s go-forward strategy today, August 13, 2026, at 8:30 a.m. 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To participate by telephone, please use this </w:t>
      </w:r>
      <w:r>
        <w:rPr>
          <w:rFonts w:ascii="Times New Roman" w:hAnsi="Times New Roman"/>
          <w:sz w:val="20"/>
        </w:rPr>
        <w:t>registration link</w:t>
      </w:r>
      <w:r>
        <w:rPr>
          <w:rFonts w:ascii="Times New Roman" w:hAnsi="Times New Roman"/>
          <w:color w:val="000000"/>
          <w:sz w:val="20"/>
        </w:rPr>
        <w:t xml:space="preserve">. All participants must use the link to complete the online registration process in advance of the conference call. The live webcast can be accessed under “Events &amp; Presentations” in the Investor Relations section of the company’s website at </w:t>
      </w:r>
      <w:r>
        <w:rPr>
          <w:rFonts w:ascii="Times New Roman" w:hAnsi="Times New Roman"/>
          <w:sz w:val="20"/>
        </w:rPr>
        <w:t>https://ir.lensar.com</w:t>
      </w:r>
      <w:r>
        <w:rPr>
          <w:rFonts w:ascii="Times New Roman" w:hAnsi="Times New Roman"/>
          <w:color w:val="000000"/>
          <w:sz w:val="20"/>
        </w:rPr>
        <w:t>. The call and webcast replay will be available for 30 days.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LENSAR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LENSAR is a commercial-stage medical device company focused on designing, developing, and marketing advanced systems for the treatment of cataracts and the management of astigmatism as an integral aspect of the procedure. LENSAR has developed its ALLY Robotic Cataract Laser System</w:t>
      </w:r>
      <w:r>
        <w:rPr>
          <w:rFonts w:ascii="Times New Roman" w:hAnsi="Times New Roman"/>
          <w:color w:val="000000"/>
          <w:sz w:val="13"/>
        </w:rPr>
        <w:t>®</w:t>
      </w:r>
      <w:r>
        <w:rPr>
          <w:rFonts w:ascii="Times New Roman" w:hAnsi="Times New Roman"/>
          <w:color w:val="000000"/>
          <w:sz w:val="20"/>
        </w:rPr>
        <w:t xml:space="preserve"> as a compact, highly ergonomic system utilizing an extremely fast dual-modality laser and proprietary imaging and software. ALLY is designed to transform premium cataract surgery by utilizing LENSAR’s advanced robotic technologies with the ability to perform the entire procedure in a sterile operating room or in-office surgical suite, delivering operational efficiencies and reduced overhead. ALLY includes LENSAR’s proprietary Streamline</w:t>
      </w:r>
      <w:r>
        <w:rPr>
          <w:rFonts w:ascii="Times New Roman" w:hAnsi="Times New Roman"/>
          <w:color w:val="000000"/>
          <w:sz w:val="13"/>
        </w:rPr>
        <w:t>®</w:t>
      </w:r>
      <w:r>
        <w:rPr>
          <w:rFonts w:ascii="Times New Roman" w:hAnsi="Times New Roman"/>
          <w:color w:val="000000"/>
          <w:sz w:val="20"/>
        </w:rPr>
        <w:t xml:space="preserve"> software technology, designed to guide surgeons to achieve better outcomes.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trends in worldwide procedure volume, ALLY’s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commercialization and the Company’s operational and financial performance and long-term strategic goals. In some cases, you can identify forward-looking statements by terms such as “aim,” “anticipate,” “approach,” “believe,” “contemplate,” “could,” “estimate,” “expect,” “goal,” “intend,” “look,” “may,” “mission,” “plan,” “possible,” “potential,” “predict,” “project,” “pursue,” “should,” “target,” “will,” “would,” or the negative thereof and similar words and expressions.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Forward-looking statements are based on management’s current expectations,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various important factors, including, but not limited to: any anticipated effects of the termination of the agreement governing the merger on the value of our common stock; the outcome of any legal proceedings that may be instituted against us and others relating to the merger; our history of operating losses and ability to achieve or sustain profitability; our ability to develop, receive and maintain regulatory clearance or certification of and successfully commercialize the ALLY System and to maintain our LENSAR Laser System; the impact to our business, financial condition, results of operations and our suppliers and distributors as a result of global macroeconomic conditions; the willingness of patients to pay the price difference for our products compared to a standard cataract procedure covered by Medicare or other insurance; our ability to grow our U.S. sales and marketing organization or maintain or grow an effective network of international distributors; our future capital needs and our ability to raise additional funds on acceptable terms, or at all; the impact to our business, financial condition and results of operations as a result of a material disruption to the supply or manufacture of our systems or necessary component parts for such system or material inflationary pressures or enacted tariffs affecting pricing of component parts; our ability to compete against competitors that have longer operating histories, more established products and greater resources than we do; our ability to address the numerous risks associated with marketing, selling and leasing our products in markets outside the United States; the impact to our business, financial condition and results of operations as a result of exposure to the credit risk of our customers; our ability to accurately forecast customer demand and manage our inventory levels; the impact to our business, financial condition and results of operations if we are unable to secure adequate coverage or reimbursement by government or other third-party payors for procedures using our ALLY System or our other products, or changes in such coverage or reimbursement; the impact to our business, financial condition and results of operations of product liability suits brought against us; risks related to government regulation applicable to our products and operations; and risks related to our intellectual property and other intellectual property matters. In addition, a number of other important factors could cause the Company’s actual future results and other future circumstances to differ materially from those expressed in any forward-looking statements, including but not limited to the other important factors that are disclosed under the heading “Risk Factors” contained in the Company’s Quarterly Report on Form 10-Q for the quarter ended March 31, 2026 filed with the Securities and Exchange Commission (“SEC”), as such factors may be updated from time to time in its other filings with the SEC, including the Company’s Quarterly Report on Form 10-Q for the quarterly period ended June 30, 2026, to be filed with the SEC, each accessible on the SEC’s website at www.sec.gov and the Investor Relations section of the Company’s website at </w:t>
      </w:r>
      <w:r>
        <w:rPr>
          <w:rFonts w:ascii="Times New Roman" w:hAnsi="Times New Roman"/>
          <w:sz w:val="20"/>
        </w:rPr>
        <w:t>https://ir.lensar.com</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forward-looking statements are expressly qualified in their entirety by such factors. Except as required by law, the Company undertakes no obligation to publicly update or review any forward-looking statement, whether because of new information, future developments or otherwise. These forward-looking statements should not be relied upon as representing the Company’s views as of any date subsequent to the date of this press release.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77" w:type="dxa"/>
        <w:jc w:val="left"/>
        <w:tblInd w:w="0" w:type="dxa"/>
        <w:tblLayout w:type="fixed"/>
        <w:tblCellMar>
          <w:top w:w="28" w:type="dxa"/>
          <w:left w:w="28" w:type="dxa"/>
          <w:bottom w:w="28" w:type="dxa"/>
          <w:right w:w="28" w:type="dxa"/>
        </w:tblCellMar>
      </w:tblPr>
      <w:tblGrid>
        <w:gridCol w:w="2686"/>
        <w:gridCol w:w="440"/>
        <w:gridCol w:w="3151"/>
      </w:tblGrid>
      <w:tr>
        <w:trPr/>
        <w:tc>
          <w:tcPr>
            <w:tcW w:w="26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ind w:left="0" w:right="0" w:firstLine="540"/>
              <w:jc w:val="left"/>
              <w:rPr>
                <w:rFonts w:ascii="Times New Roman" w:hAnsi="Times New Roman"/>
                <w:b/>
                <w:color w:val="000000"/>
                <w:sz w:val="20"/>
              </w:rPr>
            </w:pPr>
            <w:r>
              <w:rPr>
                <w:rFonts w:ascii="Times New Roman" w:hAnsi="Times New Roman"/>
                <w:b/>
                <w:color w:val="000000"/>
                <w:sz w:val="20"/>
              </w:rPr>
              <w:t>Contacts:</w:t>
            </w:r>
          </w:p>
        </w:tc>
        <w:tc>
          <w:tcPr>
            <w:tcW w:w="440" w:type="dxa"/>
            <w:tcBorders/>
            <w:tcMar>
              <w:top w:w="0" w:type="dxa"/>
              <w:left w:w="0" w:type="dxa"/>
              <w:bottom w:w="0" w:type="dxa"/>
              <w:right w:w="0" w:type="dxa"/>
            </w:tcMar>
            <w:vAlign w:val="center"/>
          </w:tcPr>
          <w:p>
            <w:pPr>
              <w:pStyle w:val="TableContents"/>
              <w:bidi w:val="0"/>
              <w:spacing w:before="0" w:after="283"/>
              <w:ind w:left="0" w:right="0" w:firstLine="294"/>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ind w:left="0" w:right="0" w:firstLine="540"/>
              <w:jc w:val="left"/>
              <w:rPr>
                <w:rFonts w:ascii="Times New Roman" w:hAnsi="Times New Roman"/>
                <w:color w:val="000000"/>
                <w:sz w:val="20"/>
              </w:rPr>
            </w:pPr>
            <w:r>
              <w:rPr>
                <w:rFonts w:ascii="Times New Roman" w:hAnsi="Times New Roman"/>
                <w:color w:val="000000"/>
                <w:sz w:val="20"/>
              </w:rPr>
              <w:t xml:space="preserve">Lee Roth </w:t>
            </w:r>
          </w:p>
        </w:tc>
      </w:tr>
      <w:tr>
        <w:trPr/>
        <w:tc>
          <w:tcPr>
            <w:tcW w:w="2686" w:type="dxa"/>
            <w:tcBorders/>
            <w:tcMar>
              <w:top w:w="0" w:type="dxa"/>
              <w:left w:w="0" w:type="dxa"/>
              <w:bottom w:w="0" w:type="dxa"/>
              <w:right w:w="0" w:type="dxa"/>
            </w:tcMar>
            <w:vAlign w:val="center"/>
          </w:tcPr>
          <w:p>
            <w:pPr>
              <w:pStyle w:val="TableContents"/>
              <w:bidi w:val="0"/>
              <w:spacing w:before="0" w:after="283"/>
              <w:ind w:left="0" w:right="0" w:firstLine="540"/>
              <w:jc w:val="left"/>
              <w:rPr>
                <w:rFonts w:ascii="Times New Roman" w:hAnsi="Times New Roman"/>
                <w:color w:val="000000"/>
                <w:sz w:val="20"/>
              </w:rPr>
            </w:pPr>
            <w:r>
              <w:rPr>
                <w:rFonts w:ascii="Times New Roman" w:hAnsi="Times New Roman"/>
                <w:color w:val="000000"/>
                <w:sz w:val="20"/>
              </w:rPr>
              <w:t>Mike Rossi, Interim CFO</w:t>
            </w:r>
          </w:p>
        </w:tc>
        <w:tc>
          <w:tcPr>
            <w:tcW w:w="440" w:type="dxa"/>
            <w:tcBorders/>
            <w:tcMar>
              <w:top w:w="0" w:type="dxa"/>
              <w:left w:w="0" w:type="dxa"/>
              <w:bottom w:w="0" w:type="dxa"/>
              <w:right w:w="0" w:type="dxa"/>
            </w:tcMar>
            <w:vAlign w:val="center"/>
          </w:tcPr>
          <w:p>
            <w:pPr>
              <w:pStyle w:val="TableContents"/>
              <w:bidi w:val="0"/>
              <w:spacing w:before="0" w:after="283"/>
              <w:ind w:left="0" w:right="0" w:firstLine="294"/>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ind w:left="0" w:right="0" w:firstLine="540"/>
              <w:jc w:val="left"/>
              <w:rPr>
                <w:rFonts w:ascii="Times New Roman" w:hAnsi="Times New Roman"/>
                <w:color w:val="000000"/>
                <w:sz w:val="20"/>
              </w:rPr>
            </w:pPr>
            <w:r>
              <w:rPr>
                <w:rFonts w:ascii="Times New Roman" w:hAnsi="Times New Roman"/>
                <w:color w:val="000000"/>
                <w:sz w:val="20"/>
              </w:rPr>
              <w:t>Burns McClellan for LENSAR</w:t>
            </w:r>
          </w:p>
        </w:tc>
      </w:tr>
      <w:tr>
        <w:trPr/>
        <w:tc>
          <w:tcPr>
            <w:tcW w:w="2686" w:type="dxa"/>
            <w:tcBorders/>
            <w:tcMar>
              <w:top w:w="0" w:type="dxa"/>
              <w:left w:w="0" w:type="dxa"/>
              <w:bottom w:w="0" w:type="dxa"/>
              <w:right w:w="0" w:type="dxa"/>
            </w:tcMar>
            <w:vAlign w:val="center"/>
          </w:tcPr>
          <w:p>
            <w:pPr>
              <w:pStyle w:val="TableContents"/>
              <w:bidi w:val="0"/>
              <w:spacing w:before="0" w:after="283"/>
              <w:ind w:left="0" w:right="0" w:firstLine="540"/>
              <w:jc w:val="left"/>
              <w:rPr>
                <w:rFonts w:ascii="Times New Roman" w:hAnsi="Times New Roman"/>
                <w:sz w:val="20"/>
              </w:rPr>
            </w:pPr>
            <w:r>
              <w:rPr>
                <w:rFonts w:ascii="Times New Roman" w:hAnsi="Times New Roman"/>
                <w:sz w:val="20"/>
              </w:rPr>
              <w:t>ir.contact@lensar.com</w:t>
            </w:r>
            <w:r>
              <w:rPr>
                <w:rFonts w:ascii="Times New Roman" w:hAnsi="Times New Roman"/>
                <w:color w:val="000000"/>
                <w:sz w:val="20"/>
              </w:rPr>
              <w:t xml:space="preserve"> </w:t>
            </w:r>
          </w:p>
        </w:tc>
        <w:tc>
          <w:tcPr>
            <w:tcW w:w="440" w:type="dxa"/>
            <w:tcBorders/>
            <w:tcMar>
              <w:top w:w="0" w:type="dxa"/>
              <w:left w:w="0" w:type="dxa"/>
              <w:bottom w:w="0" w:type="dxa"/>
              <w:right w:w="0" w:type="dxa"/>
            </w:tcMar>
            <w:vAlign w:val="center"/>
          </w:tcPr>
          <w:p>
            <w:pPr>
              <w:pStyle w:val="TableContents"/>
              <w:bidi w:val="0"/>
              <w:spacing w:before="0" w:after="283"/>
              <w:ind w:left="0" w:right="0" w:firstLine="294"/>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ind w:left="0" w:right="0" w:firstLine="294"/>
              <w:jc w:val="left"/>
              <w:rPr>
                <w:rFonts w:ascii="Times New Roman" w:hAnsi="Times New Roman"/>
                <w:sz w:val="20"/>
              </w:rPr>
            </w:pPr>
            <w:r>
              <w:rPr>
                <w:rFonts w:ascii="Times New Roman" w:hAnsi="Times New Roman"/>
                <w:sz w:val="20"/>
              </w:rPr>
              <w:t>lroth@burnsmc.com</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Non-GAAP Financial Measures: </w:t>
      </w:r>
      <w:r>
        <w:rPr>
          <w:rFonts w:ascii="Times New Roman" w:hAnsi="Times New Roman"/>
          <w:color w:val="000000"/>
          <w:sz w:val="20"/>
        </w:rPr>
        <w:t>The Company prepares and analyzes operating and financial data and non-GAAP measures to assess the performance of its business, make strategic and offering decisions and build its financial projections. The key non-GAAP measures it uses are EBITDA and Adjusted EBITDA. 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and acquisition-related income and costs provides meaningful supplemental information for investors when evaluating our results and comparing us to peer companies as stock-based compensation expense and change in fair value of warrant liabilities are significant non-cash charges, and acquisition-related income and costs are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jc w:val="left"/>
        <w:rPr/>
      </w:pPr>
      <w:r>
        <w:rPr/>
        <w:t> </w:t>
      </w:r>
    </w:p>
    <w:p>
      <w:pPr>
        <w:pStyle w:val="TextBody"/>
        <w:bidi w:val="0"/>
        <w:jc w:val="left"/>
        <w:rPr>
          <w:rFonts w:ascii="Times New Roman" w:hAnsi="Times New Roman"/>
          <w:color w:val="000000"/>
          <w:sz w:val="20"/>
        </w:rPr>
      </w:pPr>
      <w:bookmarkStart w:id="4" w:name="range_a1_e32"/>
      <w:bookmarkStart w:id="5" w:name="range_a1_e35"/>
      <w:bookmarkStart w:id="6" w:name="range_a1_e37"/>
      <w:bookmarkStart w:id="7" w:name="range_a1_e34"/>
      <w:bookmarkStart w:id="8" w:name="range_a1_i25"/>
      <w:bookmarkStart w:id="9" w:name="range_a1_d37"/>
      <w:bookmarkEnd w:id="4"/>
      <w:bookmarkEnd w:id="5"/>
      <w:bookmarkEnd w:id="6"/>
      <w:bookmarkEnd w:id="7"/>
      <w:bookmarkEnd w:id="8"/>
      <w:bookmarkEnd w:id="9"/>
      <w:r>
        <w:rPr>
          <w:rFonts w:ascii="Times New Roman" w:hAnsi="Times New Roman"/>
          <w:color w:val="000000"/>
          <w:sz w:val="20"/>
        </w:rPr>
        <w:t xml:space="preserve">Reconciliations of EBITDA and Adjusted EBITDA to their most comparable GAAP financial measure are set forth below. </w:t>
      </w:r>
    </w:p>
    <w:p>
      <w:pPr>
        <w:pStyle w:val="TextBody"/>
        <w:bidi w:val="0"/>
        <w:jc w:val="left"/>
        <w:rPr/>
      </w:pPr>
      <w:r>
        <w:rPr/>
        <w:t> </w:t>
      </w:r>
    </w:p>
    <w:p>
      <w:pPr>
        <w:pStyle w:val="TextBody"/>
        <w:bidi w:val="0"/>
        <w:jc w:val="left"/>
        <w:rPr/>
      </w:pPr>
      <w:r>
        <w:rPr/>
        <w:t> </w:t>
      </w:r>
    </w:p>
    <w:tbl>
      <w:tblPr>
        <w:tblW w:w="8772" w:type="dxa"/>
        <w:jc w:val="left"/>
        <w:tblInd w:w="0" w:type="dxa"/>
        <w:tblLayout w:type="fixed"/>
        <w:tblCellMar>
          <w:top w:w="28" w:type="dxa"/>
          <w:left w:w="28" w:type="dxa"/>
          <w:bottom w:w="28" w:type="dxa"/>
          <w:right w:w="28" w:type="dxa"/>
        </w:tblCellMar>
      </w:tblPr>
      <w:tblGrid>
        <w:gridCol w:w="3901"/>
        <w:gridCol w:w="146"/>
        <w:gridCol w:w="211"/>
        <w:gridCol w:w="631"/>
        <w:gridCol w:w="166"/>
        <w:gridCol w:w="146"/>
        <w:gridCol w:w="211"/>
        <w:gridCol w:w="631"/>
        <w:gridCol w:w="166"/>
        <w:gridCol w:w="146"/>
        <w:gridCol w:w="211"/>
        <w:gridCol w:w="736"/>
        <w:gridCol w:w="166"/>
        <w:gridCol w:w="146"/>
        <w:gridCol w:w="211"/>
        <w:gridCol w:w="736"/>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Acquisition-related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LENSAR, Inc.</w:t>
      </w:r>
    </w:p>
    <w:p>
      <w:pPr>
        <w:pStyle w:val="TextBody"/>
        <w:bidi w:val="0"/>
        <w:spacing w:before="10" w:after="283"/>
        <w:jc w:val="center"/>
        <w:rPr>
          <w:rFonts w:ascii="Times New Roman" w:hAnsi="Times New Roman"/>
          <w:b/>
          <w:color w:val="231F20"/>
          <w:sz w:val="20"/>
        </w:rPr>
      </w:pPr>
      <w:r>
        <w:rPr>
          <w:rFonts w:ascii="Times New Roman" w:hAnsi="Times New Roman"/>
          <w:b/>
          <w:color w:val="231F20"/>
          <w:sz w:val="20"/>
        </w:rPr>
        <w:t>STATEMENTS OF OPERATIONS</w:t>
      </w:r>
    </w:p>
    <w:p>
      <w:pPr>
        <w:pStyle w:val="TextBody"/>
        <w:bidi w:val="0"/>
        <w:spacing w:before="10" w:after="283"/>
        <w:jc w:val="center"/>
        <w:rPr>
          <w:rFonts w:ascii="Times New Roman" w:hAnsi="Times New Roman"/>
          <w:b/>
          <w:color w:val="231F20"/>
          <w:sz w:val="20"/>
        </w:rPr>
      </w:pPr>
      <w:r>
        <w:rPr>
          <w:rFonts w:ascii="Times New Roman" w:hAnsi="Times New Roman"/>
          <w:b/>
          <w:color w:val="231F20"/>
          <w:sz w:val="20"/>
        </w:rPr>
        <w:t>(In thousands, except per share amounts)</w:t>
      </w:r>
    </w:p>
    <w:p>
      <w:pPr>
        <w:pStyle w:val="TextBody"/>
        <w:bidi w:val="0"/>
        <w:spacing w:before="1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5304"/>
        <w:gridCol w:w="146"/>
        <w:gridCol w:w="196"/>
        <w:gridCol w:w="601"/>
        <w:gridCol w:w="146"/>
        <w:gridCol w:w="146"/>
        <w:gridCol w:w="196"/>
        <w:gridCol w:w="601"/>
        <w:gridCol w:w="166"/>
        <w:gridCol w:w="146"/>
        <w:gridCol w:w="196"/>
        <w:gridCol w:w="601"/>
        <w:gridCol w:w="166"/>
        <w:gridCol w:w="146"/>
        <w:gridCol w:w="196"/>
        <w:gridCol w:w="661"/>
        <w:gridCol w:w="591"/>
      </w:tblGrid>
      <w:tr>
        <w:trPr/>
        <w:tc>
          <w:tcPr>
            <w:tcW w:w="5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 (exclusive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Acquisition-related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 and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Weighted-average number of common shares used in calculation of 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0" w:after="283"/>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BALANCE SHEETS</w:t>
        <w:b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6"/>
        <w:gridCol w:w="146"/>
        <w:gridCol w:w="214"/>
        <w:gridCol w:w="854"/>
        <w:gridCol w:w="166"/>
        <w:gridCol w:w="146"/>
        <w:gridCol w:w="231"/>
        <w:gridCol w:w="920"/>
        <w:gridCol w:w="612"/>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of $79 and $62,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receivable, net of allowance of $10 and $6,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under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 of allowance of $12 and $15,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71,430</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Acquisition-related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par value $0.01 per share, 20 shares authorized at June 30, 2026 and December 31, 2025; 20 shares issued and outstanding at June 30, 2026 and December 31, 2025; aggregate liquidation preference of $20,000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$0.01 per share, 9,980 shares authorized at June 30, 2026 and December 31, 2025; no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$0.01 per share, 150,000 shares authorized at June 30, 2026 and December 31, 2025; 12,282 and 11,993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71,430</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3040</Words>
  <Characters>16954</Characters>
  <CharactersWithSpaces>20357</CharactersWithSpaces>
  <Paragraphs>1451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