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ashington</w:t>
      </w:r>
      <w:r>
        <w:rPr>
          <w:rFonts w:ascii="Times New Roman" w:cs="Times New Roman" w:eastAsia="Times New Roman" w:hAnsi="Times New Roman"/>
          <w:sz w:val="18"/>
          <w:szCs w:val="18"/>
          <w:b w:val="1"/>
          <w:bCs w:val="1"/>
          <w:color w:val="auto"/>
        </w:rPr>
        <w:t>,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74295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860" w:right="3900" w:hanging="3852"/>
        <w:spacing w:after="0" w:line="268" w:lineRule="auto"/>
        <w:tabs>
          <w:tab w:leader="none" w:pos="36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2025</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634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60"/>
        </w:trPr>
        <w:tc>
          <w:tcPr>
            <w:tcW w:w="336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001-39473</w:t>
            </w: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108"/>
        </w:trPr>
        <w:tc>
          <w:tcPr>
            <w:tcW w:w="336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r>
      <w:tr>
        <w:trPr>
          <w:trHeight w:val="475"/>
        </w:trPr>
        <w:tc>
          <w:tcPr>
            <w:tcW w:w="33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36"/>
                <w:szCs w:val="36"/>
                <w:b w:val="1"/>
                <w:bCs w:val="1"/>
                <w:color w:val="auto"/>
              </w:rPr>
              <w:t>LENSAR, INC.</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90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108"/>
        </w:trPr>
        <w:tc>
          <w:tcPr>
            <w:tcW w:w="336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r>
      <w:tr>
        <w:trPr>
          <w:trHeight w:val="286"/>
        </w:trPr>
        <w:tc>
          <w:tcPr>
            <w:tcW w:w="6340" w:type="dxa"/>
            <w:vAlign w:val="bottom"/>
            <w:gridSpan w:val="2"/>
          </w:tcPr>
          <w:p>
            <w:pPr>
              <w:jc w:val="center"/>
              <w:ind w:right="19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32-0125724</w:t>
            </w:r>
          </w:p>
        </w:tc>
      </w:tr>
      <w:tr>
        <w:trPr>
          <w:trHeight w:val="234"/>
        </w:trPr>
        <w:tc>
          <w:tcPr>
            <w:tcW w:w="6340" w:type="dxa"/>
            <w:vAlign w:val="bottom"/>
            <w:gridSpan w:val="2"/>
          </w:tcPr>
          <w:p>
            <w:pPr>
              <w:jc w:val="center"/>
              <w:ind w:right="1905"/>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2800 Discovery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536-7271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LNSR</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57150</wp:posOffset>
            </wp:positionV>
            <wp:extent cx="1954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4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30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88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31, 2025, there were 11,934,784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6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Forward-Looking Statements</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7380" w:type="dxa"/>
            <w:vAlign w:val="bottom"/>
            <w:gridSpan w:val="13"/>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60" w:type="dxa"/>
            <w:vAlign w:val="bottom"/>
            <w:gridSpan w:val="3"/>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(Unaudited)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Balance Sheets (Unaudited)</w:t>
            </w:r>
          </w:p>
        </w:tc>
        <w:tc>
          <w:tcPr>
            <w:tcW w:w="20" w:type="dxa"/>
            <w:vAlign w:val="bottom"/>
            <w:tcBorders>
              <w:top w:val="single" w:sz="8" w:color="0000FF"/>
              <w:bottom w:val="single" w:sz="8" w:color="0000EE"/>
            </w:tcBorders>
          </w:tcPr>
          <w:p>
            <w:pPr>
              <w:spacing w:after="0"/>
              <w:rPr>
                <w:sz w:val="21"/>
                <w:szCs w:val="21"/>
                <w:color w:val="auto"/>
              </w:rPr>
            </w:pPr>
          </w:p>
        </w:tc>
        <w:tc>
          <w:tcPr>
            <w:tcW w:w="2560" w:type="dxa"/>
            <w:vAlign w:val="bottom"/>
            <w:tcBorders>
              <w:top w:val="single" w:sz="8" w:color="0000FF"/>
            </w:tcBorders>
            <w:gridSpan w:val="6"/>
          </w:tcPr>
          <w:p>
            <w:pPr>
              <w:spacing w:after="0"/>
              <w:rPr>
                <w:sz w:val="21"/>
                <w:szCs w:val="21"/>
                <w:color w:val="auto"/>
              </w:rPr>
            </w:pPr>
          </w:p>
        </w:tc>
        <w:tc>
          <w:tcPr>
            <w:tcW w:w="396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(Unaudited)</w:t>
            </w:r>
          </w:p>
        </w:tc>
        <w:tc>
          <w:tcPr>
            <w:tcW w:w="5760" w:type="dxa"/>
            <w:vAlign w:val="bottom"/>
            <w:gridSpan w:val="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Statements of Changes in Redeemable Convertible Preferred Stock and Stockholders’ Equity (Deficit) (Unaudited)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1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Financial Statements (Unaudited)</w:t>
            </w:r>
          </w:p>
        </w:tc>
        <w:tc>
          <w:tcPr>
            <w:tcW w:w="20" w:type="dxa"/>
            <w:vAlign w:val="bottom"/>
            <w:tcBorders>
              <w:top w:val="single" w:sz="8" w:color="0000FF"/>
              <w:bottom w:val="single" w:sz="8" w:color="0000EE"/>
            </w:tcBorders>
          </w:tcPr>
          <w:p>
            <w:pPr>
              <w:spacing w:after="0"/>
              <w:rPr>
                <w:sz w:val="21"/>
                <w:szCs w:val="21"/>
                <w:color w:val="auto"/>
              </w:rPr>
            </w:pPr>
          </w:p>
        </w:tc>
        <w:tc>
          <w:tcPr>
            <w:tcW w:w="4920" w:type="dxa"/>
            <w:vAlign w:val="bottom"/>
            <w:tcBorders>
              <w:top w:val="single" w:sz="8" w:color="0000FF"/>
            </w:tcBorders>
            <w:gridSpan w:val="5"/>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660" w:type="dxa"/>
            <w:vAlign w:val="bottom"/>
            <w:gridSpan w:val="3"/>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60" w:type="dxa"/>
            <w:vAlign w:val="bottom"/>
            <w:gridSpan w:val="3"/>
          </w:tcPr>
          <w:p>
            <w:pPr>
              <w:spacing w:after="0"/>
              <w:rPr>
                <w:sz w:val="21"/>
                <w:szCs w:val="21"/>
                <w:color w:val="auto"/>
              </w:rPr>
            </w:pPr>
          </w:p>
        </w:tc>
        <w:tc>
          <w:tcPr>
            <w:tcW w:w="43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21"/>
                <w:szCs w:val="21"/>
                <w:color w:val="auto"/>
              </w:rPr>
            </w:pPr>
          </w:p>
        </w:tc>
        <w:tc>
          <w:tcPr>
            <w:tcW w:w="294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60" w:type="dxa"/>
            <w:vAlign w:val="bottom"/>
            <w:gridSpan w:val="3"/>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60" w:type="dxa"/>
            <w:vAlign w:val="bottom"/>
            <w:gridSpan w:val="3"/>
          </w:tcPr>
          <w:p>
            <w:pPr>
              <w:spacing w:after="0"/>
              <w:rPr>
                <w:sz w:val="21"/>
                <w:szCs w:val="21"/>
                <w:color w:val="auto"/>
              </w:rPr>
            </w:pPr>
          </w:p>
        </w:tc>
        <w:tc>
          <w:tcPr>
            <w:tcW w:w="2020" w:type="dxa"/>
            <w:vAlign w:val="bottom"/>
            <w:gridSpan w:val="6"/>
          </w:tcPr>
          <w:p>
            <w:pPr>
              <w:spacing w:after="0"/>
              <w:rPr>
                <w:sz w:val="21"/>
                <w:szCs w:val="21"/>
                <w:color w:val="auto"/>
              </w:rPr>
            </w:pPr>
          </w:p>
        </w:tc>
        <w:tc>
          <w:tcPr>
            <w:tcW w:w="506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660" w:type="dxa"/>
            <w:vAlign w:val="bottom"/>
            <w:gridSpan w:val="3"/>
          </w:tcPr>
          <w:p>
            <w:pPr>
              <w:spacing w:after="0"/>
              <w:rPr>
                <w:sz w:val="21"/>
                <w:szCs w:val="21"/>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060" w:type="dxa"/>
            <w:vAlign w:val="bottom"/>
            <w:gridSpan w:val="17"/>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60" w:type="dxa"/>
            <w:vAlign w:val="bottom"/>
            <w:gridSpan w:val="3"/>
          </w:tcPr>
          <w:p>
            <w:pPr>
              <w:spacing w:after="0"/>
              <w:rPr>
                <w:sz w:val="21"/>
                <w:szCs w:val="21"/>
                <w:color w:val="auto"/>
              </w:rPr>
            </w:pP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6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60" w:type="dxa"/>
            <w:vAlign w:val="bottom"/>
            <w:gridSpan w:val="3"/>
          </w:tcPr>
          <w:p>
            <w:pPr>
              <w:spacing w:after="0"/>
              <w:rPr>
                <w:sz w:val="21"/>
                <w:szCs w:val="21"/>
                <w:color w:val="auto"/>
              </w:rPr>
            </w:pP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660" w:type="dxa"/>
            <w:vAlign w:val="bottom"/>
            <w:gridSpan w:val="3"/>
          </w:tcPr>
          <w:p>
            <w:pPr>
              <w:spacing w:after="0"/>
              <w:rPr>
                <w:sz w:val="21"/>
                <w:szCs w:val="21"/>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21"/>
                <w:szCs w:val="21"/>
                <w:color w:val="auto"/>
              </w:rPr>
            </w:pPr>
          </w:p>
        </w:tc>
        <w:tc>
          <w:tcPr>
            <w:tcW w:w="764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660" w:type="dxa"/>
            <w:vAlign w:val="bottom"/>
            <w:gridSpan w:val="3"/>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pending Merger (as defined below),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System™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spacing w:after="0" w:line="75" w:lineRule="exact"/>
        <w:rPr>
          <w:sz w:val="20"/>
          <w:szCs w:val="20"/>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entrance into an Agreement and Plan of Merger (the “Merger Agreement”) with Alcon Research, LLC, a Delaware limited liability company (“Alcon”), and VMI Option Merger Sub, Inc., a Delaware corporation and a wholly owned subsidiary of Alcon (“Merger Sub”) (the “Merger”);</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timing and ability to consummate the Merger;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anticipated effects of the Merger’s announcement, pendency or completion on the value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Alcon’s ability to obtain any required regulatory approvals in connection with the Merger;</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future costs or benefits of the Merger, including relating to expenses, restrictions on the conduct of our business, diversion of our management’s attention, ability to retain or hire employees, maintenance of relationships with collaborators, vendors and other business partners and payment of termination fees;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and others relating to the Merger;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and ability to achieve or sustain profitability;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and maintain regulatory clearance or certification of and successfully commercialize the ALLY System and to maintain our LENSAR Laser System (“LLS”) (collectively the “Systems”);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results of operations and our suppliers and distributors as a result of global macroeconomic conditions;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the price difference for our products compared to a standard cataract procedure covered by Medicare or other insurance;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U.S. sales and marketing organization or maintain or grow an effective network of international distributors;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ability to raise additional funds on acceptable terms, or at all;</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a material disruption to the supply or manufacture of our Systems or necessary component parts for such Systems or material inflationary pressures or enacted tariffs affecting pricing of component parts;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competitors that have longer operating histories, more established products and greater resources than we do;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numerous risks associated with marketing, selling and leasing our products in markets outside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exposure to the credit risk of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our inventory levels;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of product liability suits brought against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applicable to our products and operations;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 and other intellectual property matters.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or the context requires otherwise, references to “LENSAR,” the “Company,” “we,” “us,” and “our,” refer to LENSAR, Inc.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Robotic Laser Cataract Surgery, and the Robotic Laser Cataract Surgery logo, each of which is considered a trademark. All other company names, product names, trade names and trademarks included in this Quarterly Report are trademarks, registered trademarks or trade names of their respective owners.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under the Merger Agreement to our and Alcon’s consummation of the Merger may not be satisfied at all or in the anticipated timeframe.</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or a failure to consummate, the Merger could negatively impact our business, financial condition, results of operations or our stock price.</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provisions that could make it difficult for a third-party to acquire us prior to the completing of the Merger.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Merger Agreement is in effect, we are subject to restrictions on our business activities.</w:t>
      </w:r>
    </w:p>
    <w:p>
      <w:pPr>
        <w:spacing w:after="0" w:line="18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class action and derivative lawsuits in connection with the Merger could result in substantial costs and prevent or delay the consummation of the Merger.</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in the past, and could be in the future, adversely affected by economic uncertainty or deteriorations in economic conditions.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expect to incur operating losses for the near-term future and we cannot assure you that we will be able to generate sufficient revenue to achieve or sustain profitability.</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3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gain regulatory clearances and certifications, as well as our ability to meet production goals for our ALLY System.</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 and such funds may not be available on acceptable terms or at all.</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compete, and expect to compete in the future against other companies, some of which have longer operating histories, more established products or greater resources than we do.</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successfully market, sell and lease our products in markets outside of the United States, we must address many international business risks with which we have limited experience.</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certifications or approvals for our future products, or modifications to our current products, and failure to timely obtain additional clearances, certifications or approvals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378"/>
        <w:spacing w:after="0"/>
        <w:rPr>
          <w:sz w:val="20"/>
          <w:szCs w:val="20"/>
          <w:color w:val="auto"/>
        </w:rPr>
      </w:pPr>
      <w:r>
        <w:rPr>
          <w:rFonts w:ascii="Times New Roman" w:cs="Times New Roman" w:eastAsia="Times New Roman" w:hAnsi="Times New Roman"/>
          <w:sz w:val="18"/>
          <w:szCs w:val="18"/>
          <w:color w:val="auto"/>
        </w:rPr>
        <w:t>for our ALLY System and future products or modifications to our current products would adversely affect our ability to grow our business.</w:t>
      </w:r>
    </w:p>
    <w:p>
      <w:pPr>
        <w:spacing w:after="0" w:line="198" w:lineRule="exact"/>
        <w:rPr>
          <w:sz w:val="20"/>
          <w:szCs w:val="20"/>
          <w:color w:val="auto"/>
        </w:rPr>
      </w:pPr>
    </w:p>
    <w:p>
      <w:pPr>
        <w:ind w:left="5178" w:right="2720" w:hanging="5178"/>
        <w:spacing w:after="0" w:line="689"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ability to obtain, maintain and protect our intellectual property rights.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221615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8"/>
          </w:cols>
          <w:pgMar w:left="702" w:top="1161" w:right="7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10,910</w:t>
            </w:r>
          </w:p>
        </w:tc>
        <w:tc>
          <w:tcPr>
            <w:tcW w:w="26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9,534</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21,828</w:t>
            </w:r>
          </w:p>
        </w:tc>
        <w:tc>
          <w:tcPr>
            <w:tcW w:w="24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16,967</w:t>
            </w:r>
          </w:p>
        </w:tc>
        <w:tc>
          <w:tcPr>
            <w:tcW w:w="100" w:type="dxa"/>
            <w:vAlign w:val="bottom"/>
          </w:tcPr>
          <w:p>
            <w:pPr>
              <w:spacing w:after="0"/>
              <w:rPr>
                <w:sz w:val="17"/>
                <w:szCs w:val="17"/>
                <w:color w:val="auto"/>
              </w:rPr>
            </w:pPr>
          </w:p>
        </w:tc>
      </w:tr>
      <w:tr>
        <w:trPr>
          <w:trHeight w:val="203"/>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Lease</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100" w:type="dxa"/>
            <w:vAlign w:val="bottom"/>
            <w:shd w:val="clear" w:color="auto" w:fill="CFF0FC"/>
          </w:tcPr>
          <w:p>
            <w:pPr>
              <w:spacing w:after="0"/>
              <w:rPr>
                <w:sz w:val="17"/>
                <w:szCs w:val="17"/>
                <w:color w:val="auto"/>
              </w:rPr>
            </w:pPr>
          </w:p>
        </w:tc>
      </w:tr>
      <w:tr>
        <w:trPr>
          <w:trHeight w:val="203"/>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Service</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100" w:type="dxa"/>
            <w:vAlign w:val="bottom"/>
          </w:tcPr>
          <w:p>
            <w:pPr>
              <w:spacing w:after="0"/>
              <w:rPr>
                <w:sz w:val="17"/>
                <w:szCs w:val="17"/>
                <w:color w:val="auto"/>
              </w:rPr>
            </w:pPr>
          </w:p>
        </w:tc>
      </w:tr>
      <w:tr>
        <w:trPr>
          <w:trHeight w:val="196"/>
        </w:trPr>
        <w:tc>
          <w:tcPr>
            <w:tcW w:w="56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13,935</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28,094</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 (exclusive of amortization)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Product</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6,441</w:t>
            </w:r>
          </w:p>
        </w:tc>
        <w:tc>
          <w:tcPr>
            <w:tcW w:w="100" w:type="dxa"/>
            <w:vAlign w:val="bottom"/>
            <w:shd w:val="clear" w:color="auto" w:fill="CFF0FC"/>
          </w:tcPr>
          <w:p>
            <w:pPr>
              <w:spacing w:after="0"/>
              <w:rPr>
                <w:sz w:val="17"/>
                <w:szCs w:val="17"/>
                <w:color w:val="auto"/>
              </w:rPr>
            </w:pPr>
          </w:p>
        </w:tc>
      </w:tr>
      <w:tr>
        <w:trPr>
          <w:trHeight w:val="203"/>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r>
      <w:tr>
        <w:trPr>
          <w:trHeight w:val="203"/>
        </w:trPr>
        <w:tc>
          <w:tcPr>
            <w:tcW w:w="5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Service</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10,747</w:t>
            </w:r>
          </w:p>
        </w:tc>
        <w:tc>
          <w:tcPr>
            <w:tcW w:w="100" w:type="dxa"/>
            <w:vAlign w:val="bottom"/>
          </w:tcPr>
          <w:p>
            <w:pPr>
              <w:spacing w:after="0"/>
              <w:rPr>
                <w:sz w:val="17"/>
                <w:szCs w:val="17"/>
                <w:color w:val="auto"/>
              </w:rPr>
            </w:pPr>
          </w:p>
        </w:tc>
      </w:tr>
      <w:tr>
        <w:trPr>
          <w:trHeight w:val="19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13,580</w:t>
            </w:r>
          </w:p>
        </w:tc>
        <w:tc>
          <w:tcPr>
            <w:tcW w:w="100" w:type="dxa"/>
            <w:vAlign w:val="bottom"/>
          </w:tcPr>
          <w:p>
            <w:pPr>
              <w:spacing w:after="0"/>
              <w:rPr>
                <w:sz w:val="17"/>
                <w:szCs w:val="17"/>
                <w:color w:val="auto"/>
              </w:rPr>
            </w:pPr>
          </w:p>
        </w:tc>
      </w:tr>
      <w:tr>
        <w:trPr>
          <w:trHeight w:val="203"/>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00" w:type="dxa"/>
            <w:vAlign w:val="bottom"/>
            <w:shd w:val="clear" w:color="auto" w:fill="CFF0FC"/>
          </w:tcPr>
          <w:p>
            <w:pPr>
              <w:spacing w:after="0"/>
              <w:rPr>
                <w:sz w:val="17"/>
                <w:szCs w:val="17"/>
                <w:color w:val="auto"/>
              </w:rPr>
            </w:pPr>
          </w:p>
        </w:tc>
      </w:tr>
      <w:tr>
        <w:trPr>
          <w:trHeight w:val="203"/>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7"/>
                <w:szCs w:val="17"/>
                <w:color w:val="auto"/>
              </w:rPr>
            </w:pPr>
          </w:p>
        </w:tc>
      </w:tr>
      <w:tr>
        <w:trPr>
          <w:trHeight w:val="202"/>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shd w:val="clear" w:color="auto" w:fill="CFF0FC"/>
          </w:tcPr>
          <w:p>
            <w:pPr>
              <w:spacing w:after="0"/>
              <w:rPr>
                <w:sz w:val="17"/>
                <w:szCs w:val="17"/>
                <w:color w:val="auto"/>
              </w:rPr>
            </w:pPr>
          </w:p>
        </w:tc>
      </w:tr>
      <w:tr>
        <w:trPr>
          <w:trHeight w:val="196"/>
        </w:trPr>
        <w:tc>
          <w:tcPr>
            <w:tcW w:w="564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12,093</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26,228</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20,607</w:t>
            </w:r>
          </w:p>
        </w:tc>
        <w:tc>
          <w:tcPr>
            <w:tcW w:w="100" w:type="dxa"/>
            <w:vAlign w:val="bottom"/>
            <w:tcBorders>
              <w:top w:val="single" w:sz="8" w:color="CFF0FC"/>
            </w:tcBorders>
          </w:tcPr>
          <w:p>
            <w:pPr>
              <w:spacing w:after="0"/>
              <w:rPr>
                <w:sz w:val="17"/>
                <w:szCs w:val="17"/>
                <w:color w:val="auto"/>
              </w:rPr>
            </w:pPr>
          </w:p>
        </w:tc>
      </w:tr>
      <w:tr>
        <w:trPr>
          <w:trHeight w:val="19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(6,289)</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(5,280)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(12,079)</w:t>
            </w: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(8,130)</w:t>
            </w:r>
          </w:p>
        </w:tc>
      </w:tr>
      <w:tr>
        <w:trPr>
          <w:trHeight w:val="203"/>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(3,923)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(17,382)</w:t>
            </w: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(3,428)</w:t>
            </w:r>
          </w:p>
        </w:tc>
      </w:tr>
      <w:tr>
        <w:trPr>
          <w:trHeight w:val="203"/>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7"/>
                <w:szCs w:val="17"/>
                <w:color w:val="auto"/>
              </w:rPr>
            </w:pPr>
          </w:p>
        </w:tc>
      </w:tr>
      <w:tr>
        <w:trPr>
          <w:trHeight w:val="19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(1,764)</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(9,043)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(29,109)</w:t>
            </w: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(11,200)</w:t>
            </w:r>
          </w:p>
        </w:tc>
      </w:tr>
      <w:tr>
        <w:trPr>
          <w:trHeight w:val="203"/>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unrealized loss on investments</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56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(1,770)</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(9,048)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(29,118)</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(11,210)</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 per common share:</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and diluted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(0.15)</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(2.46)</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(0.98)</w:t>
            </w: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564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 number of common shares used in calculation of net loss per</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8"/>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 and diluted</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11,856</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11,419</w:t>
            </w:r>
          </w:p>
        </w:tc>
        <w:tc>
          <w:tcPr>
            <w:tcW w:w="10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-3222625</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-3222625</wp:posOffset>
            </wp:positionV>
            <wp:extent cx="76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-3222625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-2700020</wp:posOffset>
            </wp:positionV>
            <wp:extent cx="7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-2700020</wp:posOffset>
            </wp:positionV>
            <wp:extent cx="7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-2700020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-1910715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-1910715</wp:posOffset>
            </wp:positionV>
            <wp:extent cx="7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-1910715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-856615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-856615</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-856615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of $48 and $105, respectively</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net of allowance of $7 and $8, respectively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8"/>
                <w:szCs w:val="18"/>
                <w:color w:val="auto"/>
              </w:rPr>
            </w:pPr>
          </w:p>
        </w:tc>
      </w:tr>
      <w:tr>
        <w:trPr>
          <w:trHeight w:val="210"/>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41,979</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under lease, net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Notes and other receivables, long-term, net of allowance of $17 and $23, respectively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8"/>
                <w:szCs w:val="18"/>
                <w:color w:val="auto"/>
              </w:rPr>
            </w:pPr>
          </w:p>
        </w:tc>
      </w:tr>
      <w:tr>
        <w:trPr>
          <w:trHeight w:val="24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70,414</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66,297</w:t>
            </w:r>
          </w:p>
        </w:tc>
        <w:tc>
          <w:tcPr>
            <w:tcW w:w="100" w:type="dxa"/>
            <w:vAlign w:val="bottom"/>
            <w:shd w:val="clear" w:color="auto" w:fill="CFF0FC"/>
          </w:tcPr>
          <w:p>
            <w:pPr>
              <w:spacing w:after="0"/>
              <w:rPr>
                <w:sz w:val="21"/>
                <w:szCs w:val="21"/>
                <w:color w:val="auto"/>
              </w:rPr>
            </w:pPr>
          </w:p>
        </w:tc>
      </w:tr>
      <w:tr>
        <w:trPr>
          <w:trHeight w:val="197"/>
        </w:trPr>
        <w:tc>
          <w:tcPr>
            <w:tcW w:w="7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 equity</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deposit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8"/>
                <w:szCs w:val="18"/>
                <w:color w:val="auto"/>
              </w:rPr>
            </w:pPr>
          </w:p>
        </w:tc>
      </w:tr>
      <w:tr>
        <w:trPr>
          <w:trHeight w:val="209"/>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79,682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 par value $0.01 per share, 20 shares authorized at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2025 and December 31, 2024; 20 shares issued and outstanding at June 30, 2025 and December</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 2024; aggregate liquidation preference of $20,000 at June 30, 2025 and December 31, 2024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shd w:val="clear" w:color="auto" w:fill="CFF0FC"/>
          </w:tcPr>
          <w:p>
            <w:pPr>
              <w:spacing w:after="0"/>
              <w:rPr>
                <w:sz w:val="20"/>
                <w:szCs w:val="20"/>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par value $0.01 per share, 9,980 shares authorized at June 30, 2025 and December 31,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 no shares issued and outstanding at June 30, 2025 and December 31, 2024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150,000 shares authorized at June 30, 2025 and December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2024; 11,933 and 11,654 shares issued and outstanding at June 30, 2025 and December 31, 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148,035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(172,404)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(143,295)</w:t>
            </w:r>
          </w:p>
        </w:tc>
      </w:tr>
      <w:tr>
        <w:trPr>
          <w:trHeight w:val="20"/>
        </w:trPr>
        <w:tc>
          <w:tcPr>
            <w:tcW w:w="7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(deficit)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70,414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66,297</w:t>
            </w:r>
          </w:p>
        </w:tc>
        <w:tc>
          <w:tcPr>
            <w:tcW w:w="100" w:type="dxa"/>
            <w:vAlign w:val="bottom"/>
            <w:shd w:val="clear" w:color="auto" w:fill="CFF0FC"/>
          </w:tcPr>
          <w:p>
            <w:pPr>
              <w:spacing w:after="0"/>
              <w:rPr>
                <w:sz w:val="19"/>
                <w:szCs w:val="19"/>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-3796665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-3779520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-2108200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(11,200)</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Write-down of inventory</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on investments, net</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(1,911)</w:t>
            </w: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Notes receivable</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(5,755)</w:t>
            </w: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7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(9,085)</w:t>
            </w: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investments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(11,878)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(6,115)</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maturities</w:t>
            </w:r>
          </w:p>
        </w:tc>
        <w:tc>
          <w:tcPr>
            <w:tcW w:w="9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0"/>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(6,961)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(3,248)</w:t>
            </w:r>
          </w:p>
        </w:tc>
      </w:tr>
      <w:tr>
        <w:trPr>
          <w:trHeight w:val="209"/>
        </w:trPr>
        <w:tc>
          <w:tcPr>
            <w:tcW w:w="6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acquisition-related deposit</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through option exercises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settlement of stock-based compensation awards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accrued offering costs allocable to preferred stock</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67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(12,334)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9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tcPr>
          <w:p>
            <w:pPr>
              <w:spacing w:after="0"/>
              <w:rPr>
                <w:sz w:val="18"/>
                <w:szCs w:val="18"/>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9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00" w:type="dxa"/>
            <w:vAlign w:val="bottom"/>
            <w:shd w:val="clear" w:color="auto" w:fill="CFF0FC"/>
          </w:tcPr>
          <w:p>
            <w:pPr>
              <w:spacing w:after="0"/>
              <w:rPr>
                <w:sz w:val="19"/>
                <w:szCs w:val="19"/>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-2279650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-1430655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taxes</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Transfer from Inventories to Equipment under lease, net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accompanying notes are an integral part of these </w:t>
      </w:r>
      <w:r>
        <w:rPr>
          <w:rFonts w:ascii="Times New Roman" w:cs="Times New Roman" w:eastAsia="Times New Roman" w:hAnsi="Times New Roman"/>
          <w:sz w:val="18"/>
          <w:szCs w:val="18"/>
          <w:color w:val="231F20"/>
        </w:rPr>
        <w:t>condensed</w:t>
      </w:r>
      <w:r>
        <w:rPr>
          <w:rFonts w:ascii="Times New Roman" w:cs="Times New Roman" w:eastAsia="Times New Roman" w:hAnsi="Times New Roman"/>
          <w:sz w:val="18"/>
          <w:szCs w:val="18"/>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REDEEMABLE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40" w:type="dxa"/>
            <w:vAlign w:val="bottom"/>
            <w:gridSpan w:val="3"/>
            <w:vMerge w:val="restart"/>
          </w:tcPr>
          <w:p>
            <w:pPr>
              <w:jc w:val="center"/>
              <w:ind w:left="354"/>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86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8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nsive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1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4"/>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13"/>
                <w:szCs w:val="13"/>
                <w:color w:val="auto"/>
              </w:rPr>
            </w:pPr>
          </w:p>
        </w:tc>
        <w:tc>
          <w:tcPr>
            <w:tcW w:w="1580" w:type="dxa"/>
            <w:vAlign w:val="bottom"/>
            <w:tcBorders>
              <w:bottom w:val="single" w:sz="8" w:color="auto"/>
            </w:tcBorders>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7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1"/>
        </w:trPr>
        <w:tc>
          <w:tcPr>
            <w:tcW w:w="38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148,03</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(143,29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vMerge w:val="continue"/>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(27,345)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(27,345)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 on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1"/>
        </w:trPr>
        <w:tc>
          <w:tcPr>
            <w:tcW w:w="38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148,37</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(170,64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vMerge w:val="continue"/>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(22,141)</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loss on investments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1"/>
        </w:trPr>
        <w:tc>
          <w:tcPr>
            <w:tcW w:w="3860" w:type="dxa"/>
            <w:vAlign w:val="bottom"/>
            <w:tcBorders>
              <w:top w:val="single" w:sz="8" w:color="CFF0FC"/>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top w:val="single" w:sz="8" w:color="CFF0FC"/>
              <w:right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149,23</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(172,40</w:t>
            </w: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-307975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-307975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-307975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-307975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-307975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-307975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-307975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REDEEMABLE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120" w:type="dxa"/>
            <w:vAlign w:val="bottom"/>
            <w:gridSpan w:val="3"/>
            <w:vMerge w:val="restart"/>
          </w:tcPr>
          <w:p>
            <w:pPr>
              <w:jc w:val="center"/>
              <w:ind w:left="354"/>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8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5"/>
        </w:trPr>
        <w:tc>
          <w:tcPr>
            <w:tcW w:w="384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7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8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145,20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(111,89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vMerge w:val="continue"/>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 on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1"/>
        </w:trPr>
        <w:tc>
          <w:tcPr>
            <w:tcW w:w="38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145,77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(114,04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vMerge w:val="continue"/>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under the Incentive</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accrual release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(9,043)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(9,043)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 on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1"/>
        </w:trPr>
        <w:tc>
          <w:tcPr>
            <w:tcW w:w="384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146,62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(123,09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shd w:val="clear" w:color="auto" w:fill="CFF0FC"/>
          </w:tcPr>
          <w:p>
            <w:pPr>
              <w:spacing w:after="0"/>
              <w:rPr>
                <w:sz w:val="22"/>
                <w:szCs w:val="22"/>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2"/>
                <w:szCs w:val="22"/>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Organization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 Robotic Cataract Laser System™ (“ALLY System”) (collectively the “Systems”), which may include equipment, a consumable referred to as the Patient Interface Device (“PID”), procedure licenses, training, installation, limited warranty and maintenance agreements through extended warranty. The Company has developed its ALLY System as a compact, highly ergonomic system utilizing an extremely fast dual-modality laser and integrating artificial intelligence (“AI”) into proprietary imaging and software. The ALLY System is designed to transform premium cataract surgery by utilizing LENSAR’s advanced robotic technologies with the ability to perform the entire procedure in a sterile operating room or in-office surgical suite, delivering operational efficiencies and reducing overhead. The ALLY System is available to U.S. and European Union cataract surgeons and has also received regulatory clearance in India, Taiwan, South Korea, and certain other countries. In addition, the Company is pursuing an additional marketing or certification application through its distributor in China.</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23, 2025, the Company entered into an Agreement and Plan of Merger (the “Merger Agreement”), with Alcon Research, LLC (“Alcon”) and VMI Option Merger Sub, Inc. (“Merger Sub”). The Merger Agreement provides that, subject to the terms and conditions set forth in the Merger Agreement, Merger Sub will merge with and into the Company (the “Merger”), with the Company continuing as the surviving corporation of the Merger and as a wholly-owned subsidiary of Alcon. Pursuant to the Merger Agreement, at the effective time of the Merger (the “Effective Time”), each share of the Company’s common stock outstanding immediately prior to the Effective Time (subject to certain customary exceptions specified in the Merger Agreement) will be cancelled and converted automatically into the right to receive (i) $14.00 in cash, without interest, and subject to applicable taxes, plus</w:t>
      </w:r>
    </w:p>
    <w:p>
      <w:pPr>
        <w:spacing w:after="0" w:line="5" w:lineRule="exact"/>
        <w:rPr>
          <w:sz w:val="20"/>
          <w:szCs w:val="20"/>
          <w:color w:val="auto"/>
        </w:rPr>
      </w:pPr>
    </w:p>
    <w:p>
      <w:pPr>
        <w:jc w:val="both"/>
        <w:ind w:firstLine="8"/>
        <w:spacing w:after="0" w:line="252" w:lineRule="auto"/>
        <w:tabs>
          <w:tab w:leader="none" w:pos="2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contingent value right per share, representing the right to receive one contingent payment of $2.75 in cash, without interest, upon achievement of 614,000 cumulative procedures with the Company’s products between January 1, 2026 and December 31, 2027. The Merger Agreement contains customary covenants and agreements, including with respect to the operations of the business of the Company between signing and closing. The Merger is expected to close in the second half of 2025, subject to customary closing conditions and regulatory approvals. The Merger Agreement includes customary termination rights for the Company and Alcon. Upon termination of the Merger Agreement in certain circumstances, the Company will be required to pay Alcon a termination fee of $8,500.</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received a $10,000 cash deposit towards the aggregate cash consideration, which is classified as a current liability on the condensed balance sheet at June 30, 2025. The deposit is considered the property of Alcon in accordance with the terms of the Merger Agreement. In connection with a termination of the Merger Agreement under certain specified circumstances, including if Alcon breaches its obligations such that the Company is entitled to terminate the Merger Agreement or the Merger has not been successfully completed by April 23, 2026, subject to an extension under certain circumstances solely at the election of Alcon to July 23, 2026, a governmental authority of competent jurisdiction has issued a final non-appealable governmental order prohibiting the Merger, and, at the time of such termination, the only remaining conditions to closing relate to certain regulatory approvals, the Company will be permitted to keep the deposit. If the Merger Agreement is terminated for any other reason, the Company shall refund the deposit to Alcon.</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Other than the foregoing-described deposit and acquisition-related costs as described under “Acquisition-Related Costs”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the terms of the Merger Agreement did not impact the Company’s condensed financial statements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operating cash outflows since its inception and, as of June 30, 2025, had an accumulated deficit of $172,404. The Company expects to continue to incur losses and cash outflows from operating activities for the near-term future. Pricing increases in component parts for the ALLY System resulting from inflationary pressures and related macroeconomic conditions may necessitate an increase in overall cost to customers, which in turn may have an adverse impact on customer demand.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the Company’s cash, cash equivalents, and investments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The U.S. government has recently implemented significant changes in U.S. trade policy and taken certain actions that have impacted the Company’s business, including imposing tariffs on certain goods imported into the United States, and we have seen a resulting negative impact on our gross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profit margin, as we have not passed on these additional costs to our customers. Some of these changes have triggered retaliatory actions by affected countries that could negatively impact demand for the Company’s products in these regions, as well as negatively impact the Company’s gross profit margin. In addition, the Company’s growth depends in part on the Company’s ability to produce the ALLY System in sufficient quantities, within requested timelines and at an acceptable price to satisfy customer demand. The Company’s liquidity needs will be largely determined by the Company’s ability to continue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condensed financial statements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2024 condensed balance sheet data was derived from audited financial statements, but does not include all disclosures required by U.S. GAAP.</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financial information should be read in conjunction with the Company’s annual audited financial statements and the related notes thereto for the fiscal year ended December 31, 2024, included in the Annual Report on Form 10-K (the “Annual Report”) as filed with the SEC on February 27,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Other than policies noted below, there have been no significant changes to the significant accounting policies disclosed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of the annual audited financial statements included in the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financial instruments to determine if such instruments are derivatives or contain features that qualify as embedded derivatives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 meet the criteria for equity treatment are recorded as liabilities. We do not use financial instruments or derivatives for any trading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p>
    <w:p>
      <w:pPr>
        <w:spacing w:after="0" w:line="6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1—based on quoted market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3—based on unobservable inputs using management’s best estimate and assumptions when inputs are unavailable.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are classified in their entirety based on the lowest level of input that is significant to their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Acquisition-Related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Acquisition-related costs of $4,174 and $8,399, which consists of advisory, legal, accounting, valuation and other professional or consulting fees related to and incurred in association with the Merger Agreement with Alcon, are expensed as incurred and included within selling, general and administrative expenses in the condensed statements of operations and comprehensive loss for the three and six months ended June 30, 2025, respectively. The Company expects to incur additional acquisition-related costs in 2025 while the merger process is ongoing.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2023, the Company entered into an international distribution agreement in India with a company owned by an employee at that time. The Company established the distributor relationship to gain regulatory and operational efficiencies, as well as to establish consistent operations with all other international markets where it conducts business. During the year ended December 31, 2023, the Company began transitioning transactions with customers in India to the distributor. The Company recognized $290 in product revenue, $301 in cost of product sales, and $119 in selling, general and administrative expenses for the three months ended March 31, 2024 associated with its Indian operations. There were no amounts due from, or due to, the distributor at March 31, 2024. The related party relationship ended on April 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expense/(benefit) from continuing operations for the three and six months ended June 30, 2025 and 2024 was $0 in each period, which resulted from maintaining a full valuation allowance against the Company’s net deferred tax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Under Sections 382 and 383 of the Internal Revenue Code of 1986, as amended (the “Code”), an aggregate change in stock ownership of one or more stockholders or groups of stockholders owning at least 5% of the Company’s stock that exceeds 50 percentage points (by value) over a rolling three-year period (a “Section 382 ownership change”) may result in a limitation on the amount of net operating loss and tax credit carryforwards that may be used in future years. The Company completed a Section 382 ownership change analysis through its taxable year ended December 31, 2023 and determined that, during the second quarter of 2023, the Company experienced a Section 382 ownership change in connection with the Private Placement of Series A Redeemable Convertible Preferred Stock (the “Private Placement”), triggering the application of Section 382 of the Code. Refer to Note 11,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for more details related to the Private Placement. The Company has not completed an analysis to determine whether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Section 382 ownership changes have occurred and thus whether additional limitations have been triggered under Sections 382 and 383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Code since December 31, 2023. The Company computed and applied limitations of tax deductions in the income tax provision computation for the years ended December 31, 2023 and December 31, 2024; however, these limitations do not have a material impact on the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annual financial statements for the year ending December 31, 2025. The Company does not believe that the adoption of the standard will result in material changes to the financial statement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requires disclosure in the notes to the financial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to the financial statement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product and service revenue disaggregated by geographic region, which is determined based on customer location, for the three and six months ended June 30, 2025 and 2024:</w:t>
      </w:r>
    </w:p>
    <w:p>
      <w:pPr>
        <w:spacing w:after="0" w:line="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Asia (excluding South Korea)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-170815</wp:posOffset>
            </wp:positionV>
            <wp:extent cx="43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18" w:lineRule="exact"/>
        <w:rPr>
          <w:sz w:val="20"/>
          <w:szCs w:val="20"/>
          <w:color w:val="auto"/>
        </w:rPr>
      </w:pPr>
    </w:p>
    <w:p>
      <w:pPr>
        <w:jc w:val="both"/>
        <w:ind w:firstLine="8"/>
        <w:spacing w:after="0" w:line="231" w:lineRule="auto"/>
        <w:tabs>
          <w:tab w:leader="none" w:pos="115"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table above does not include lease revenue of $1,645 and $1,952 for the three months ended June 30, 2025 and 2024, respectively, and $3,529 and $3,899 for the six months ended June 30, 2025 and 2024, respectively. Substantially all lease revenue originates from the United States.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376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37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4,987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long-term</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long-term</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 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648"/>
        </w:trPr>
        <w:tc>
          <w:tcPr>
            <w:tcW w:w="3400" w:type="dxa"/>
            <w:vAlign w:val="bottom"/>
          </w:tcPr>
          <w:p>
            <w:pPr>
              <w:spacing w:after="0"/>
              <w:rPr>
                <w:sz w:val="24"/>
                <w:szCs w:val="24"/>
                <w:color w:val="auto"/>
              </w:rPr>
            </w:pPr>
          </w:p>
        </w:tc>
        <w:tc>
          <w:tcPr>
            <w:tcW w:w="37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Accounts Receivables, Net – </w:t>
      </w:r>
      <w:r>
        <w:rPr>
          <w:rFonts w:ascii="Times New Roman" w:cs="Times New Roman" w:eastAsia="Times New Roman" w:hAnsi="Times New Roman"/>
          <w:sz w:val="18"/>
          <w:szCs w:val="18"/>
          <w:color w:val="auto"/>
        </w:rPr>
        <w:t>Accounts receivables, net, include amounts billed and due from customers. The amounts due are stated at their net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 December 31, 2024</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 June 30, 2025</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 December 31, 2023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allowance for credit losses as of June 30, 2024</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-890905</wp:posOffset>
            </wp:positionV>
            <wp:extent cx="431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Notes Receivables, Net </w:t>
      </w:r>
      <w:r>
        <w:rPr>
          <w:rFonts w:ascii="Times New Roman" w:cs="Times New Roman" w:eastAsia="Times New Roman" w:hAnsi="Times New Roman"/>
          <w:sz w:val="18"/>
          <w:szCs w:val="18"/>
          <w:color w:val="auto"/>
        </w:rPr>
        <w:t>– Notes receivable, net includes amounts billed and due from customers under extended payment terms with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component. Interest rates on notes receivable range from 7.0% to 8.0%. The Company recorded interest income on notes receivable during the three months ended June 30, 2025 and 2024 of $22 and $27, respectively, and during the six months ended June 30, 2025 and 2024 of $48 and $56, respectively, in other income, net in the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notes receivable:</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 December 31, 2024</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 June 30, 2025</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 December 31, 2023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Notes receivable, allowance for credit losses as of June 30, 2024</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-890905</wp:posOffset>
            </wp:positionV>
            <wp:extent cx="43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w:t>
      </w:r>
      <w:r>
        <w:rPr>
          <w:rFonts w:ascii="Times New Roman" w:cs="Times New Roman" w:eastAsia="Times New Roman" w:hAnsi="Times New Roman"/>
          <w:sz w:val="18"/>
          <w:szCs w:val="18"/>
          <w:color w:val="auto"/>
        </w:rPr>
        <w:t>– The Company's contract assets represent revenue recognized for performance obligations completed before an unconditional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exists, and therefore invoicing has not yet occurred. The Company classifies contract assets in prepaid and other current assets in the Company's condensed balance sheets.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from contracts with customers:</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December 31, 2024</w:t>
            </w: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Write-off due to contract modification</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r>
      <w:tr>
        <w:trPr>
          <w:trHeight w:val="249"/>
        </w:trPr>
        <w:tc>
          <w:tcPr>
            <w:tcW w:w="20" w:type="dxa"/>
            <w:vAlign w:val="bottom"/>
          </w:tcPr>
          <w:p>
            <w:pPr>
              <w:spacing w:after="0"/>
              <w:rPr>
                <w:sz w:val="21"/>
                <w:szCs w:val="21"/>
                <w:color w:val="auto"/>
              </w:rPr>
            </w:pPr>
          </w:p>
        </w:tc>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as of June 30, 2025</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FF0FC"/>
            </w:tcBorders>
            <w:shd w:val="clear" w:color="auto" w:fill="CFF0FC"/>
          </w:tcPr>
          <w:p>
            <w:pPr>
              <w:spacing w:after="0"/>
              <w:rPr>
                <w:sz w:val="21"/>
                <w:szCs w:val="21"/>
                <w:color w:val="auto"/>
              </w:rPr>
            </w:pPr>
          </w:p>
        </w:tc>
      </w:tr>
      <w:tr>
        <w:trPr>
          <w:trHeight w:val="41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as of December 31, 2023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recognized</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 due to contract modification</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20" w:type="dxa"/>
            <w:vAlign w:val="bottom"/>
          </w:tcPr>
          <w:p>
            <w:pPr>
              <w:spacing w:after="0"/>
              <w:rPr>
                <w:sz w:val="18"/>
                <w:szCs w:val="18"/>
                <w:color w:val="auto"/>
              </w:rPr>
            </w:pPr>
          </w:p>
        </w:tc>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assets as of June 30, 2024</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-882650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-864870</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Deferred Revenue and Contract Liabilities – </w:t>
      </w:r>
      <w:r>
        <w:rPr>
          <w:rFonts w:ascii="Times New Roman" w:cs="Times New Roman" w:eastAsia="Times New Roman" w:hAnsi="Times New Roman"/>
          <w:sz w:val="18"/>
          <w:szCs w:val="18"/>
          <w:color w:val="auto"/>
        </w:rPr>
        <w:t>The Company’s deferred revenue and contract liabilities represent services and products sold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condensed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deferred revenue and contract liabilities from contracts with customers:</w:t>
      </w:r>
    </w:p>
    <w:p>
      <w:pPr>
        <w:spacing w:after="0" w:line="11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7620</wp:posOffset>
            </wp:positionV>
            <wp:extent cx="555498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54980" cy="14541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7" w:lineRule="exact"/>
        <w:rPr>
          <w:sz w:val="20"/>
          <w:szCs w:val="20"/>
          <w:color w:val="auto"/>
        </w:rPr>
      </w:pPr>
    </w:p>
    <w:p>
      <w:pPr>
        <w:ind w:left="1260" w:right="1698"/>
        <w:spacing w:after="0" w:line="249" w:lineRule="auto"/>
        <w:rPr>
          <w:sz w:val="20"/>
          <w:szCs w:val="20"/>
          <w:color w:val="auto"/>
        </w:rPr>
      </w:pPr>
      <w:r>
        <w:rPr>
          <w:rFonts w:ascii="Times New Roman" w:cs="Times New Roman" w:eastAsia="Times New Roman" w:hAnsi="Times New Roman"/>
          <w:sz w:val="18"/>
          <w:szCs w:val="18"/>
          <w:color w:val="auto"/>
        </w:rPr>
        <w:t>Deferred revenue and contract liabilities as of December 31, 2024 Billings not yet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wp:posOffset>
            </wp:positionV>
            <wp:extent cx="555498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54980" cy="145415"/>
                    </a:xfrm>
                    <a:prstGeom prst="rect">
                      <a:avLst/>
                    </a:prstGeom>
                    <a:noFill/>
                  </pic:spPr>
                </pic:pic>
              </a:graphicData>
            </a:graphic>
          </wp:anchor>
        </w:drawing>
      </w:r>
    </w:p>
    <w:p>
      <w:pPr>
        <w:ind w:left="1260" w:right="1158"/>
        <w:spacing w:after="0" w:line="276" w:lineRule="auto"/>
        <w:rPr>
          <w:sz w:val="20"/>
          <w:szCs w:val="20"/>
          <w:color w:val="auto"/>
        </w:rPr>
      </w:pPr>
      <w:r>
        <w:rPr>
          <w:rFonts w:ascii="Times New Roman" w:cs="Times New Roman" w:eastAsia="Times New Roman" w:hAnsi="Times New Roman"/>
          <w:sz w:val="18"/>
          <w:szCs w:val="18"/>
          <w:color w:val="auto"/>
        </w:rPr>
        <w:t>Beginning deferred revenue and contract liabilities recognized as revenue Deferred revenue and contract liabilities as of June 30, 2025</w:t>
      </w:r>
    </w:p>
    <w:p>
      <w:pPr>
        <w:spacing w:after="0" w:line="208" w:lineRule="exact"/>
        <w:rPr>
          <w:sz w:val="20"/>
          <w:szCs w:val="20"/>
          <w:color w:val="auto"/>
        </w:rPr>
      </w:pPr>
    </w:p>
    <w:p>
      <w:pPr>
        <w:ind w:left="1260" w:right="1698"/>
        <w:spacing w:after="0" w:line="261" w:lineRule="auto"/>
        <w:rPr>
          <w:sz w:val="20"/>
          <w:szCs w:val="20"/>
          <w:color w:val="auto"/>
        </w:rPr>
      </w:pPr>
      <w:r>
        <w:rPr>
          <w:rFonts w:ascii="Times New Roman" w:cs="Times New Roman" w:eastAsia="Times New Roman" w:hAnsi="Times New Roman"/>
          <w:sz w:val="18"/>
          <w:szCs w:val="18"/>
          <w:color w:val="auto"/>
        </w:rPr>
        <w:t>Deferred revenue and contract liabilities as of December 31, 2023 Billings not yet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-273685</wp:posOffset>
            </wp:positionV>
            <wp:extent cx="555498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54980" cy="13716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0</wp:posOffset>
            </wp:positionV>
            <wp:extent cx="555498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54980" cy="137160"/>
                    </a:xfrm>
                    <a:prstGeom prst="rect">
                      <a:avLst/>
                    </a:prstGeom>
                    <a:noFill/>
                  </pic:spPr>
                </pic:pic>
              </a:graphicData>
            </a:graphic>
          </wp:anchor>
        </w:drawing>
      </w:r>
    </w:p>
    <w:p>
      <w:pPr>
        <w:ind w:left="1260" w:right="1158"/>
        <w:spacing w:after="0" w:line="222" w:lineRule="auto"/>
        <w:rPr>
          <w:sz w:val="20"/>
          <w:szCs w:val="20"/>
          <w:color w:val="auto"/>
        </w:rPr>
      </w:pPr>
      <w:r>
        <w:rPr>
          <w:rFonts w:ascii="Times New Roman" w:cs="Times New Roman" w:eastAsia="Times New Roman" w:hAnsi="Times New Roman"/>
          <w:sz w:val="18"/>
          <w:szCs w:val="18"/>
          <w:color w:val="auto"/>
        </w:rPr>
        <w:t>Beginning deferred revenue and contract liabilities recognized as revenue Impairment</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0</wp:posOffset>
            </wp:positionV>
            <wp:extent cx="55549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Deferred revenue and contract liabilities as of June 30, 2024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62" w:hanging="1062"/>
        <w:spacing w:after="0"/>
        <w:tabs>
          <w:tab w:leader="none" w:pos="10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2,373</w:t>
      </w:r>
    </w:p>
    <w:p>
      <w:pPr>
        <w:spacing w:after="0" w:line="7" w:lineRule="exact"/>
        <w:rPr>
          <w:rFonts w:ascii="Times New Roman" w:cs="Times New Roman" w:eastAsia="Times New Roman" w:hAnsi="Times New Roman"/>
          <w:sz w:val="18"/>
          <w:szCs w:val="18"/>
          <w:color w:val="auto"/>
        </w:rPr>
      </w:pPr>
    </w:p>
    <w:p>
      <w:pPr>
        <w:ind w:left="10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1,982</w:t>
      </w:r>
    </w:p>
    <w:p>
      <w:pPr>
        <w:spacing w:after="0" w:line="9"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(1,289)</w:t>
      </w:r>
    </w:p>
    <w:p>
      <w:pPr>
        <w:spacing w:after="0" w:line="9" w:lineRule="exact"/>
        <w:rPr>
          <w:sz w:val="20"/>
          <w:szCs w:val="20"/>
          <w:color w:val="auto"/>
        </w:rPr>
      </w:pPr>
    </w:p>
    <w:p>
      <w:pPr>
        <w:ind w:left="1062" w:hanging="1062"/>
        <w:spacing w:after="0"/>
        <w:tabs>
          <w:tab w:leader="none" w:pos="10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429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429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41" w:lineRule="exact"/>
        <w:rPr>
          <w:sz w:val="20"/>
          <w:szCs w:val="20"/>
          <w:color w:val="auto"/>
        </w:rPr>
      </w:pPr>
    </w:p>
    <w:p>
      <w:pPr>
        <w:ind w:left="1062" w:hanging="1062"/>
        <w:spacing w:after="0"/>
        <w:tabs>
          <w:tab w:leader="none" w:pos="10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1,919</w:t>
      </w:r>
    </w:p>
    <w:p>
      <w:pPr>
        <w:spacing w:after="0" w:line="27" w:lineRule="exact"/>
        <w:rPr>
          <w:rFonts w:ascii="Times New Roman" w:cs="Times New Roman" w:eastAsia="Times New Roman" w:hAnsi="Times New Roman"/>
          <w:sz w:val="18"/>
          <w:szCs w:val="18"/>
          <w:color w:val="auto"/>
        </w:rPr>
      </w:pPr>
    </w:p>
    <w:p>
      <w:pPr>
        <w:ind w:left="12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956</w:t>
      </w:r>
    </w:p>
    <w:p>
      <w:pPr>
        <w:spacing w:after="0" w:line="9"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(987)</w:t>
      </w:r>
    </w:p>
    <w:p>
      <w:pPr>
        <w:spacing w:after="0" w:line="9"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429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1062" w:hanging="1062"/>
        <w:spacing w:after="0"/>
        <w:tabs>
          <w:tab w:leader="none" w:pos="10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1,674</w:t>
      </w:r>
    </w:p>
    <w:p>
      <w:pPr>
        <w:spacing w:after="0" w:line="215" w:lineRule="exact"/>
        <w:rPr>
          <w:sz w:val="20"/>
          <w:szCs w:val="20"/>
          <w:color w:val="auto"/>
        </w:rPr>
      </w:pPr>
    </w:p>
    <w:p>
      <w:pPr>
        <w:sectPr>
          <w:pgSz w:w="11900" w:h="16838" w:orient="portrait"/>
          <w:cols w:equalWidth="0" w:num="2">
            <w:col w:w="7698" w:space="720"/>
            <w:col w:w="2822"/>
          </w:cols>
          <w:pgMar w:left="320" w:top="765" w:right="339" w:bottom="1440" w:gutter="0" w:footer="0" w:header="0"/>
          <w:type w:val="continuous"/>
        </w:sectPr>
      </w:pPr>
    </w:p>
    <w:p>
      <w:pPr>
        <w:spacing w:after="0" w:line="167" w:lineRule="exact"/>
        <w:rPr>
          <w:sz w:val="20"/>
          <w:szCs w:val="20"/>
          <w:color w:val="auto"/>
        </w:rPr>
      </w:pPr>
    </w:p>
    <w:p>
      <w:pPr>
        <w:ind w:firstLine="8"/>
        <w:spacing w:after="0" w:line="223" w:lineRule="auto"/>
        <w:tabs>
          <w:tab w:leader="none" w:pos="117"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Company wrote off certain contract liabilities associated with intangible assets that were determined to be impaired during the three months ended June 30, 2024. Refer to Note 7,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2025, the revenue expected to be recognized in future periods related to performance obligations that are unsatisfied for executed contracts with an original duration of one year or more was approximately $42,099. The Company expects to satisfy its remaining performance obligations by December 31, 2031, with $7,950 to be satisfied by December 31, 2025, $12,100 to be satisfied by December 31, 2026, $10,892 to be satisfied by December 31, 2027, $7,102 to be satisfied by December 31, 2028, $3,605 to be satisfied by December 31, 2029, $300 to be satisfied by December 31, 2030, and $150 to be satisfied by December 31, 2031.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money market funds, U.S. treasury bills and government securities, and certificates of deposit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assets and liabilities at fair value as of June 30,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-2571115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-2571115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-2571115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-1988185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-1988185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-1988185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hierarchy levels during three and six months ended June 30, 2025 and 2024.</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financial assets that are measured at fair value on a recurring basis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2"/>
                <w:szCs w:val="12"/>
                <w:color w:val="auto"/>
              </w:rPr>
            </w:pPr>
          </w:p>
        </w:tc>
        <w:tc>
          <w:tcPr>
            <w:tcW w:w="9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62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Pr>
          <w:p>
            <w:pPr>
              <w:spacing w:after="0"/>
              <w:rPr>
                <w:sz w:val="12"/>
                <w:szCs w:val="12"/>
                <w:color w:val="auto"/>
              </w:rPr>
            </w:pPr>
          </w:p>
        </w:tc>
        <w:tc>
          <w:tcPr>
            <w:tcW w:w="10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2"/>
                <w:szCs w:val="12"/>
                <w:color w:val="auto"/>
              </w:rPr>
            </w:pPr>
          </w:p>
        </w:tc>
        <w:tc>
          <w:tcPr>
            <w:tcW w:w="9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6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62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-1362710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-1344930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-1508125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-1362710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-1344930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-1508125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-1362710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-1344930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-1508125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measured on a recurring basis using unobservable Level 3 inputs for the period ended June 30, 2025 is set forth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3"/>
                <w:szCs w:val="13"/>
                <w:color w:val="auto"/>
              </w:rPr>
            </w:pPr>
          </w:p>
        </w:tc>
        <w:tc>
          <w:tcPr>
            <w:tcW w:w="120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8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Warrant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15,351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8,787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24,138</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Series B Warrant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warrant liabilities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17,382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47,238</w:t>
            </w:r>
          </w:p>
        </w:tc>
        <w:tc>
          <w:tcPr>
            <w:tcW w:w="0" w:type="dxa"/>
            <w:vAlign w:val="bottom"/>
          </w:tcPr>
          <w:p>
            <w:pPr>
              <w:spacing w:after="0"/>
              <w:rPr>
                <w:sz w:val="1"/>
                <w:szCs w:val="1"/>
                <w:color w:val="auto"/>
              </w:rPr>
            </w:pPr>
          </w:p>
        </w:tc>
      </w:tr>
      <w:tr>
        <w:trPr>
          <w:trHeight w:val="520"/>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43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balances were as follows: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80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-1422400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-1405255</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-1422400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-1405255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Systems. The Company’s leases have remaining lease terms of less than one year to five years. Lease revenue for the three and six months ended June 30, 2025 and 2024 was as follows:</w:t>
      </w:r>
    </w:p>
    <w:p>
      <w:pPr>
        <w:spacing w:after="0" w:line="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74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8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4"/>
                <w:szCs w:val="24"/>
                <w:color w:val="auto"/>
                <w:vertAlign w:val="superscript"/>
              </w:rPr>
              <w:t>1,2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Acquired technology </w:t>
            </w:r>
            <w:r>
              <w:rPr>
                <w:rFonts w:ascii="Times New Roman" w:cs="Times New Roman" w:eastAsia="Times New Roman" w:hAnsi="Times New Roman"/>
                <w:sz w:val="24"/>
                <w:szCs w:val="24"/>
                <w:color w:val="auto"/>
                <w:vertAlign w:val="superscript"/>
              </w:rPr>
              <w:t>1,3,4,5</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(5,459)</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Acquired trademarks </w:t>
            </w:r>
            <w:r>
              <w:rPr>
                <w:rFonts w:ascii="Times New Roman" w:cs="Times New Roman" w:eastAsia="Times New Roman" w:hAnsi="Times New Roman"/>
                <w:sz w:val="24"/>
                <w:szCs w:val="24"/>
                <w:color w:val="auto"/>
                <w:vertAlign w:val="superscript"/>
              </w:rPr>
              <w:t>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(8,707)</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-25400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-8255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8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intangible assets were established upon PDL BioPharma, Inc.’s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w:t>
      </w:r>
    </w:p>
    <w:p>
      <w:pPr>
        <w:spacing w:after="0" w:line="6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certain intangible assets for customer relationships from a domestic distributor in an asset acquisition, which are being amortized on a straight-line basis over a period of 10 years.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certain intangible assets from a medical technology company in an asset acquisition, which were being amortized on a straight-line basis over a period of 15 years.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Company acquired certain intellectual property from a third party. Pursuant to the Company's agreement with the third party, the Company made milestone payments of $2,400 during the year ended December 31, 2022.</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the Company notified its third-party supplier of the phacoemulsification component in the ALLY System that the Company would no longer pursue integration with the supplier’s phacoemulsification unit. This resulted in a triggering event impacting certain acquired technology intangible assets and contract liabilities associated with the phacoemulsification component. The Company determined that the carrying value of the intangible assets in items 3 and 4 above exceeded the estimated recoverable amount of $0 and recorded an impairment of intangible assets of $3,943. The impairment charge was offset with the write-off of contract liabilities associated with the intangible assets of $214.</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three months ended June 30, 2025 and 2024 was $230 and $232, respectively, and for the six months ended June 30, 2025 and 2024 was $462 and $506,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intangible assets recorded at June 30, 2025, and assuming no subsequent additions to or impairment of the underlying assets, the remaining amortization expense is expected to be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gridSpan w:val="2"/>
          </w:tcPr>
          <w:p>
            <w:pPr>
              <w:ind w:left="22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tcPr>
          <w:p>
            <w:pPr>
              <w:spacing w:after="0"/>
              <w:rPr>
                <w:sz w:val="18"/>
                <w:szCs w:val="18"/>
                <w:color w:val="auto"/>
              </w:rPr>
            </w:pPr>
          </w:p>
        </w:tc>
        <w:tc>
          <w:tcPr>
            <w:tcW w:w="5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remaining estimated amortization expense</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-1079500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4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Warranty</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8"/>
                <w:szCs w:val="18"/>
                <w:color w:val="auto"/>
              </w:rPr>
            </w:pP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8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(as defined below),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share (the “Series B Warrant”), subject in each instance to adjustments as provided under the terms of the Warrants. Refer to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recently quoted market prices of the Company's common stock and the Black-Scholes option pricing model. The fair value of the warrant liabilities was estimated using the following assumptions as of June 30, 2025 and December 31, 2024:</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5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5"/>
                <w:szCs w:val="15"/>
                <w:color w:val="auto"/>
              </w:rPr>
            </w:pPr>
          </w:p>
        </w:tc>
        <w:tc>
          <w:tcPr>
            <w:tcW w:w="14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20"/>
                <w:szCs w:val="20"/>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warrant liabilities was based on the remaining contractual term of the Warrants.</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supply agreements for the manufacture and supply of certain components. The supply agreements commit the Company to a minimum purchase obligation of approximately $7,150 over the next 15 months. The Company expects to meet these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medical device market in which the Company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proposed Merger and in the ordinary course of our business, including intellectual property, commercial, product liability, employment, class action, whistleblower and other litigation and claims, and governmental and other regulatory investigations and proceedings. We make provisions for liabilities when it is both probable that a liability has been incurred and the amount of the loss can be reasonably estimated.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entered into a Securities Purchase Agreement (the “SPA”) with NR-GRI Partners, LP (“NR-GRI”), whereby it sold to NR-GRI, for an aggregate purchase price of $20,000, 20 shares of Series A Redeemable Convertible Preferred Stock and the Warrants (the “Private Placement”). Refer to Note 9,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more details related to the Warrants. The Series A Redeemable Convertible Preferred Stock is convertible into 7,940 shares of common stock at the election of NR-GRI.</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condensed balance sheet.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single class of common stock in which stockholders are entitled to one vote for each share of common stock. No cash dividend was declared on common stock during the three and six months ended June 30,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2020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July 2020, the Board of Directors approved the LENSAR Inc. 2020 Incentive Award Plan (the “2020 Plan”). The 2020 Plan provides for the grant of stock options, restricted stock, restricted stock unit awards, performance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June 30, 2025, the Company has reserved a total of 6,133 shares of common stock for issuance under the 2020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Inducement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shares available for issuance under the 2020 Plan and Inducement Plan (collectively, the “Incentive Plans”) is as follows:</w:t>
      </w:r>
    </w:p>
    <w:p>
      <w:pPr>
        <w:spacing w:after="0" w:line="9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 Plan</w:t>
            </w:r>
          </w:p>
        </w:tc>
        <w:tc>
          <w:tcPr>
            <w:tcW w:w="100" w:type="dxa"/>
            <w:vAlign w:val="bottom"/>
          </w:tcPr>
          <w:p>
            <w:pPr>
              <w:spacing w:after="0"/>
              <w:rPr>
                <w:sz w:val="13"/>
                <w:szCs w:val="13"/>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Granted/Awarded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 activity under the Incentive Plans is set forth below:</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5"/>
                <w:szCs w:val="15"/>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June 30,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-448310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-431165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six months ended June 30, 2025 was $6.58. There were no options granted during the three months ended June 30, 2025. The total fair value of options vested during the three and six months ended June 30, 2025 was approximately $203 and $488, respectively. Total unrecognized compensation expense of $655 related to stock options will be recognized over a weighted average period of 1.3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vested as of June 30,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Options Vested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vMerge w:val="continue"/>
          </w:tcPr>
          <w:p>
            <w:pPr>
              <w:spacing w:after="0"/>
              <w:rPr>
                <w:sz w:val="12"/>
                <w:szCs w:val="12"/>
                <w:color w:val="auto"/>
              </w:rPr>
            </w:pPr>
          </w:p>
        </w:tc>
        <w:tc>
          <w:tcPr>
            <w:tcW w:w="128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$2.15 - $3.10</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$3.27</w:t>
            </w:r>
          </w:p>
        </w:tc>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$5.95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$6.04</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$6.07</w:t>
            </w:r>
          </w:p>
        </w:tc>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$13.48</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643</w:t>
            </w: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0"/>
        </w:trPr>
        <w:tc>
          <w:tcPr>
            <w:tcW w:w="440" w:type="dxa"/>
            <w:vAlign w:val="bottom"/>
            <w:tcBorders>
              <w:top w:val="single" w:sz="8" w:color="CFF0FC"/>
            </w:tcBorders>
          </w:tcPr>
          <w:p>
            <w:pPr>
              <w:spacing w:after="0"/>
              <w:rPr>
                <w:sz w:val="18"/>
                <w:szCs w:val="18"/>
                <w:color w:val="auto"/>
              </w:rPr>
            </w:pPr>
          </w:p>
        </w:tc>
        <w:tc>
          <w:tcPr>
            <w:tcW w:w="4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6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-170815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and six months ended June 30, 2025 and 2024:</w:t>
      </w:r>
    </w:p>
    <w:p>
      <w:pPr>
        <w:spacing w:after="0" w:line="4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200" w:type="dxa"/>
            <w:vAlign w:val="bottom"/>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2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Borders>
              <w:bottom w:val="single" w:sz="8" w:color="auto"/>
            </w:tcBorders>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7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4.3 - 4.6%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4.0 - 4.4%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3.9 - 4.6%</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58 - 59%</w:t>
            </w: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Company’s stock-based compensation awards was based on an index of the expected terms of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publicly-traded medical device and other peer companies, which the Company believed was representative of the expected term of its awards.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Company’s stock-based compensation awards was based on an index of the historical volatilities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of comparable publicly-traded medical device and other peer companies, which the Company believed was representative of the volatility of its common stock.</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to employees and non-employees generally vest over one to four years in regular increments. The fair value of restricted stock units is based on the Company’s closing stock price on the date of grant.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and performance stock unit activity under the Incentive Plans is set forth below:</w:t>
      </w:r>
    </w:p>
    <w:p>
      <w:pPr>
        <w:spacing w:after="0" w:line="11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7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Restricted Stock Units Outstanding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cancelled</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restricted stock units at June 30, 2025</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unreleased restricted stock units at June 30,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-299720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-281940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three and six months ended June 30, 2025 was approximately $760 and $1,271, respectively. At June 30, 2025 there was approximately $5,375 of total unrecognized compensation expense related to restricted stock units and performance stock units, which is expected to be recognized over a weighted-average period of 2.9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cs="Times New Roman" w:eastAsia="Times New Roman" w:hAnsi="Times New Roman"/>
          <w:sz w:val="18"/>
          <w:szCs w:val="18"/>
          <w:color w:val="231F20"/>
        </w:rPr>
        <w:t>As of June 30, 2025, the Company has reserved 681 shares of common stock for issuance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2020 ESPP. </w:t>
      </w:r>
      <w:r>
        <w:rPr>
          <w:rFonts w:ascii="Times New Roman" w:cs="Times New Roman" w:eastAsia="Times New Roman" w:hAnsi="Times New Roman"/>
          <w:sz w:val="18"/>
          <w:szCs w:val="18"/>
          <w:color w:val="000000"/>
        </w:rPr>
        <w:t>The price of the common stock purchased will be the lower of 85% of the fair market value of the common stock at the beginning of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offering period or at the end of a purchase period. The 2020 ESPP is intended to qualify as an "employee stock purchase plan" within the meaning of Section 423 of the Code.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446 shares of common stock have been issued to employees participating in the 2020 ESPP and 235 shares were available for future issuance under the 2020 ESPP. The grant date fair value of the shares to be issued under the Company’s 2020 ESPP was estimated using the Black-Scholes valuation model.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total stock-based compensation expense recognized under the Incentive Plans and the 2020 ESPP in the Company’s condensed statements of operations: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 – product</w:t>
            </w:r>
          </w:p>
        </w:tc>
        <w:tc>
          <w:tcPr>
            <w:tcW w:w="10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1020" w:type="dxa"/>
            <w:vAlign w:val="bottom"/>
            <w:gridSpan w:val="5"/>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 product</w:t>
            </w: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 – service</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5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 is expected to be amortized as follows: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40" w:type="dxa"/>
            <w:vAlign w:val="bottom"/>
            <w:gridSpan w:val="2"/>
          </w:tcPr>
          <w:p>
            <w:pPr>
              <w:ind w:left="22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vMerge w:val="continue"/>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spacing w:after="0"/>
              <w:rPr>
                <w:sz w:val="18"/>
                <w:szCs w:val="18"/>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780" w:type="dxa"/>
            <w:vAlign w:val="bottom"/>
            <w:tcBorders>
              <w:left w:val="single" w:sz="8" w:color="CFF0FC"/>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780" w:type="dxa"/>
            <w:vAlign w:val="bottom"/>
            <w:tcBorders>
              <w:left w:val="single" w:sz="8" w:color="CFF0FC"/>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tcBorders>
              <w:left w:val="single" w:sz="8" w:color="CFF0FC"/>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360" w:type="dxa"/>
            <w:vAlign w:val="bottom"/>
          </w:tcPr>
          <w:p>
            <w:pPr>
              <w:spacing w:after="0"/>
              <w:rPr>
                <w:sz w:val="18"/>
                <w:szCs w:val="18"/>
                <w:color w:val="auto"/>
              </w:rPr>
            </w:pPr>
          </w:p>
        </w:tc>
        <w:tc>
          <w:tcPr>
            <w:tcW w:w="10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-1327785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-1310640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-1327785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-1310640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-1327785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-1310640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-1327785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-1310640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included in this table are based on restricted stock units, performance stock units, and stock options outstanding at June 30, 2025 and assumes the requisite service period is fulfilled for all awards outstanding. Actual stock-based compensation expense in future periods may vary from those reflected in the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(loss) and the denominator (number of shares) used in the basic and diluted loss per share calculations: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(1,764)</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(9,043)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(29,109)</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(11,200)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 has reported a net loss for all periods presented, basic and diluted net loss per share attributable to common stockholders are the same for those periods. The Company excluded the following amounts of equity securities from its diluted loss per share calculations for the three and six months ended June 30, 2025 and 2024 because their effect was anti-dilutive:</w:t>
      </w:r>
    </w:p>
    <w:p>
      <w:pPr>
        <w:spacing w:after="0" w:line="61"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and Six Months Ended 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9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7,940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shd w:val="clear" w:color="auto" w:fill="CFF0FC"/>
          </w:tcPr>
          <w:p>
            <w:pPr>
              <w:spacing w:after="0"/>
              <w:rPr>
                <w:sz w:val="18"/>
                <w:szCs w:val="18"/>
                <w:color w:val="auto"/>
              </w:rPr>
            </w:pP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Warrants and Series B Warrants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4,367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tcPr>
          <w:p>
            <w:pPr>
              <w:spacing w:after="0"/>
              <w:rPr>
                <w:sz w:val="18"/>
                <w:szCs w:val="18"/>
                <w:color w:val="auto"/>
              </w:rPr>
            </w:pPr>
          </w:p>
        </w:tc>
      </w:tr>
      <w:tr>
        <w:trPr>
          <w:trHeight w:val="216"/>
        </w:trPr>
        <w:tc>
          <w:tcPr>
            <w:tcW w:w="9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FF0FC"/>
          </w:tcPr>
          <w:p>
            <w:pPr>
              <w:spacing w:after="0"/>
              <w:rPr>
                <w:sz w:val="18"/>
                <w:szCs w:val="18"/>
                <w:color w:val="auto"/>
              </w:rPr>
            </w:pPr>
          </w:p>
        </w:tc>
      </w:tr>
      <w:tr>
        <w:trPr>
          <w:trHeight w:val="234"/>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1,833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Pr>
          <w:p>
            <w:pPr>
              <w:spacing w:after="0"/>
              <w:rPr>
                <w:sz w:val="20"/>
                <w:szCs w:val="20"/>
                <w:color w:val="auto"/>
              </w:rPr>
            </w:pPr>
          </w:p>
        </w:tc>
      </w:tr>
      <w:tr>
        <w:trPr>
          <w:trHeight w:val="630"/>
        </w:trPr>
        <w:tc>
          <w:tcPr>
            <w:tcW w:w="8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8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INTERIM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anti-dilutive weighted average shares excluded from the diluted loss per share calculations were: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760" w:type="dxa"/>
            <w:vAlign w:val="bottom"/>
          </w:tcPr>
          <w:p>
            <w:pPr>
              <w:spacing w:after="0"/>
              <w:rPr>
                <w:sz w:val="15"/>
                <w:szCs w:val="15"/>
                <w:color w:val="auto"/>
              </w:rPr>
            </w:pPr>
          </w:p>
        </w:tc>
        <w:tc>
          <w:tcPr>
            <w:tcW w:w="1700" w:type="dxa"/>
            <w:vAlign w:val="bottom"/>
            <w:tcBorders>
              <w:bottom w:val="single" w:sz="8" w:color="auto"/>
            </w:tcBorders>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11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160" w:type="dxa"/>
            <w:vAlign w:val="bottom"/>
            <w:tcBorders>
              <w:bottom w:val="single" w:sz="8" w:color="auto"/>
            </w:tcBorders>
          </w:tcPr>
          <w:p>
            <w:pPr>
              <w:jc w:val="right"/>
              <w:ind w:right="3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The CODM uses revenue and net loss to assess segment performance and allocate resources by comparing actual results to budget. The measure of segment assets is reported on the balance sheet as total consolidated assets. As of June 30, 2025 and December 31, 2024, 99% and 98% of long-lived assets were in the United States, respectively. Revenue is attributed to a geographic region based on the location of the customer, refer to Note 3,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significant segment expenses to net loss is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28,094</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Personnel expense</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cost of revenue</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research and development expense</w:t>
            </w:r>
            <w:r>
              <w:rPr>
                <w:rFonts w:ascii="Times New Roman" w:cs="Times New Roman" w:eastAsia="Times New Roman" w:hAnsi="Times New Roman"/>
                <w:sz w:val="24"/>
                <w:szCs w:val="24"/>
                <w:color w:val="auto"/>
                <w:vertAlign w:val="superscript"/>
              </w:rPr>
              <w:t>1</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sales and marketing expense</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FF0FC"/>
          </w:tcPr>
          <w:p>
            <w:pPr>
              <w:spacing w:after="0"/>
              <w:rPr>
                <w:sz w:val="18"/>
                <w:szCs w:val="18"/>
                <w:color w:val="auto"/>
              </w:rPr>
            </w:pPr>
          </w:p>
        </w:tc>
      </w:tr>
      <w:tr>
        <w:trPr>
          <w:trHeight w:val="229"/>
        </w:trPr>
        <w:tc>
          <w:tcPr>
            <w:tcW w:w="4480" w:type="dxa"/>
            <w:vAlign w:val="bottom"/>
          </w:tcPr>
          <w:p>
            <w:pPr>
              <w:ind w:left="60"/>
              <w:spacing w:after="0" w:line="229" w:lineRule="exact"/>
              <w:rPr>
                <w:sz w:val="20"/>
                <w:szCs w:val="20"/>
                <w:color w:val="auto"/>
              </w:rPr>
            </w:pPr>
            <w:r>
              <w:rPr>
                <w:rFonts w:ascii="Times New Roman" w:cs="Times New Roman" w:eastAsia="Times New Roman" w:hAnsi="Times New Roman"/>
                <w:sz w:val="18"/>
                <w:szCs w:val="18"/>
                <w:color w:val="auto"/>
              </w:rPr>
              <w:t>Other general and administrative expense</w:t>
            </w:r>
            <w:r>
              <w:rPr>
                <w:rFonts w:ascii="Times New Roman" w:cs="Times New Roman" w:eastAsia="Times New Roman" w:hAnsi="Times New Roman"/>
                <w:sz w:val="24"/>
                <w:szCs w:val="24"/>
                <w:color w:val="auto"/>
                <w:vertAlign w:val="superscript"/>
              </w:rPr>
              <w:t>1</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19"/>
                <w:szCs w:val="19"/>
                <w:color w:val="auto"/>
              </w:rPr>
            </w:pPr>
          </w:p>
        </w:tc>
      </w:tr>
      <w:tr>
        <w:trPr>
          <w:trHeight w:val="216"/>
        </w:trPr>
        <w:tc>
          <w:tcPr>
            <w:tcW w:w="4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4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(9,043)</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(29,109)</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(11,200)</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firstLine="8"/>
        <w:spacing w:after="0" w:line="223" w:lineRule="auto"/>
        <w:tabs>
          <w:tab w:leader="none" w:pos="116"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deducts personnel expense, stock-based compensation expense, depreciation expense, and amortization expense from GAAP expenses to arrive at other costs and expenses.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tax legislation and any impact on the Company’s cash from operations, and will adjust the estimates in future periods as necessary.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December 31, 2024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commercial-stage medical device company focused on designing, developing and marketing advanced laser systems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product portfolio includes the LENSAR Laser System, or LLS, and the ALLY Robotic Cataract Laser System™,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U.S. Food and Drug Administration, or FDA, in June 2022. The ALLY System is available to all U.S. and European Union, or EU, cataract surgeons and has also received regulatory clearance in India, Taiwan, South Korea, as well as certain other countries. In addition, we are pursuing an additional marketing or certification application through our distributor in China, but this process could take multiple years.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built and are continuing to grow our commercial organization, which includes a direct sales force in the United States and distributors in Germany, China, India,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June 30, 2025, consisted of approximately 75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 increased from $12.6 million for the three months ended June 30, 2024 to $13.9 million for the three months ended June 30, 2025, representing an increase of 10%, primarily due to increased ALLY System placements and procedure volume. Our net loss was $1.8 million and $9.0 million for the three months ended June 30, 2025 and 2024, respectively. Our revenue increased from $23.2 million for the six months ended June 30, 2024 to $28.1 million for the six months ended June 30, 2025, representing an increase of 21%, primarily due to increased ALLY System placements and procedure volume. Our net loss was $29.1 million and $11.2 million for the six months ended June 30, 2025 and 2024, respectively. Our installed base of Systems is approximately 410 as of June 30,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Proposed Acquisition by Alcon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23, 2025, we entered into an Agreement and Plan of Merger (the “Merger Agreement”), with Alcon Research, LLC (“Alcon”) and VMI Option Merger Sub, Inc. (“Merger Sub”). The Merger Agreement provides that, subject to the terms and conditions set forth in the Merger Agreement, Merger Sub will merge with and into the Company (the “Merger”), with the Company continuing as the surviving corporation of the Merger and as a wholly-owned subsidiary of Alcon. Pursuant to the Merger Agreement, at the effective time of the Merger (the “Effective Time”), each share of our common stock outstanding immediately prior to the Effective Time (subject to certain customary exceptions specified in the Merger Agreement) will be cancelled and converted automatically into the right to receive (i) $14.00 in cash, without interest, and subject to applicable taxes, plus (ii) one contingent value right per share, representing the right to receive one contingent payment of $2.75 in cash, without interest, upon achievement of 614,000 cumulative procedures with the Company’s products between January 1, 2026 and December 31, 2027. The Merger Agreement contains customary covenants and agreements, including with respect to the operations of our business between signing and closing. In addition, the Merger Agreement includes customary termination rights for us and Alcon. Upon termination of the Merger Agreement in certain circumstances, we would be required to pay Alcon a termination fee of $8.5 million.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21, 2025, the Company and Alcon each received a request for additional information and documentary material, or a Second Request, from the Federal Trade Commission, or the FTC, in connection with the FTC’s review of the Merger. The effect of the Second Request is to extend the waiting period imposed by the Hart-Scott-Rodino Antitrust Improvements Act of 1976, as amended, or the HSR Act, until 30 days after the Company and Alcon have certified substantial compliance with the Second Request, unless that period is extended voluntarily by the Company and Alcon or terminated sooner by the FTC. Both the Company and Alcon are promptly responding to the Second Request and continue to work cooperatively with the FTC in its review of the Merger. The Company continues to expect that the Merger will be completed in the second half of 2025, subject to the expiration or termination of the waiting period under the HSR Act and the satisfaction or waiver of the other closing conditions specified in the Merger Agreement, including approval by our stockholders, which occurred on July 2, 2025.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received $10.0 million as a cash deposit towards the aggregate consideration, which is classified as a current liability on the condensed balance sheet at June 30, 2025. The deposit will be held in accordance with the terms of the Merger Agreement. In connection with a termination of the Merger Agreement under certain specified circumstances, including if Alcon breaches its obligations such that we are entitled to terminate the Merger Agreement or the Merger has not been successfully completed by April 23, 2026, subject to an extension under certain circumstances solely at the election of Alcon to July 23, 2026, a governmental authority of competent jurisdiction has issued a final non-appealable governmental order prohibiting the Merger, and, at the time of such termination, the only remaining conditions to closing relate to certain regulatory approvals, we will be permitted to keep the deposit. If the Merger Agreement is terminated for any other reason, we shall refund the deposit to Alcon. Additionally, we have incurred acquisition-related costs of approximately $4.2 million and $8.4 million in the three and six months ended June 30, 2025,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that involves a number of risks, some of which are beyond our control. We are subject to risks common to medical device companies, including risks inherent in:</w:t>
      </w:r>
    </w:p>
    <w:p>
      <w:pPr>
        <w:spacing w:after="0" w:line="54"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laser system development and commercialization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regulatory actions and marketing approvals or certifications;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network of international distributors and a network of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coverage and reimbursement by government or other third-party payors for procedures using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and ability to pay for procedures with significant costs not covered by or reimbursable through government or other third-party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patent and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future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safety requirements and suggestions regarding patient treatment as required or suggested by health care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certification by regulatory agencies, including the FDA, or notified bodies for our ALLY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shortages, labor market shifts, tariffs, and price increases resulting from various macroeconomic factors;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associated with our products;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practices in jurisdictions where procedures using our Systems are performed, such as South Korea.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we will generate significant revenues or achieve and sustain profitability in the future. In addition, we can provide no assurance that we will have sufficient funding to meet our future capital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economic uncertainty and other factors have impeded global supply chains, resulted in longer lead times and delays in procuring component parts and raw materials, and resulted in inflationary cost increases in certain raw materials, labor and transportation. We expect these inflationary impacts to continue for the foreseeable future. A high rate of inflation in the future, whether due to actual or uncertain impacts from increased tariffs or other trade barriers or other market volatility,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our historical results are not necessarily indicative of future performance, and any interim results we present are not indicative of the results that may be expected for the full fiscal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 fixed lease payment. The following table provides information about revenue and revenue attributable to recurring sources, which we consider to be all components of our revenue except for sales of our Systems: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w:t>
            </w:r>
          </w:p>
        </w:tc>
        <w:tc>
          <w:tcPr>
            <w:tcW w:w="21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Recurring revenue:</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Procedure</w:t>
            </w:r>
          </w:p>
        </w:tc>
        <w:tc>
          <w:tcPr>
            <w:tcW w:w="1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recurring revenue</w:t>
            </w:r>
          </w:p>
        </w:tc>
        <w:tc>
          <w:tcPr>
            <w:tcW w:w="19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9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Recurring revenue %</w:t>
            </w:r>
          </w:p>
        </w:tc>
        <w:tc>
          <w:tcPr>
            <w:tcW w:w="19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-465455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-465455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-465455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-465455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-173990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-173990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-156845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-173990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-156845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-173990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cost of revenue comprises cost of product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cost of lease revenue and cost of service revenue. 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acquisition-related costs, personnel costs, such as salaries and wages, including stock-based compensation and benefits, professional fees, marketing, insurance, travel and other expenses. We are continuing to grow our sales efforts in the United States. We expect our selling, general and administrative expenses to continue to increase in association with our planned growth.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dual-modality laser, integrated in a small, compact cataract treatment system that is designed to allow surgeons to perform a sterile laser-assisted cataract surgery in a single operating room or in-office surgical suite.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consists of the change in estimated fair value of the warrant liabilities using recently quoted market prices of the Company's common stock and the Black-Scholes option pricing model.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our tax rates or exposure to additional tax liabilities could adversely affect our earnings and financial condition. 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tax legislation and any impact on the Company’s cash from operations, and will adjust the estimates in future periods as necessary.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seasonal variations in the sales and leases of our products, with our fourth quarter typically being the strongest and the first quarter being the slowest. We believe these seasonal variations are consistent across our industry.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72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2"/>
        </w:trPr>
        <w:tc>
          <w:tcPr>
            <w:tcW w:w="4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from Prior</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 Prior</w:t>
            </w:r>
          </w:p>
        </w:tc>
      </w:tr>
      <w:tr>
        <w:trPr>
          <w:trHeight w:val="142"/>
        </w:trPr>
        <w:tc>
          <w:tcPr>
            <w:tcW w:w="4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Year (%)</w:t>
            </w:r>
          </w:p>
        </w:tc>
        <w:tc>
          <w:tcPr>
            <w:tcW w:w="200" w:type="dxa"/>
            <w:vAlign w:val="bottom"/>
          </w:tcPr>
          <w:p>
            <w:pPr>
              <w:spacing w:after="0"/>
              <w:rPr>
                <w:sz w:val="12"/>
                <w:szCs w:val="12"/>
                <w:color w:val="auto"/>
              </w:rPr>
            </w:pPr>
          </w:p>
        </w:tc>
        <w:tc>
          <w:tcPr>
            <w:tcW w:w="6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Year (%)</w:t>
            </w: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16,967</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4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1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196"/>
        </w:trPr>
        <w:tc>
          <w:tcPr>
            <w:tcW w:w="4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revenue (excluding intangible amortization)</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16"/>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5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48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38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-744855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-728345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-744855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-728345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-744855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-728345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-744855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-728345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with the Three Months Ended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three months ended June 30, 2025 increased by $1.3 million, or 10%, compared to the three months ended June 30,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revenue for the three months ended June 30, 2025 increased by $1.4 million, or 14%, compared to the three months ended June 30, 2024. The increase was primarily attributable to increased ALLY System placements and increased procedure volume of $1.5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procedure volume:</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52,347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Q2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Q4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60" w:type="dxa"/>
            <w:vAlign w:val="bottom"/>
          </w:tcPr>
          <w:p>
            <w:pPr>
              <w:spacing w:after="0"/>
              <w:rPr>
                <w:sz w:val="18"/>
                <w:szCs w:val="18"/>
                <w:color w:val="auto"/>
              </w:rPr>
            </w:pPr>
          </w:p>
        </w:tc>
      </w:tr>
      <w:tr>
        <w:trPr>
          <w:trHeight w:val="249"/>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procedure volume</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104,447</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169,506</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-24765</wp:posOffset>
            </wp:positionV>
            <wp:extent cx="431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431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for the three months ended June 30, 2025 increased by $0.2 million, or 20%, compared to the three months ended June 30, 2024. Our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represented 63% and 72% of product and service revenue for the three months ended June 30, 2025 and 2024,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revenue for the three months ended June 30, 2025 decreased by $0.3 million, or 16%, compared to the three months ended June 30, 2024. The decrease was primarily attributable to a decrease in the number of leased LLS units, partially offset by an increase in leased ALLY Systems.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government has recently implemented significant changes in U.S. trade policy and taken certain actions that have impacted our business, including imposing tariffs on certain goods imported into the United States. Some of these changes have triggered retaliatory actions by affected countries that could negatively impact demand for our products in these regions. The imposition of tariffs have increased the cost of the raw materials used in our ALLY Systems and PIDs. To date, we have not increased sales prices to our customers resulting in a reduction in our gross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compared with the Six Months Ended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six months ended June 30, 2025 increased by $4.9 million, or 21%, compared to the six months ended June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Product revenue for the six months ended June 30, 2025 increased by $4.9 million, or 29%, compared to the six months ended June 30, 2024. The increase was primarily attributable to increased ALLY System sales of $1.5 million and increased procedure volume of $3.4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for the six months ended June 30, 2025 increased by $0.4 million, or 16%, compared to the six months ended June 30, 2024. Our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represented 59% and 71% of product and service revenue for the six months ended June 30, 2025 and 2024,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revenue for the six months ended June 30, 2025 decreased by $0.4 million, or 9%, compared to the six months ended June 30, 2024. The decrease was primarily attributable to a decrease in the number of leased LLS units, partially offset by an increase in leased ALLY Systems.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with the Three Months Ended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 for the three months ended June 30, 2025 increased by $1.1 million, or 19%, compared to the three months ended June 30,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 revenue for the three months ended June 30, 2025 increased by $0.5 million, or 12%, compared to the three months ended June 30, 2024. The increased cost of product revenue was attributable to increased costs of components due to tariffs and other inflationary pressures, as well as an increase in the volume of procedure licenses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import certain raw materials for our ALLY System and PIDs from regions that have been be impacted by the tariffs imposed by the U.S. government.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has resulted in an increase in the cost of our products and a negative impact to our gross profit margin.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 revenue for the three months ended June 30, 2025 increased by $0.4 million, or 33%, compared to the three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attributable to our growing service organization as our installed base of Systems grew.</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lease revenue for the three months ended June 30, 2025 increased by $0.2 million, or 30%, compared to three months ended June 30, 2024. The increase was primarily attributable to the depreciation of leased Systems as the number of leased Systems continued to grow.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compared with the Six Months Ended June 30, 2024</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cost of revenue for the six months ended June 30, 2025 increased by $3.2 million, or 30%, compared to the six months ended June 30, 2024. The increase was primarily attributable to increased Systems sales, as well as increased costs of components due to tariffs and other inflationary pressures.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product revenue for the six months ended June 30, 2025 increased by $2.3 million, or 36%, compared to the six months ended June 30, 2024. The increased cost of product revenue was attributable to increased Systems sales and procedure license volume.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service revenue for the six months ended June 30, 2025 increased by $0.4 million, or 14%, compared to the six months ended June 30,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lease revenue for the six months ended June 30, 2025 increased by $0.4 million, or 33%, compared to the six months ended June 30, 2024. The increase was primarily attributable to the depreciation of leased Systems as the number of leased Systems continued to grow.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with the Three Months Ended June 30, 2024</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for the three months ended June 30, 2025 increased by $4.9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 compared to the three months ended June 30, 2024. General and administrative expenses increased in the period due to acquisition-related costs of approximately $4.2 million incurred in conjunction with the pending Merger with Alcon and increased sales and marketing expenses supporting the continued ALLY System growth in placements and procedures.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for the three months ended June 30, 2025 increased by $0.1 million, or 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$0.2 million for the three months ended June 30, 2025, consistent with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compared with the Six Months Ended June 30,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for the six months ended June 30, 2025 increased by $9.2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68%, compared to the six months ended June 30, 2024. General and administrative expenses increased in the quarter due to acquisition-related costs of approximately $8.4 million incurred in conjunction with the pending Merger with Alcon and increased sales and marketing expenses supporting the continued ALLY System growth in placements and procedures.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for the six months ended June 30, 2025 increased by $0.2 million or 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$0.5 million for the six months ended June 30, 2025, consistent with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 Net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income and expenses, net for the three months ended June 30, 2025 were $4.5 million of income as compared to $3.8 million of expense for the three months ended June 30, 2024. Non-operating income and expenses consisted primarily of the change in fair value of warrant liabilities in each period.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Non-operating income and expenses, net for the six months ended June 30, 2025 were $17.0 million as compared to $3.1 million for the six months ended June 30, 2024. Non-operating income and expenses consisted primarily of the change in fair value of warrant liabilities in each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and six months ended June 30, 2025 and 2024.</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(1,764)</w:t>
            </w: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(9,043)</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(29,109)</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expense</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(862)</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(8,305)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(27,290)</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Change in fair value of warrant liabilities</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(4,332)</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 Acquisition-related costs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Impairment of intangible assets</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-170815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acquisition-related costs, and impairment of intangible assets provides meaningful supplemental information for investors when evaluating our results and comparing us to peer companies as stock-based compensation expense and change in fair value of warrant liabilities are significant non-cash charges, impairment of intangible assets is a non-cash charge that is not indicative of our core operating results and acquisition-related costs are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use may not be directly comparable to similarly titled measures of other companies. Investors should not consider our non-GAAP financial measures in isolation or as a substitute for an analysis of our results as reported under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2025 and 2024, we had net losses of $29.1 million and $11.2 million, respectively, and as of June 30, 2025, we had an accumulated deficit of $172.4 million. The change in fair value of warrant liabilities increased net loss by $17.4 million in the six months ended June 30, 2025, and it is difficult to predict how the fair value of warrant liabilities will impact our future results. The change in fair value of the warrant liability was a result of an increase in the Company’s stock price of approximately 47% during the six months ended June 30, 2025. We expect to continue to incur losses and operating cash outflows for the near-term future as we continue to build our commercial and clinical infrastructure and pursue further regulatory clearances of our ALLY System. In addition, acquisition-related costs have been significant and we will continue to incur these costs while the Merger process is ongoing.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needs will be largely determined by our ability to successfully commercialize our products and the progression, additional regulatory clearances or certifications and launch of the ALLY System in additional jurisdictions in the future. We will continue to incur acquisition-related costs related to the Merger. A significant portion of acquisition-related costs will be due upon closing of the Merger.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ALLY System has received regulatory approval in the United States, India, Taiwan, South Korea, as well as certain other countries, and certification in the EU. In addition, we are pursuing an additional marketing or certification application through our distributor in China, but this process could take multiple years.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acquisition-related costs, and the timing of and applicable clearances for our ALLY System.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cash from the sale and lease of our Systems and the sale of our consumables. In addition, we received a $10.0 million cash deposit associated with the Merger. The deposit is considered the property of Alcon. We maintain cash balances with financial institutions in excess of insured limits. As discussed above, ongoing global supply chain disruptions, inflationary pressures, acquisition-related costs, recently enacted tariffs, and other macroeconomic conditions have negatively affected our capital requirements and more operating capital may be needed to fund our operations in the future. As of June 30, 2025, we expect our current cash, cash equivalents, and investments,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Quarterly Report.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revenue and expenses to increase in connection with our on-going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acquisition-related costs, the success of our commercial efforts and those of our distributors; the ongoing impact of global macroeconomic conditions and supply chain issues on our business; and the timing, scope and magnitude of our commercial and development activities.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or SPA, with NR-GRI Partners, LP, or NR-GRI, whereby we sold to NR-GRI, for an aggregate purchase price of $20.0 million, an aggregate of 20,000 shares of a newly established series of preferred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raise additional funds will depend, among other factors, on the timing of the Merger,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material contractual obligations and commercial commitments at June 30, 2025 primarily consist of $2.3 million in operating lease liabilities for our facility lease, $0.7 million in lease obligations for additional facility space not recorded on the balance sheet, and $7.2 million in remaining minimum purchase obligations for inventory components for the manufacture and supply of certain components within the next 15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In connection with the proposed Merger with Alcon, we expect to incur additional liabilities, which primarily represents transaction fees that are contingent upon the consummation of the Merger.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selected items in our condensed statements of cash flows:</w:t>
      </w:r>
    </w:p>
    <w:p>
      <w:pPr>
        <w:spacing w:after="0" w:line="9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(11,936)</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$11.9 million, consisting primarily of a net loss of $29.1 million and a decrease in net operating assets of $4.0 million, partially offset by non-cash charges of $21.1 million. The decrease in net operating assets was primarily due to changes in inventories, partially offset by accounts payable. Non-cash charges primarily consisted of depreciation, amortization, stock-based compensation, and change in fair value of warrant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$9.1 million, consisting primarily of a net loss of $11.2 million and a decrease in net operating assets of $8.5 million, partially offset by non-cash charges of $10.6 million. The decrease in net operating assets was primarily due to changes in accounts receivable, inventories, and accrued liabilities. Non-cash charges primarily consisted of impairment of intangible assets, depreciation, amortization, stock-based compensation, and change in fair value of warrant liabilities.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$7.0 million, consisting primarily of investment purchases, offset by maturities of investments.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$3.2 million, consisting primarily of the purchase of investments, offset by investment maturities.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$9.8 million, consisting primarily of the acquisition-related deposit received from Alcon.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was not significant.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and material changes in our critical accounting estimates during the three months ended June 30, 2025, as compared to those disclosed in “Management's Discussion and Analysis of Financial Condition and Results of Operations” included in the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unaudited condensed financial statements included in this Quarterly Report for a discussion of recently adopted accounting pronouncements and recently issued accounting pronouncements not yet adopted as of June 30, 2025.</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cash, cash equivalents and short-term and long-term investments of $20.3 million as of June 30, 2025. We generally hold our cash and cash equivalents in interest-bearing bank accounts, money market funds, and U.S. treasury bills. In addition, we received a $10.0 million cash deposit associated with the Merger, which is included in our cash and investments. The deposit is considered the property of Alcon, and will either be returned to Alcon or will become our property pursuant to the terms of the Merger Agreement.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June 30,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system’s ability to operate for lack of payment and, in the case of notes receivable, repossess the system if scheduled payments lapse. As of June 30, 2025, one customer accounted for approximately 11% of our accounts receivable, net.</w:t>
      </w:r>
    </w:p>
    <w:p>
      <w:pPr>
        <w:spacing w:after="0" w:line="1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We currently have limited exposure to foreign currency fluctuations and do not engage in any hedging activities as part of our normal course of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June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June 30, 2025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proposed Merger and in the ordinary course of our business, including intellectual property, commercial, product liability, employment, class action, whistleblower and other litigation and claims, and governmental and other regulatory investigations and proceedings.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litigation is inherently unpredictable, we cannot assure you that the results of any such actions will not have a material adverse effect on our business, results of operations, financial condition or cash flows.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legal proceedings, 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unaudited consolidated financial statements included elsewhere in this Quarterly Report, which is incorporated herein by reference.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conditions under the Merger Agreement to our and Alcon’s consummation of the Merger may not be satisfied at all or in the anticipated timeframe.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23, 2025, we entered into the Merger Agreement with Alcon and Merger Sub, pursuant to which Merger Sub will be merged with and into the Company, with the Company surviving the Merger as a wholly-owned subsidiary of Alcon.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Consummation of the Merger is subject to the receipt of certain regulatory approvals; the expiration or termination of any applicable waiting period (and extensions thereof) under the Hart-Scott-Rodino Antitrust Improvements Act of 1976; obtaining all waivers and approvals under certain other specified antitrust laws, as applicable; the absence of any law or order by any governmental authority that would make illegal or otherwise prohibit or prevent the Merger; approval by our stockholders, which occurred on July 2, 2025; and other conditions specified in the Merger Agreement. As a result, there can be no assurance that the Merger will be consummated.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21, 2025, the Company and Alcon each received a Second Request from the FTC, in connection with the FTC’s review of the Merger. The effect of the Second Request is to extend the waiting period imposed by the Hart-Scott-Rodino Antitrust Improvements Act of 1976, as amended, or the HSR Act, until 30 days after the Company and Alcon have certified substantial compliance with the Second Request, unless that period is extended voluntarily by the Company and Alcon or terminated sooner by the FTC.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pursue all required approvals in accordance with the Merger Agreement. However, no assurance can be given that the required approvals will be obtained and, even if all such approvals are obtained, no assurance can be given to the terms, conditions and timing of the approvals or that they will satisfy the terms of the Merger Agreement.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of, or a failure to consummate, the Merger could negatively impact our business, financial condition, results of operations or our stock price.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announcement of having entered into the Merger Agreement could cause a material disruption to our business and there can be no assurance that the conditions to the consummation of the Merger will be satisfied. The Merger Agreement may also be terminated by us and/or Alcon in certain specified circumstances, as described below. We are subject to several risks as a result of the announcement of the Merger Agreement, including, but not limited to,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is not completed within the expected timeframe, or at all, the share price of our common stock will change to the extent that the current market price of our common stock reflects an assumption that the Merger will be consummated;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related to the Merger, including the fees and/or expenses of our legal, accounting and financial advisors must be paid even if the Merger is not completed;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we are subject to certain restrictions on the conduct of our business prior to the completion of the Merger, which restrictions could adversely affect our ability to realize certain of our business strategies or take advantage of certain business opportunities;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our management may be directed towards the consummation of the Merger and related matters, and their focus may be diverted from the day-to-day business operations of our Company, including from other opportunities that might otherwise be beneficial to us;</w:t>
      </w:r>
    </w:p>
    <w:p>
      <w:pPr>
        <w:spacing w:after="0" w:line="1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existing key employees or hire new capable employees, given the uncertainty regarding our future, in order to execute on our continuing business operations;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complete the Merger within the proposed timeframe, or at all, may result in negative publicity and/or a negative impression of us in the investment community or business community generally;</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maintaining relationships with collaborators, vendors, and other business partners;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determine to terminate and/or attempt to renegotiate their relationship with us as a result of the Merger, whether pursuant to the terms of their existing agreements with us or otherwise;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Merger Agreement by us or Alcon under specified circumstances, we would be required to pay a termination fee of approximately $8.5 million;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demand from a purported stockholder seeking to inspect certain corporate books and records and could be subject to further litigation related to any failure to complete the Merger.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our executive officers and directors may have interests in the Merger that are different from, or are in addition to, those of our stockholders generally. These interests include without limitation the following:</w:t>
      </w:r>
    </w:p>
    <w:p>
      <w:pPr>
        <w:spacing w:after="0" w:line="16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hold outstanding Company equity awards;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non-employee directors and executive officers hold shares of Company common stock and may be deemed to beneficially own shares of Series A Redeemable Convertible Preferred Stock and are subject to a voting agreement;</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will receive a prorated annual bonus within five days before the closing date for the fiscal year in which the Effective Time occurs;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is a party to an employment agreement that provides for severance benefits upon a qualifying termination of employment in connection with a change in control, which includes the Merger;</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held by our executive officers and non-employee directors will vest in full at the Effective Time, under the terms of the applicable award agreement underlying such equity award;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executive officers may continue to provide employment or other services to Alcon after the Effective Time and may enter into new agreements, arrangements or understandings with Alcon to set forth the terms and compensation of such post-Effective Time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could make it difficult for a third-party to acquire us prior to the completing of the Merger.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Agreement contains restrictions on our ability to obtain a third-party proposal for an acquisition of our Company. These provisions include our agreement not to solicit or initiate any additional discussions with third parties regarding other proposals to acquire us, as well as restrictions on our ability to respond to such proposals, subject to fulfillment of certain fiduciary requirements of our Board of Directors. The Merger Agreement also contains certain termination rights, including, under certain circumstances, a requirement for us to pay to Alcon a termination fee of approximately $8.5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might discourage an otherwise-interested third-party from considering or proposing an acquisition of our Company, even one that may be deemed of greater value to our stockholders than the Merger. Furthermore, even if a third-party elects to propose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an acquisition, the concept of a termination fee may result in that third-party offering a lower value to our stockholders than such third-party might otherwise have offered.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the Merger Agreement is in effect, we are subject to restrictions on our business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includes restrictions on the conduct of our business prior to the completion of the Merger, generally requiring us to use commercially reasonable efforts to conduct our business in the ordinary course consistent with past practice, including using commercially reasonable efforts to preserve its business organization and goodwill and maintain existing relationships with customers, suppliers, officers, employees and creditors. In addition, we are subject to a variety of specified restrictions. Unless we obtain Alcon’s prior written consent (which consent may not be unreasonably withheld, conditioned or delayed), except as specifically required by the Merger Agreement or required by applicable law, we may not, among other things and subject to certain exceptions, limitations and qualifications, incur additional indebtedness, issue additional shares of our common stock outside of our equity incentive plans, pay distributions, acquire certain assets or securities, sell or dispose of certain material intellectual property, enter into material contracts other than in the ordinary course of business, or make certain capital expenditures. We may find that these and other contractual restrictions in the Merger Agreement delay or prevent us from responding, or limit our ability to respond, effectively to competitive pressures, industry developments and future business opportunities that may arise during such period, even if our management believes they may be advisable. If any of these effects were to occur, it could materially and adversely impact our operating results, financial position, cash flows or the price of our common stock.</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class action and derivative lawsuits in connection with the Merger could result in substantial costs and prevent or delay the consummation of the Merger.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acquisition or merger agreements. Defending against and settling or otherwise resolving these types of claims can result in substantial costs, including costs associated with indemnification of directors and officers, and divert management time and resources. An adverse judgment in any such litigation relating to the Merger could result in monetary damages, which could have a negative impact on our financial condition. If a plaintiff is successful in obtaining an injunction prohibiting completion of the Merger, that injunction could delay or prevent the Merger from being completed, which could negatively impact our business, financial condition, results of operations or our stock price.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letters relating to the Merger have been received by the Company, which could prevent or delay the completion of the Merger or result in payment of damages.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Merger, certain purported stockholders of the Company have sent demand letters (the “Demands”) alleging deficiencies and/or omissions regarding the disclosures made in the preliminary proxy statement filed by the Company with the SEC on May 7, 2025 or the definitive proxy statement filed by the Company with the SEC on May 19, 2025. The purported stockholders may not view the Company’s cooperative actions in response to the Demands, such as the Company’s additional disclosure filed with the SEC on June 25, 2025, as sufficient. In addition, we have received a demand from a purported stockholder seeking to inspect certain corporate books and records, in order to investigate, among other things, purported breaches of fiduciary duty by members of the Company’s board of directors in connection with the Merger. These actions could have the effect of increasing the Company’s costs, diverting our management’s attention and resources, delaying or adversely affecting the Merger or resulting in the payment of damages, which could result in a material adverse effect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in the past, and could be in the future, adversely affected by economic uncertainty or deteriorations in economic conditions.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uncertainty, including due to factors such as increased inflation, and rising interest rates, and increased tariffs and other trade barriers,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operating losses for the near-term future and we cannot assure you that we will be able to generate sufficient revenue to achieve or sustain profitability.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2023 and 2024, we had net losses of $14.4 million and $31.4 million, respectively, and for the six months ended June 30, 2024 and 2025, we had net losses of $11.2 million and $29.1 million, respectively. As of June 30, 2025, we had an accumulated deficit of $172.4 million. We expect to continue to incur losses for the near-term future as a result of building our commercial and clinical infrastructure, pursuing further U.S. Food and Drug Administration, or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The ALLY System has also received certification in the European Union, or EU, and regulatory approval in India, Taiwan, South Korea, and certain other countries. In addition, we are pursuing an additional marketing or certification application through our distributor in China.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p>
    <w:p>
      <w:pPr>
        <w:spacing w:after="0" w:line="188"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visual outcomes and economic data that show the safety, efficacy, cost effectiveness and other patient benefits from use of our Systems or other future products;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cataract surgeons and others in the medical community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and disadvantages of our Systems as compared to competing products;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for procedures in which our Systems or other future products is used but for which limited reimbursement by third-party payors, including government authorities, is available;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of those of our international distributors;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complications associated with using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reliability and convenience of our Systems relative to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competing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outcomes for patients in procedures in which surgeons use our Systems;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and post-market clinical studies relating to the use of our Systems;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leadership of our research and development teams;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third-party blocking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our products to the market with speed and on time with our projected timelines;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larger, well-capitalized and product-diverse competitors, corporate-owned ASCs, group purchasing organizations, and government payors;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for procedures using our Systems or other future products from third-party payors, including government authorities.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maintain or increase market acceptance would limit our ability to generate revenue and would have a material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gain regulatory clearances and certifications, as well as our ability to meet production goals for our ALLY System.</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robotic laser-assisted cataract surgery, or LACS, procedure seamlessly in a single, sterile environment. The ALLY System is available to cataract surgeons in all U.S. and EU jurisdictions and has also received regulatory clearance in India, Taiwan, South Korea, and certain other countries. We are also pursuing an additional marketing or certification application through our distributor in China. In addition, our ability to meet production goals can also be impacted by supply chain interruptions. If we experience supply chain constraints, we may be unable to deliver ALLY Systems as planned.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of our ALLY System or any other new product offering or product enhancements we pursue will depend on several factors, including our ability to:</w:t>
      </w:r>
    </w:p>
    <w:p>
      <w:pPr>
        <w:spacing w:after="0" w:line="162"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cataract surgeon and patient needs;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competition based on our intellectual property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FDA (or other regulatory authority)-compliant with manufacturing and marketing of new devices or modified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these products;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procedures performed with our ALLY System or any other products we may develop in the future;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not successful in expanding our product offering, our ability to increase our revenue may be impaired, which could have a material adverse effect on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weak or uncertain economic conditions may cause individuals to be less willing to pay for advanced cataract procedures. Our Systems’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rely exclusively on a network of independent distributors to generate sales and leases of our Systems as well as purchases of our consumables and licensed applications outside of the United States. For the six months ended June 30, 2025, two customers accounted for approximately 16% and 11% of our revenue, respectively.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launches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Tariffs have resulted in increased costs on various components within the ALLY System and PIDs. As we have not passed on these additional costs to our customers, we have experienced a negative impact on our gross margin, which may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continue to the extent we take this approach in future periods.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p>
    <w:p>
      <w:pPr>
        <w:spacing w:after="0" w:line="183"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the sale, lease or use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sales and marketing efforts;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procuring, manufacturing and selling our Systems, including increased costs, uncertainties, and delays associated with global supply chain disruptions and inflationary pressures;</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commercializing the ALLY System, including increased costs associated with supply chain disruptions, inflationary pressures, the impact of increased tariffs or other trade barriers, sales in regions outside the U.S. or other new products or technologies;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 that we are currently conducting or may conduct in the future;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and maintaining regulatory approval, certification or clearance of our products and planned or future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complying with state, federal and foreign laws and regulations;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defending and enforcing our patent and other intellectual property rights;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third-party patent or other intellectual property rights;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enforcing or defending against non-competition claims;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acquisitions and other strategic transactions;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increased capital expenditures;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unanticipated general and administrative expenses, including expenses related to operating as a public company and insurance expenses; and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50.8% of our total outstanding shares of common stock based on our shares outstanding as of June 30, 2025,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including due to costs associated with increased tariffs or other trade barriers,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on commercially reasonable terms,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the impact of increased tariffs and other trade barriers, and other macroeconomic conditions may necessitate an increase in the overall cost to customers, which in turn may have an adverse impact on customer demand.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periodically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compete, and expect to compete in the future, against other companies, some of which have longer operating histories, more established products or greater resources than we do.</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current and potential competitors are large publicly traded companies or divisions of publicly-traded companies and have several competitive advantages, including:</w:t>
      </w:r>
    </w:p>
    <w:p>
      <w:pPr>
        <w:spacing w:after="0" w:line="162"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and sales and marketing;</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many of our competitors have their own intraocular lens, or IOLs, while we do not, which could put us at a competitive disadvantage. If we are unable to compete effectively in this environment, it could adversely affect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successfully market, sell and lease our products in markets outside of the United States, we must address many international business risks with which we have limited experience.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historically sold our products outside of the United States through a network of independent distributors and intend to increase our international presence in Germany, China, India, and South Korea, as well as other international markets. Our international business operations are subject to a number of risks, including:</w:t>
      </w:r>
    </w:p>
    <w:p>
      <w:pPr>
        <w:spacing w:after="0" w:line="176"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as a result of more products and procedures receiving regulatory approval, certification or clearance or otherwise becoming free to market in international markets;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export restrictions, and other trade barriers, trade regulations, and foreign tax laws;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effective marketing campaigns in unfamiliar international markets;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clearance and shipping delays;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produced products;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some of our customers, which could result in material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customer demand and our inventory levels.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limited warranty for our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brought against us could cause us to incur substantial liabilities, limit the selling or leasing of our existing products and interfere with commercialization of any products that we may develop.</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 and may not fully reflect the underlying performance of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quarter being the slowest. We believe these seasonal changes are consistent across our industry. Other factors that may cause fluctuations in our quarterly and annual results include:</w:t>
      </w:r>
    </w:p>
    <w:p>
      <w:pPr>
        <w:spacing w:after="0" w:line="187"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the more advanced, patient-pay procedures in which our Systems are used;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Systems;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organization in the United States and network of independent distributors outside the United States;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from competitor pricing;</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studies on our products or competitive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sales and leases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delivery of Systems, new product offerings, acquisitions, licenses or other significant events by us or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surgeons, hospitals and ASCs to defer acquisitions of Systems in anticipation of the introduction of new products or product enhancements by us or our competitors;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sampling by and additional training requirements for cataract surgeons upon the commercialization of a new product by us or one of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clearances or certifications and legislative changes affecting the products we may offer or those of our competitors;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of, component and raw material deliveries by our suppliers;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obtain regulatory clearance, certification or approval for our product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anticipated growth effectively, or are unable to increase or maintain our manufacturing capacity, we may not be able to meet customer demand for our products and our business could suffer.</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significant period-to-period growth in our business and we must continue to grow in order to meet our business and financial objectives. However, continued growth may create numerous challenges, including:</w:t>
      </w:r>
    </w:p>
    <w:p>
      <w:pPr>
        <w:spacing w:after="0" w:line="162"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responsibilities for our management team;</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our operating, financial and reporting systems;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to anticipate and satisfy market demand;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capacity requirements;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our ability to source a larger supply of components, including as a result of ongoing supply chain issues, in order to meet our required specifications on a timely basis;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increasing number of relationships with our customers, suppliers and other third parties;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international territories with unfamiliar regulations and business approaches;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train and manage additional qualified personnel.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new and complementary businesses, products or technologies, we may be unable to complete these acquisitions or to successfully integrate them in a cost-effective and non-disruptive manner.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retain members of our senior management and other key employees. If we are unable to retain or recruit qualified personnel for growth, our business results could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experienced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the use of information technology. Cybersecurity risks – any technology failures causing a material disruption to operational technology or cyber-attacks on our systems affecting our ability to protect the integrity and security of confidential customer and employee information – could harm our reputation and/or could disrupt our operations and negatively impact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certain personal information, including of our employees and contractors (collectively, Confidential Information). The future operation, success and growth of our business depends on streamlined processes made available through our uninhibited access to information technology systems, global communications, internet activity and other network processes. Like most companies, despite our current security measures, our information technology systems, and those of our third-party service providers, strategic partners and other contractors or consultants are vulnerable to information security breaches, acts of vandalism, social engineering/phishing, computer viruses and malware (such as ransomware), misconfigurations, “bugs” or other vulnerabilities,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Confidential Information.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Hackers and data thieves are increasingly sophisticated and operate large-scale and complex automated attacks which may remain undetected for an extended period. Even if identified, we may be unable to adequately investigate, remediate or recover from incidents or breaches due to attackers increasingly using tools and techniques that are designed to circumvent controls, to avoid detection, and to remove or obfuscate forensic evidence. We and certain of our service providers and customers are from time to time subject to cyberattacks, social engineering/phishing, and other security incidents. While to date no incidents have had a material impact on our operations or financial results, we cannot guarantee that material incidents will not occur in the future. Any significant information technology system failure, accident or security breach could cause interruptions in our operations, result in damage to our reputation, the loss or misappropriation of Confidential Information, result in key personnel being unable to perform duties or communicate throughout the organization, significant costs associated with the investigation, data restoration and remediation, and potential notification of the breach to third-parties, including counterparties, governmental authorities, and data subjects, and have other adverse impacts on our business. For example, laws in the EU and the UK may require businesses to provide notice to individuals whose personal information has been disclosed as a result of a data security breach. We may also be contractually required to notify customers or other counterparties of a security incident, including a data security breach.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compromises to our network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carry cyber insurance, which may expose us to certain potential losses for damages or result in penalization with fines in an amount exceeding our resources.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to comply with data privacy and security laws and other obligations could have a material adverse effect on our business, results of operations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(collectively, “HIPAA”), the EU General Data Protection Regulation 2016/679 and applicable national supplementing laws (“EU GDPR”), and the UK General Data Protection Regulation and Data Protection Act 2018 (“UK GDPR”) (collectively, “GDPR”), and the California Consumer Privacy Act, as amended by the California Privacy Rights Act(collectively,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or personally identifiable information, through websites or otherwise, and to regulate the presentation of website content.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comprehensively regulates our use of personal data of individuals from the European Economic Area, or EEA and/or the UK, or in the context of our activities within the EEA and/or the UK, including a principle of accountability and the obligation to demonstrate that appropriate legal bases are in place to justify data processing activities. Additionally, we are subject to laws and regulations regarding cross-border transfers of personal data out of the EEA and the UK. In addition, some of the personal data we process in respect of clinical trial participants is special category or sensitive personal data under the GDPR, and subject to additional compliance obligations and local law derogations. We may be subject to diverging requirements under EU Member State laws and UK law, such as whether consent can be used as the legal basis for processing and the roles, responsibilities, and liabilities as between CROs and sponsors. As these laws develop, we may need to make operational changes to adapt to these diverging rules, which could increase our costs and adversely affect our business,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European Union, states that reliance on the standard contractual clauses, or SSCs, a standard form of contract approved by the European Commission as an adequate personal data transfer mechanism, alone may not necessarily be sufficient in all circumstances and that transfers must be assessed on a case-by-case basis. The European Commission adopted its Adequacy Decision in relation to the new EU-U.S. Data Privacy Framework, or DPF, on July 10, 2023, rendering the DPF effective as a GDPR transfer mechanism to U.S. entities self-certified under the DPF.</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rely on the SCCs to transfer personal data outside the EEA and the UK, including to the United States, with respect to both intragroup and third-party transfers. We expect the existing legal complexity and uncertainty regarding international personal data transfers to continue. In particular, we expect the European Commission approval of the current EU-US Data Privacy Framework for data transfers to certified entities in the US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 or take additional compliance and operational measures; and/or it could otherwise adversely affect the manner in which we provide our services and could adversely affect our business, operations, and financial condition.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GDPR could result in penalties for noncompliance. Penalties for certain breaches are up to the greater of EUR 20 million/GBP 17.5 million or 4% of our global annual turnover. Since we are subject to the supervision of relevant data protection authorities under multiple legal regimes (including under both the EU GDPR and the UK GDPR), we could be fined under those regimes independently in respect of the same breach. In addition to fines, a breach of the GDPR may result in regulatory investigations, reputational damage, orders to cease/change our data processing activities, enforcement notices, assessment notices (for a compulsory audit) and/ or civil claims (including class actions).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continue to expand into other foreign countries and jurisdictions, we may be subject to additional laws and regulations that may affect how we conduct business. We expect that there will continue to be new laws, regulations and industry standards concerning privacy, data protection and information security proposed and enacted in various jurisdictions. For example, Washington State enacted the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in relation to the operation of our business, a number of which host or otherwise process personal data on our behalf. In some instances, these third parties have experienced immaterial failures to protect data privacy. There can be no assurances that the privacy and security-related measures and safeguards we have put in place in relation to these third parties will be effective to protect us and/or the relevant personal information from the risks associated with the third-party processing, storage, and transmission of such data. Any violation of data or security laws, or of our relevant measures and safeguards, by our third-party processors could have a material adverse effect on our business,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and harm our reputation and ability to provide our products on a timely basis.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could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weather, natural disasters or other service interruptions affecting delivery services we use would adversely affect our ability to deliver our products (or any other products we commercialize in the future) on a timely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on our books may lead to significant impairment charges.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ALLY System, which has received clearance from the FDA and certification in the EU, enables cataract surgeons to complete the laser-assisted procedure seamlessly in a single, sterile environment. The ALLY System is available to all cataract surgeons in the U.S. and EU jurisdictions and has also received regulatory clearance in India, Taiwan, South Korea, as well as certain other countries. In addition, we are pursuing an additional marketing or certification application through our distributor in China.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foreign regulatory authorities or notified bodies can delay, limit or deny clearance, certification or approval of a device for many reasons, including:</w:t>
      </w:r>
    </w:p>
    <w:p>
      <w:pPr>
        <w:spacing w:after="0" w:line="162" w:lineRule="exact"/>
        <w:rPr>
          <w:sz w:val="20"/>
          <w:szCs w:val="20"/>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foreign regulatory authority or notified body that our products are safe or effective for their intended uses;</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authority or notified body with the design or implementation of our clinical trials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certification or approval, where required;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or certification policies or regulations of the FDA or applicable foreign regulatory authority or notified body to change significantly in a manner rendering our clinical data or regulatory filings insufficient for clearance, certification or approval.</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transitional provisions and in order to sell our products in EU member states, our products must comply with the general safety and performance requirements of the EU Medical Devices Regulation, which repeals and replaces the EU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2025, the UK adopted an amendment to the UK Medical Devices Regulation intended to clarify and strengthen the post-market surveillance requirements for medical devices in Great Britain. It also intends to bring the UK regulatory framework for medical devices, which is based on the EU Medical Devices Directive, into closer alignment with the EU Medical Devices Regulation. In addition, the MHRA launched a consultation from November 14, 2024 to January 5, 2025 on proposals to update the pre-market requirements for medical devices in Great Britain. The MHRA has stated that it will incorporate feedback to this consultation into new UK legislation on pre-market requirements for medical devices in Great Britain. The new legislation is expected to come into force in 2026. Under the UK Medical Devices Regulations, in order to be lawfully placed on the Great Britain market, class I (non-sterile, non-measuring or non-re-useable) medical devices need to be “UKCA” self-certified, and other medical devices need to be “UKCA”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the sooner of certificate expiration or June 30, 2030. Medical devices also need to bear a physical UKCA mark in order to be lawfully placed on the Great Britain market. However, one of the key topics in the MHRA’s recent consultation was to obtain feedback on whether to remove the requirement for a medical device and its labeling (for example packaging and instructions for use) in Great Britain to bear a physical UKCA mark. Instead of requiring a medical device and its labeling to bear a UKCA mark, manufacturers would be required to assign a unique design identification, or UDI, to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medical devices before they are placed on the Great Britain market. If this change is implemented, we may no longer be required to affix the physical UKCA mark to our devices, but we may need to assign and affix a UDI.</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p>
    <w:p>
      <w:pPr>
        <w:spacing w:after="0" w:line="189"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certifications or approvals (including foreign regulatory approvals) of new products, new intended uses, or modifications to existing products;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510(k) clearances or certifications, resulting in prohibitions on sales of our products;</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state and foreign regulations, and we or any of our suppliers could be forced to recall products or terminate production if we fail to comply with these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certifications or approvals for our products, we will be unable to market and sell our products outside of the United States.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is lengthy and expensive with uncertain outcomes. Results of earlier studies may not be predictive of future clinical trial results, or the safety or efficacy profile for such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76" w:lineRule="exact"/>
        <w:rPr>
          <w:sz w:val="20"/>
          <w:szCs w:val="20"/>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other reviewing bodies may not authorize us or our investigators to commence a clinical trial, or to conduct or continue a clinical trial at a prospective or specific trial site;</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or notified bodies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(or other reviewing bodies), regulatory authorities, or both, for re-examination;</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other reviewing bodies, or other parties may require or recommend that we or our investigators suspend or terminate clinical research for various reasons, including safety signals or noncompliance with regulatory requirements;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certification policies or regulations of FDA or applicable foreign regulatory agencies may change in a manner rendering our clinical data insufficient for certification or approval; and</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disruptions related to public health crises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regulatory landscape related to medical devices in the EU recently evolved, and continues to undergo legislative changes.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and notified bodies caused by funding shortages, staffing limitations,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their activities.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there were a prolonged government shutdown in response to a health pandemic or otherwise, or if global health concerns, funding shortages or staffing limitations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notified bodies must be officially designated to certify products and services in accordance with the EU Medical Devices Regulation. Their designation process, which is significantly stricter under the new Regulation, has experienced considerable delays following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commercialize our ALLY System or other products we may develop in the future and may affect the prices we may set.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EU member states, in December 2021, the EU Regulation No 2021/2282 on Health Technology Assessment, or HTA, amending Directive 2011/24/EU, was adopted. The Regulation entered into force in January 2022 and has been applicable since January 2025, with phased implementation based on the type of product, for example,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federal, state and foreign laws pertaining to healthcare fraud and abuse, including anti-kickback, self-referral, false claims and fraud laws, and any violations by us of such laws could result in fines or other penalties.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w:t>
      </w:r>
    </w:p>
    <w:p>
      <w:pPr>
        <w:spacing w:after="0" w:line="180" w:lineRule="exact"/>
        <w:rPr>
          <w:sz w:val="20"/>
          <w:szCs w:val="20"/>
          <w:color w:val="auto"/>
        </w:rPr>
      </w:pPr>
    </w:p>
    <w:p>
      <w:pPr>
        <w:jc w:val="both"/>
        <w:ind w:left="380" w:hanging="372"/>
        <w:spacing w:after="0" w:line="258"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6" w:name="page67"/>
    <w:bookmarkEnd w:id="66"/>
    <w:p>
      <w:pPr>
        <w:ind w:left="380"/>
        <w:spacing w:after="0" w:line="282" w:lineRule="auto"/>
        <w:rPr>
          <w:sz w:val="20"/>
          <w:szCs w:val="20"/>
          <w:color w:val="auto"/>
        </w:rPr>
      </w:pPr>
      <w:r>
        <w:rPr>
          <w:rFonts w:ascii="Times New Roman" w:cs="Times New Roman" w:eastAsia="Times New Roman" w:hAnsi="Times New Roman"/>
          <w:sz w:val="18"/>
          <w:szCs w:val="18"/>
          <w:color w:val="auto"/>
        </w:rPr>
        <w:t>federal False Claims Act also includes a whistleblower provision that allows individuals to bring actions on behalf of the federal government and share a portion of the recovery of successful claims;</w:t>
      </w:r>
    </w:p>
    <w:p>
      <w:pPr>
        <w:spacing w:after="0" w:line="162" w:lineRule="exact"/>
        <w:rPr>
          <w:sz w:val="20"/>
          <w:szCs w:val="20"/>
          <w:color w:val="auto"/>
        </w:rPr>
      </w:pPr>
    </w:p>
    <w:p>
      <w:pPr>
        <w:jc w:val="both"/>
        <w:ind w:left="380" w:hanging="372"/>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5"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spacing w:after="0" w:line="18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any violations by us of such laws could result in fines or other penalties.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vendors, distributors and contract research organizations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57" w:lineRule="auto"/>
        <w:rPr>
          <w:sz w:val="20"/>
          <w:szCs w:val="20"/>
          <w:color w:val="auto"/>
        </w:rPr>
      </w:pPr>
      <w:r>
        <w:rPr>
          <w:rFonts w:ascii="Times New Roman" w:cs="Times New Roman" w:eastAsia="Times New Roman" w:hAnsi="Times New Roman"/>
          <w:sz w:val="18"/>
          <w:szCs w:val="18"/>
          <w:color w:val="auto"/>
        </w:rPr>
        <w:t>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w:t>
      </w:r>
    </w:p>
    <w:p>
      <w:pPr>
        <w:spacing w:after="0" w:line="1" w:lineRule="exact"/>
        <w:rPr>
          <w:sz w:val="20"/>
          <w:szCs w:val="20"/>
          <w:color w:val="auto"/>
        </w:rPr>
      </w:pPr>
    </w:p>
    <w:p>
      <w:pPr>
        <w:jc w:val="both"/>
        <w:ind w:firstLine="8"/>
        <w:spacing w:after="0" w:line="251" w:lineRule="auto"/>
        <w:tabs>
          <w:tab w:leader="none" w:pos="2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efforts to enter into confidentiality agreements with our employees, consultants, clients and other vendors who have access to our confidential information, trade secrets, data and know-how may not prevent unauthorized use, misappropriation, or disclosure to unauthorized parties, and such information could otherwise become known or be independently discovered by third parties. Our intellectual property, including trademarks, could be challenged, invalidated, infringed, or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in such jurisdictions. We may not be successful in protecting our proprietary rights, and unauthorized parties may be able to obtain and use information that we regard as proprietary.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June 30, 2025, we owned approximately 70 U.S. patents, 27 pending U.S. patent applications, 203 issued foreign patents, and 84 pending foreign and Patent Cooperation Treaty applications.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patent positions of medical device companies, including our patent position, may involve complex legal and factual questions, and therefore, the scope, validity, and enforceability of any patent claims that we may obtain cannot be predicted with certainty.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Patents (or some of the claims therein), if issued, may be challenged, deemed unenforceable,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(or some of the claims therein)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products on a substantial scale, if approved, before our relevant patents expire;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ultimately be found to be valid and enforceable;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thus reviving the patent or application, there is a risk that the revival can be challenged by third parties in administrative proceedings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technology on reasonable terms, we may not be able to successfully commercialize our products. Our licensed or acquired technology may lose value or utility over time.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we have licensed the right to use technology from third parties and may choose or need to do so in the future, including to develop or commercialize new products or services. We may also need to negotiate licenses to practice certain intellectual property rights such as patents or patent applications before or after introducing a commercial product, and we may not be able to obtain necessary licenses to such intellectual property rights.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in the industry, in our business objectives, others’ technology, a dispute with the licensor, or circumstances outside our control. In return for the use of a third party’s technology or intellectual property rights,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receive threatening letters, notices, or “invitations to license,” or may be the subject of claims that our products and business operations infringe or violate the intellectual property rights of others.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such competitor prevails, we could lose our rights to those challenged patents or have the scope of those rights narrowed.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patent applications or other intellectual property, as a result of the work they performed on our behalf. Although we have a general requirement that our employees, consultants, and any other partners or collaborators who have access to our proprietary know-how, information or technology assign to us, or grant us similar rights to, their inventions, this may not fully protect us from intellectual property claims. Additionally, we cannot be certain that we have executed such agreements with all parties who may have contributed to our intellectual property, that our agreements with such parties will be upheld in the face of a potential challenge, that such agreements will adequately protect us, or that such agreements will not be breached, nor can we be certain that we will have an adequate remedy for any of the foregoing.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proprietary rights. Any potential intellectual property litigation also could force us to do one or more of the following:</w:t>
      </w:r>
    </w:p>
    <w:p>
      <w:pPr>
        <w:spacing w:after="0" w:line="162"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the asserted intellectual property;</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intellectual property to others or to collect royalty payments based upon successful protection and assertion of our intellectual property rights against others;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technologies that contain the allegedly infringing intellectual property, which could be costly and disruptive, and may be infeasible;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or those where we prevail, may cause us to incur substantial costs, and could place a significant strain on our financial resources, divert the attention of management from our core business, and harm our reputation. If we are found to have infringed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have willfully infringed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fail to make any necessary changes to our products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or technologies, we may have to withdraw existing products from the market or may be unable to commercialize one or more of our products.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generally indemnify our customers with respect to our products’ infringement of the proprietary rights of third parties. If third parties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post-grant review, derivation proceedings,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competitors may infringe our issued patents or other intellectual property. To counter infringement or unauthorized use, we may be required to file infringement claims or initiate other proceedings to protect or enforce our patents or other intellectual property rights, which could be expensive, time-consuming, and unsuccessful. Any claims we assert against perceived infringers could provoke these parties to assert counterclaims against us alleging that we infringed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protection of trade secrets, know-how, and other proprietary information that is not patentable or that we elect not to patent. However, trade secrets can be difficult to protect and some courts are less willing to protect trade secrets to the extent we deem necessary to adequately enforce our rights. To maintain the confidentiality of our trade secrets and proprietary information, we rely heavily on confidentiality provisions contained in the contracts executed by our employees, consultants, collaborators, and others upon the commencement of their relationship with us. We cannot guarantee that we have entered into such agreements with each party that may have or have had access to our trade secrets or proprietary technology and processes. Also, despite the existence of these confidentiality restrictions or our efforts to monitor how our trade secrets are used or disclosed, we may not be able to prevent the unauthorized disclosure or use of our technical knowledge or other trade secrets by such third parties. These contracts may not provide meaningful protection for our trade secrets, know-how, or other proprietary information in the event the unauthorized use, misappropriation, or disclosure of such trade secrets, know-how, or other proprietary information is outside the scope of the provisions of the contracts. There can be no assurance that such third parties will not breach their agreements with us, that we will become aware of such breaches, that we will have adequate remedies for any breach, or that our trade secrets will not otherwise become known or independently developed by competitors.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insufficient, we would be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 individuals, organizations and systems which comprise our security measures, agreements and security protections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 protection may differ in certain countries, particularly in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do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 Proceedings to enforce our patent and trademarks rights in foreign jurisdictions could result in substantial costs and divert our efforts and attention from other aspects of our business, could put our patents, patent applications, trademarks, and trademark applications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18"/>
          <w:szCs w:val="18"/>
          <w:color w:val="auto"/>
        </w:rPr>
        <w:t>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p>
    <w:p>
      <w:pPr>
        <w:spacing w:after="0" w:line="16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to our standards or legal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produce reliable results or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in a timely manner;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maintain the confidentiality of our proprietary information;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rights to technology developed with our partners, and those disputes may be resolved against us;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cause delays in, or termination of, the research, development or commercialization of our products or result in litigation or arbitration.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to distinguish our products from the products of our competitors, and have registered or applied to register many of these trademarks. It is possible that some of our trademark applications may be rejected. Although we are given an opportunity to respond,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Additionally,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Risks Related to Artificial Intelligence Technologies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technologies in our business, and the deployment, use, and maintenance of these technologies involve significant technological and legal risks.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develop and use artificial intelligence, or AI, machine learning, and automated decision-making technologies, including proprietary AI and machine learning algorithms and models, (collectively “AI Technologies”), throughout our business, and are making significant investments in this area.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we use AI Technologies in our ALLY System to register and analyze patients’ eyes and determine eye surface and cataract density, which helps optimize laser patterns and energy settings in cataract procedures, with the goal of minimizing the overall energy delivered in the eye for quicker visual recovery and better patient outcomes.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for example: incorrectly designed or implemented; trained or reliant on incomplete, inadequate, inaccurate, biased, or otherwise poor quality data, or on data to which we do not have sufficient rights or in relation to which we and/or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 undetected defects, or errors. We may be unsuccessful in our ongoing development and maintenance of these technologies in the face of novel and evolving technical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long history of development of AI Technologies, other parties may have (or in the future may obtain) patents or other proprietary rights that would prevent, limit, or interfere with our ability to make or use our proprietary AI Technologies.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governing the use of AI Technologies is rapidly evolving, and we cannot predict how future legislation and regulation will impact our ability to offer products or services that we develop which leverage AI Technologies.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18"/>
          <w:szCs w:val="18"/>
          <w:color w:val="auto"/>
        </w:rPr>
        <w:t>Already, certain existing legal regimes (e.g., relating to data privacy) regulate certain aspects of AI Technologies, and new laws regulating AI Technologies have either entered into force in the United States and the EU in 2024 or are expected to enter into force in 2025. 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California enacted seventeen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use, procure and commercialize AI Technologies in the future.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Europe, on August 1, 2024, the EU Artificial Intelligence Act, or the EU AI Act, entered into force, and establishes a comprehensive, risk-based governance framework for AI in the EU market. The majority of the substantive requirements will apply from August 2, 2026.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or the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50.8% of our total outstanding shares of common stock based on our shares outstanding as of June 30, 2025,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A decline in the price of shares of our common stock might impede our ability to raise capital through the issuance of additional shares of our common stock or other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disclosure requirements applicable to us will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currently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will remain an “emerging growth company” until December 31, 2025 (the fiscal year-end following the fifth anniversary of the completion of the spin-off).</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there may be a less active trading market for our common stock and our stock price may decline or become more volatile.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shares of redeemable convertible preferred stock, and may in the future issue additional shares of preferred stock, with terms that could dilute the voting power or reduce the value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Quarterly Report); create, authorize, or issue shares of capital stock that are senior or pari passu to the Series A Redeemable Convertible Preferred Stock; complete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an acquisition with consideration above $1.0 million; incur debt in excess of $1.0 million; change our line of business; or enter into certain related-party transactions.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Run and its affiliates’ ownership may limit or preclude other stockholders’ ability to influence corporate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North Run Capital, LP, or North Run, and its affiliates held 45.6% of the voting power of our capital stock based on shares outstanding as of June 30, 2025,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stock appreciation for any return on their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Delaware law could discourage takeover attempts and lead to management entrenchment and, therefore, may depress the trading price of our common stock.</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162" w:lineRule="exact"/>
        <w:rPr>
          <w:sz w:val="20"/>
          <w:szCs w:val="20"/>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sustained, and the trading price of our common stock is likely to be volatile.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w:t>
      </w:r>
    </w:p>
    <w:p>
      <w:pPr>
        <w:spacing w:after="0" w:line="180"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condition and operating performance;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similar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us or our competitors;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as needed;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the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publicly owned and available for trading;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governmental investigations;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affecting our business, including tax legislation;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earnings guidance;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changes in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volumes of sales of our shares of common stock by existing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our industry; and</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the effects of recession or slow economic growth in the U.S. and abroad, interest rates, tariff and other trade barriers, fuel prices, international currency fluctuations, corruption, political instability, acts of war, including the ongoing war between Russia and Ukraine and the conflicts in the Middle East, acts of terrorism, natural disasters and public health crises or pandemics.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This type of litigation could result in very substantial costs, divert our management’s attention and resources, and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 over financial reporting and will be subject to other requirements that will be burdensome and costly.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8"/>
          <w:szCs w:val="18"/>
          <w:color w:val="auto"/>
        </w:rPr>
        <w:t>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as long as we are an “emerging growth company” under the JOBS Act or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and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stakeholder expectations regarding environmental, social, and governance matters may cause us to incur expenses and liabilities or otherwise adversely impact our business, financial condition, or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across industries may face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net operating loss, or NOL, carryforwards of $37.6 million for U.S. federal income tax purposes and $26.0 million for state income tax purposes, which may be available to offset our future taxable income, if any. Our U.S. federal NOL carryforwards are not subject to expiration, but may generally only be used to offset 80% of future taxable income in a given year. Our state NOL carryforwards begin to expire in 2028. Our state NOL carryforwards could expire unused, to the extent subject to expiration, and be unavailable to offset future taxable income.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We have not completed an analysis to determine whether any subsequent ownership changes have occurred and thus whether additional limitations have been triggered under Sections 382 and 383 of the Code since December 31, 2023. Furthermore, we may experience ownership changes in the future as a result of future transactions in our stock, some of which may be outside our control. If we undergo ownership changes in the future, our ability to use our NOL carryforwards and other tax attributes could be further limited.</w:t>
      </w:r>
    </w:p>
    <w:p>
      <w:pPr>
        <w:spacing w:after="0" w:line="200" w:lineRule="exact"/>
        <w:rPr>
          <w:sz w:val="20"/>
          <w:szCs w:val="20"/>
          <w:color w:val="auto"/>
        </w:rPr>
      </w:pPr>
    </w:p>
    <w:p>
      <w:pPr>
        <w:spacing w:after="0" w:line="2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no directors or “officers” (as defined in Rule 16a-1(f) under the Exchange Act) of the Company adopted, modified or terminated a “Rule 10b5-1 trading arrangement” and/or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2" w:name="page83"/>
    <w:bookmarkEnd w:id="8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36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36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020" w:type="dxa"/>
            <w:vAlign w:val="bottom"/>
            <w:vMerge w:val="restart"/>
          </w:tcPr>
          <w:p>
            <w:pPr>
              <w:jc w:val="right"/>
              <w:ind w:right="560"/>
              <w:spacing w:after="0"/>
              <w:rPr>
                <w:sz w:val="20"/>
                <w:szCs w:val="20"/>
                <w:color w:val="auto"/>
              </w:rPr>
            </w:pPr>
            <w:r>
              <w:rPr>
                <w:rFonts w:ascii="Times New Roman" w:cs="Times New Roman" w:eastAsia="Times New Roman" w:hAnsi="Times New Roman"/>
                <w:sz w:val="16"/>
                <w:szCs w:val="16"/>
                <w:color w:val="auto"/>
              </w:rPr>
              <w:t>2.1+</w:t>
            </w:r>
          </w:p>
        </w:tc>
        <w:tc>
          <w:tcPr>
            <w:tcW w:w="4360" w:type="dxa"/>
            <w:vAlign w:val="bottom"/>
            <w:gridSpan w:val="14"/>
          </w:tcPr>
          <w:p>
            <w:pPr>
              <w:spacing w:after="0"/>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Separation and Distribution Agreement between PDL BioPharma,</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20" w:type="dxa"/>
            <w:vAlign w:val="bottom"/>
            <w:vMerge w:val="continue"/>
          </w:tcPr>
          <w:p>
            <w:pPr>
              <w:spacing w:after="0"/>
              <w:rPr>
                <w:sz w:val="9"/>
                <w:szCs w:val="9"/>
                <w:color w:val="auto"/>
              </w:rPr>
            </w:pPr>
          </w:p>
        </w:tc>
        <w:tc>
          <w:tcPr>
            <w:tcW w:w="4360" w:type="dxa"/>
            <w:vAlign w:val="bottom"/>
            <w:gridSpan w:val="14"/>
            <w:vMerge w:val="restart"/>
          </w:tcPr>
          <w:p>
            <w:pPr>
              <w:spacing w:after="0" w:line="183" w:lineRule="exact"/>
              <w:rPr>
                <w:rFonts w:ascii="Times New Roman" w:cs="Times New Roman" w:eastAsia="Times New Roman" w:hAnsi="Times New Roman"/>
                <w:sz w:val="16"/>
                <w:szCs w:val="16"/>
                <w:color w:val="0000FF"/>
              </w:rPr>
            </w:pPr>
            <w:hyperlink r:id="rId299">
              <w:r>
                <w:rPr>
                  <w:rFonts w:ascii="Times New Roman" w:cs="Times New Roman" w:eastAsia="Times New Roman" w:hAnsi="Times New Roman"/>
                  <w:sz w:val="16"/>
                  <w:szCs w:val="16"/>
                  <w:color w:val="0000FF"/>
                </w:rPr>
                <w:t>Inc. and LENSAR, Inc.</w:t>
              </w:r>
            </w:hyperlink>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436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360" w:type="dxa"/>
            <w:vAlign w:val="bottom"/>
            <w:gridSpan w:val="14"/>
          </w:tcPr>
          <w:p>
            <w:pPr>
              <w:spacing w:after="0"/>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Agreement and Plan of Merger, dated as of March 23, 2025, by and</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restart"/>
          </w:tcPr>
          <w:p>
            <w:pPr>
              <w:jc w:val="right"/>
              <w:ind w:right="560"/>
              <w:spacing w:after="0"/>
              <w:rPr>
                <w:sz w:val="20"/>
                <w:szCs w:val="20"/>
                <w:color w:val="auto"/>
              </w:rPr>
            </w:pPr>
            <w:r>
              <w:rPr>
                <w:rFonts w:ascii="Times New Roman" w:cs="Times New Roman" w:eastAsia="Times New Roman" w:hAnsi="Times New Roman"/>
                <w:sz w:val="16"/>
                <w:szCs w:val="16"/>
                <w:color w:val="auto"/>
              </w:rPr>
              <w:t>2.2+</w:t>
            </w:r>
          </w:p>
        </w:tc>
        <w:tc>
          <w:tcPr>
            <w:tcW w:w="4360" w:type="dxa"/>
            <w:vAlign w:val="bottom"/>
            <w:gridSpan w:val="14"/>
          </w:tcPr>
          <w:p>
            <w:pPr>
              <w:spacing w:after="0" w:line="183" w:lineRule="exact"/>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among LENSAR, Inc., Alcon Research, LLC, and VMI Option</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20" w:type="dxa"/>
            <w:vAlign w:val="bottom"/>
            <w:vMerge w:val="continue"/>
          </w:tcPr>
          <w:p>
            <w:pPr>
              <w:spacing w:after="0"/>
              <w:rPr>
                <w:sz w:val="10"/>
                <w:szCs w:val="10"/>
                <w:color w:val="auto"/>
              </w:rPr>
            </w:pPr>
          </w:p>
        </w:tc>
        <w:tc>
          <w:tcPr>
            <w:tcW w:w="4360" w:type="dxa"/>
            <w:vAlign w:val="bottom"/>
            <w:gridSpan w:val="14"/>
            <w:vMerge w:val="restart"/>
          </w:tcPr>
          <w:p>
            <w:pPr>
              <w:spacing w:after="0" w:line="183" w:lineRule="exact"/>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Merger Sub, Inc.</w:t>
              </w:r>
            </w:hyperlink>
          </w:p>
        </w:tc>
        <w:tc>
          <w:tcPr>
            <w:tcW w:w="0" w:type="dxa"/>
            <w:vAlign w:val="bottom"/>
          </w:tcPr>
          <w:p>
            <w:pPr>
              <w:spacing w:after="0"/>
              <w:rPr>
                <w:sz w:val="1"/>
                <w:szCs w:val="1"/>
                <w:color w:val="auto"/>
              </w:rPr>
            </w:pPr>
          </w:p>
        </w:tc>
      </w:tr>
      <w:tr>
        <w:trPr>
          <w:trHeight w:val="60"/>
        </w:trPr>
        <w:tc>
          <w:tcPr>
            <w:tcW w:w="1020" w:type="dxa"/>
            <w:vAlign w:val="bottom"/>
          </w:tcPr>
          <w:p>
            <w:pPr>
              <w:spacing w:after="0"/>
              <w:rPr>
                <w:sz w:val="5"/>
                <w:szCs w:val="5"/>
                <w:color w:val="auto"/>
              </w:rPr>
            </w:pPr>
          </w:p>
        </w:tc>
        <w:tc>
          <w:tcPr>
            <w:tcW w:w="436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20" w:type="dxa"/>
            <w:vAlign w:val="bottom"/>
            <w:vMerge w:val="restart"/>
          </w:tcPr>
          <w:p>
            <w:pPr>
              <w:jc w:val="right"/>
              <w:ind w:right="640"/>
              <w:spacing w:after="0"/>
              <w:rPr>
                <w:sz w:val="20"/>
                <w:szCs w:val="20"/>
                <w:color w:val="auto"/>
              </w:rPr>
            </w:pPr>
            <w:r>
              <w:rPr>
                <w:rFonts w:ascii="Times New Roman" w:cs="Times New Roman" w:eastAsia="Times New Roman" w:hAnsi="Times New Roman"/>
                <w:sz w:val="16"/>
                <w:szCs w:val="16"/>
                <w:color w:val="auto"/>
              </w:rPr>
              <w:t>3.1</w:t>
            </w:r>
          </w:p>
        </w:tc>
        <w:tc>
          <w:tcPr>
            <w:tcW w:w="4360" w:type="dxa"/>
            <w:vAlign w:val="bottom"/>
            <w:gridSpan w:val="14"/>
          </w:tcPr>
          <w:p>
            <w:pPr>
              <w:spacing w:after="0"/>
              <w:rPr>
                <w:rFonts w:ascii="Times New Roman" w:cs="Times New Roman" w:eastAsia="Times New Roman" w:hAnsi="Times New Roman"/>
                <w:sz w:val="16"/>
                <w:szCs w:val="16"/>
                <w:color w:val="0000FF"/>
              </w:rPr>
            </w:pPr>
            <w:hyperlink r:id="rId301">
              <w:r>
                <w:rPr>
                  <w:rFonts w:ascii="Times New Roman" w:cs="Times New Roman" w:eastAsia="Times New Roman" w:hAnsi="Times New Roman"/>
                  <w:sz w:val="16"/>
                  <w:szCs w:val="16"/>
                  <w:color w:val="0000FF"/>
                </w:rPr>
                <w:t>Amended and Restated Certificate of Incorporation of LENSAR,</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20" w:type="dxa"/>
            <w:vAlign w:val="bottom"/>
            <w:vMerge w:val="continue"/>
          </w:tcPr>
          <w:p>
            <w:pPr>
              <w:spacing w:after="0"/>
              <w:rPr>
                <w:sz w:val="9"/>
                <w:szCs w:val="9"/>
                <w:color w:val="auto"/>
              </w:rPr>
            </w:pPr>
          </w:p>
        </w:tc>
        <w:tc>
          <w:tcPr>
            <w:tcW w:w="4360" w:type="dxa"/>
            <w:vAlign w:val="bottom"/>
            <w:gridSpan w:val="14"/>
            <w:vMerge w:val="restart"/>
          </w:tcPr>
          <w:p>
            <w:pPr>
              <w:spacing w:after="0" w:line="183" w:lineRule="exact"/>
              <w:rPr>
                <w:rFonts w:ascii="Times New Roman" w:cs="Times New Roman" w:eastAsia="Times New Roman" w:hAnsi="Times New Roman"/>
                <w:sz w:val="16"/>
                <w:szCs w:val="16"/>
                <w:color w:val="0000FF"/>
              </w:rPr>
            </w:pPr>
            <w:hyperlink r:id="rId301">
              <w:r>
                <w:rPr>
                  <w:rFonts w:ascii="Times New Roman" w:cs="Times New Roman" w:eastAsia="Times New Roman" w:hAnsi="Times New Roman"/>
                  <w:sz w:val="16"/>
                  <w:szCs w:val="16"/>
                  <w:color w:val="0000FF"/>
                </w:rPr>
                <w:t>Inc.</w:t>
              </w:r>
            </w:hyperlink>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436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rPr>
              <w:t>3.2</w:t>
            </w:r>
          </w:p>
        </w:tc>
        <w:tc>
          <w:tcPr>
            <w:tcW w:w="4360" w:type="dxa"/>
            <w:vAlign w:val="bottom"/>
            <w:gridSpan w:val="14"/>
          </w:tcPr>
          <w:p>
            <w:pPr>
              <w:spacing w:after="0"/>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Amended and Restated Bylaws of LENSAR, Inc.</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jc w:val="right"/>
              <w:ind w:right="640"/>
              <w:spacing w:after="0"/>
              <w:rPr>
                <w:sz w:val="20"/>
                <w:szCs w:val="20"/>
                <w:color w:val="auto"/>
              </w:rPr>
            </w:pPr>
            <w:r>
              <w:rPr>
                <w:rFonts w:ascii="Times New Roman" w:cs="Times New Roman" w:eastAsia="Times New Roman" w:hAnsi="Times New Roman"/>
                <w:sz w:val="16"/>
                <w:szCs w:val="16"/>
                <w:color w:val="auto"/>
              </w:rPr>
              <w:t>3.3</w:t>
            </w:r>
          </w:p>
        </w:tc>
        <w:tc>
          <w:tcPr>
            <w:tcW w:w="4360" w:type="dxa"/>
            <w:vAlign w:val="bottom"/>
            <w:gridSpan w:val="14"/>
          </w:tcPr>
          <w:p>
            <w:pPr>
              <w:spacing w:after="0"/>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Certificate of Designations, Preferences and Rights of Series A</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20" w:type="dxa"/>
            <w:vAlign w:val="bottom"/>
            <w:vMerge w:val="continue"/>
          </w:tcPr>
          <w:p>
            <w:pPr>
              <w:spacing w:after="0"/>
              <w:rPr>
                <w:sz w:val="9"/>
                <w:szCs w:val="9"/>
                <w:color w:val="auto"/>
              </w:rPr>
            </w:pPr>
          </w:p>
        </w:tc>
        <w:tc>
          <w:tcPr>
            <w:tcW w:w="4360" w:type="dxa"/>
            <w:vAlign w:val="bottom"/>
            <w:gridSpan w:val="14"/>
            <w:vMerge w:val="restart"/>
          </w:tcPr>
          <w:p>
            <w:pPr>
              <w:spacing w:after="0" w:line="183" w:lineRule="exact"/>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Convertible Preferred Stock filed May 18, 2023</w:t>
              </w:r>
            </w:hyperlink>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436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rPr>
              <w:t>4.1</w:t>
            </w:r>
          </w:p>
        </w:tc>
        <w:tc>
          <w:tcPr>
            <w:tcW w:w="4360" w:type="dxa"/>
            <w:vAlign w:val="bottom"/>
            <w:gridSpan w:val="14"/>
          </w:tcPr>
          <w:p>
            <w:pPr>
              <w:spacing w:after="0"/>
              <w:rPr>
                <w:rFonts w:ascii="Times New Roman" w:cs="Times New Roman" w:eastAsia="Times New Roman" w:hAnsi="Times New Roman"/>
                <w:sz w:val="16"/>
                <w:szCs w:val="16"/>
                <w:color w:val="0000FF"/>
              </w:rPr>
            </w:pPr>
            <w:hyperlink r:id="rId304">
              <w:r>
                <w:rPr>
                  <w:rFonts w:ascii="Times New Roman" w:cs="Times New Roman" w:eastAsia="Times New Roman" w:hAnsi="Times New Roman"/>
                  <w:sz w:val="16"/>
                  <w:szCs w:val="16"/>
                  <w:color w:val="0000FF"/>
                </w:rPr>
                <w:t>Form of Certificate of Common Stock</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jc w:val="right"/>
              <w:ind w:right="640"/>
              <w:spacing w:after="0"/>
              <w:rPr>
                <w:sz w:val="20"/>
                <w:szCs w:val="20"/>
                <w:color w:val="auto"/>
              </w:rPr>
            </w:pPr>
            <w:r>
              <w:rPr>
                <w:rFonts w:ascii="Times New Roman" w:cs="Times New Roman" w:eastAsia="Times New Roman" w:hAnsi="Times New Roman"/>
                <w:sz w:val="16"/>
                <w:szCs w:val="16"/>
                <w:color w:val="auto"/>
              </w:rPr>
              <w:t>4.2</w:t>
            </w:r>
          </w:p>
        </w:tc>
        <w:tc>
          <w:tcPr>
            <w:tcW w:w="4360" w:type="dxa"/>
            <w:vAlign w:val="bottom"/>
            <w:gridSpan w:val="14"/>
          </w:tcPr>
          <w:p>
            <w:pPr>
              <w:spacing w:after="0"/>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Registration Rights Agreement, dated May 12, 2023, between</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20" w:type="dxa"/>
            <w:vAlign w:val="bottom"/>
            <w:vMerge w:val="continue"/>
          </w:tcPr>
          <w:p>
            <w:pPr>
              <w:spacing w:after="0"/>
              <w:rPr>
                <w:sz w:val="9"/>
                <w:szCs w:val="9"/>
                <w:color w:val="auto"/>
              </w:rPr>
            </w:pPr>
          </w:p>
        </w:tc>
        <w:tc>
          <w:tcPr>
            <w:tcW w:w="4360" w:type="dxa"/>
            <w:vAlign w:val="bottom"/>
            <w:gridSpan w:val="14"/>
            <w:vMerge w:val="restart"/>
          </w:tcPr>
          <w:p>
            <w:pPr>
              <w:spacing w:after="0" w:line="183" w:lineRule="exact"/>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LENSAR, Inc, and NR-GRI Partners, LP</w:t>
              </w:r>
            </w:hyperlink>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436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rPr>
              <w:t>4.3</w:t>
            </w:r>
          </w:p>
        </w:tc>
        <w:tc>
          <w:tcPr>
            <w:tcW w:w="4360" w:type="dxa"/>
            <w:vAlign w:val="bottom"/>
            <w:gridSpan w:val="14"/>
          </w:tcPr>
          <w:p>
            <w:pPr>
              <w:spacing w:after="0"/>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Class A Common Stock Purchase Warrant, dated May 18, 2023</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9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rPr>
              <w:t>4.4</w:t>
            </w:r>
          </w:p>
        </w:tc>
        <w:tc>
          <w:tcPr>
            <w:tcW w:w="4360" w:type="dxa"/>
            <w:vAlign w:val="bottom"/>
            <w:gridSpan w:val="14"/>
          </w:tcPr>
          <w:p>
            <w:pPr>
              <w:spacing w:after="0"/>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Class B Common Stock Purchase Warrant, dated May 18, 2023</w:t>
              </w:r>
            </w:hyperlink>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920" w:type="dxa"/>
            <w:vAlign w:val="bottom"/>
            <w:tcBorders>
              <w:right w:val="single" w:sz="8" w:color="0000EE"/>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jc w:val="right"/>
              <w:ind w:right="640"/>
              <w:spacing w:after="0" w:line="183" w:lineRule="exact"/>
              <w:rPr>
                <w:sz w:val="20"/>
                <w:szCs w:val="20"/>
                <w:color w:val="auto"/>
              </w:rPr>
            </w:pPr>
            <w:r>
              <w:rPr>
                <w:rFonts w:ascii="Times New Roman" w:cs="Times New Roman" w:eastAsia="Times New Roman" w:hAnsi="Times New Roman"/>
                <w:sz w:val="16"/>
                <w:szCs w:val="16"/>
                <w:color w:val="auto"/>
                <w:w w:val="99"/>
              </w:rPr>
              <w:t>31.1</w:t>
            </w:r>
          </w:p>
        </w:tc>
        <w:tc>
          <w:tcPr>
            <w:tcW w:w="43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14(a) or Rule 15d-14(a) of the Securities Exchange Act of 1934, as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3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amended</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tcPr>
          <w:p>
            <w:pPr>
              <w:jc w:val="right"/>
              <w:ind w:right="640"/>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43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14(a) or Rule 15d-14(a) of the Securities Exchange Act of 1934, as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3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amended</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jc w:val="right"/>
              <w:ind w:right="640"/>
              <w:spacing w:after="0" w:line="183" w:lineRule="exact"/>
              <w:rPr>
                <w:sz w:val="20"/>
                <w:szCs w:val="20"/>
                <w:color w:val="auto"/>
              </w:rPr>
            </w:pPr>
            <w:r>
              <w:rPr>
                <w:rFonts w:ascii="Times New Roman" w:cs="Times New Roman" w:eastAsia="Times New Roman" w:hAnsi="Times New Roman"/>
                <w:sz w:val="16"/>
                <w:szCs w:val="16"/>
                <w:color w:val="auto"/>
                <w:w w:val="99"/>
              </w:rPr>
              <w:t>32.1</w:t>
            </w:r>
          </w:p>
        </w:tc>
        <w:tc>
          <w:tcPr>
            <w:tcW w:w="43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4"/>
            <w:shd w:val="clear" w:color="auto" w:fill="0000FF"/>
          </w:tcPr>
          <w:p>
            <w:pPr>
              <w:spacing w:after="0" w:line="20" w:lineRule="exact"/>
              <w:rPr>
                <w:sz w:val="1"/>
                <w:szCs w:val="1"/>
                <w:color w:val="auto"/>
              </w:rPr>
            </w:pPr>
          </w:p>
        </w:tc>
        <w:tc>
          <w:tcPr>
            <w:tcW w:w="29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3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Oxley Act of 2002</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gridSpan w:val="4"/>
            <w:shd w:val="clear" w:color="auto" w:fill="0000FF"/>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180" w:type="dxa"/>
            <w:vAlign w:val="bottom"/>
            <w:gridSpan w:val="1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jc w:val="right"/>
              <w:ind w:right="640"/>
              <w:spacing w:after="0" w:line="183" w:lineRule="exact"/>
              <w:rPr>
                <w:sz w:val="20"/>
                <w:szCs w:val="20"/>
                <w:color w:val="auto"/>
              </w:rPr>
            </w:pPr>
            <w:r>
              <w:rPr>
                <w:rFonts w:ascii="Times New Roman" w:cs="Times New Roman" w:eastAsia="Times New Roman" w:hAnsi="Times New Roman"/>
                <w:sz w:val="16"/>
                <w:szCs w:val="16"/>
                <w:color w:val="auto"/>
                <w:w w:val="99"/>
              </w:rPr>
              <w:t>32.2</w:t>
            </w:r>
          </w:p>
        </w:tc>
        <w:tc>
          <w:tcPr>
            <w:tcW w:w="43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260" w:type="dxa"/>
            <w:vAlign w:val="bottom"/>
            <w:gridSpan w:val="1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360" w:type="dxa"/>
            <w:vAlign w:val="bottom"/>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Oxley Act of 2002</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gridSpan w:val="4"/>
            <w:shd w:val="clear" w:color="auto" w:fill="0000FF"/>
          </w:tcPr>
          <w:p>
            <w:pPr>
              <w:spacing w:after="0" w:line="20" w:lineRule="exact"/>
              <w:rPr>
                <w:sz w:val="1"/>
                <w:szCs w:val="1"/>
                <w:color w:val="auto"/>
              </w:rPr>
            </w:pPr>
          </w:p>
        </w:tc>
        <w:tc>
          <w:tcPr>
            <w:tcW w:w="31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spacing w:after="0"/>
              <w:rPr>
                <w:sz w:val="24"/>
                <w:szCs w:val="24"/>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3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101.SCH</w:t>
            </w:r>
          </w:p>
        </w:tc>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 With Embedded</w:t>
            </w:r>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41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Linkbase Documents</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000" w:right="20" w:hanging="992"/>
        <w:spacing w:after="0" w:line="183" w:lineRule="auto"/>
        <w:tabs>
          <w:tab w:leader="none" w:pos="1000" w:val="left"/>
        </w:tabs>
        <w:numPr>
          <w:ilvl w:val="0"/>
          <w:numId w:val="47"/>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Cover Page Interactive Data File (as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9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8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96"/>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3/24/2025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Form 10-Q</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11/07/2024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5/18/2023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w w:val="98"/>
              </w:rPr>
              <w:t>Form 10/A</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9/14/2020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5/15/2023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5/18/2023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rPr>
              <w:t>Form 8-K</w:t>
            </w: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001-39473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5/18/2023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3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333" w:lineRule="exact"/>
        <w:rPr>
          <w:sz w:val="20"/>
          <w:szCs w:val="20"/>
          <w:color w:val="auto"/>
        </w:rPr>
      </w:pPr>
    </w:p>
    <w:p>
      <w:pPr>
        <w:sectPr>
          <w:pgSz w:w="11900" w:h="16838" w:orient="portrait"/>
          <w:cols w:equalWidth="0" w:num="2">
            <w:col w:w="5380" w:space="200"/>
            <w:col w:w="5660"/>
          </w:cols>
          <w:pgMar w:left="320" w:top="981" w:right="339" w:bottom="1440" w:gutter="0" w:footer="0" w:header="0"/>
        </w:sectPr>
      </w:pPr>
    </w:p>
    <w:p>
      <w:pPr>
        <w:spacing w:after="0" w:line="31" w:lineRule="exact"/>
        <w:rPr>
          <w:sz w:val="20"/>
          <w:szCs w:val="20"/>
          <w:color w:val="auto"/>
        </w:rPr>
      </w:pPr>
    </w:p>
    <w:p>
      <w:pPr>
        <w:ind w:left="380" w:hanging="372"/>
        <w:spacing w:after="0" w:line="266" w:lineRule="auto"/>
        <w:tabs>
          <w:tab w:leader="none" w:pos="1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attachments to certain of these exhibits have been omitted pursuant to Regulation S-K, Item 601(a)(5). The Company hereby undertakes to furnish supplemental copies of any of the omitted exhibits and schedules upon request by the SEC; provided, however, that the Company may request confidential treatment pursuant to Rule 24b-2 of the Exchange Act for any exhibits or schedules so furnished.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rPr>
              <w:t>LENSAR,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792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By: /s/ Nicholas T. Curtis</w:t>
            </w:r>
          </w:p>
        </w:tc>
      </w:tr>
      <w:tr>
        <w:trPr>
          <w:trHeight w:val="191"/>
        </w:trPr>
        <w:tc>
          <w:tcPr>
            <w:tcW w:w="33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Nicholas T. Curtis</w:t>
            </w:r>
          </w:p>
        </w:tc>
      </w:tr>
      <w:tr>
        <w:trPr>
          <w:trHeight w:val="216"/>
        </w:trPr>
        <w:tc>
          <w:tcPr>
            <w:tcW w:w="3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388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R. Staab, II</w:t>
            </w:r>
          </w:p>
        </w:tc>
      </w:tr>
      <w:tr>
        <w:trPr>
          <w:trHeight w:val="191"/>
        </w:trPr>
        <w:tc>
          <w:tcPr>
            <w:tcW w:w="33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R. Staab, II</w:t>
            </w:r>
          </w:p>
        </w:tc>
      </w:tr>
      <w:tr>
        <w:trPr>
          <w:trHeight w:val="216"/>
        </w:trPr>
        <w:tc>
          <w:tcPr>
            <w:tcW w:w="3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388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Kendra W. Wong</w:t>
            </w:r>
          </w:p>
        </w:tc>
      </w:tr>
      <w:tr>
        <w:trPr>
          <w:trHeight w:val="191"/>
        </w:trPr>
        <w:tc>
          <w:tcPr>
            <w:tcW w:w="33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Kendra W. Wong</w:t>
            </w:r>
          </w:p>
        </w:tc>
      </w:tr>
      <w:tr>
        <w:trPr>
          <w:trHeight w:val="216"/>
        </w:trPr>
        <w:tc>
          <w:tcPr>
            <w:tcW w:w="3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4"/>
        </w:trPr>
        <w:tc>
          <w:tcPr>
            <w:tcW w:w="33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48"/>
        </w:trPr>
        <w:tc>
          <w:tcPr>
            <w:tcW w:w="3320" w:type="dxa"/>
            <w:vAlign w:val="bottom"/>
          </w:tcPr>
          <w:p>
            <w:pPr>
              <w:spacing w:after="0"/>
              <w:rPr>
                <w:sz w:val="24"/>
                <w:szCs w:val="24"/>
                <w:color w:val="auto"/>
              </w:rPr>
            </w:pPr>
          </w:p>
        </w:tc>
        <w:tc>
          <w:tcPr>
            <w:tcW w:w="38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78</w:t>
            </w:r>
          </w:p>
        </w:tc>
        <w:tc>
          <w:tcPr>
            <w:tcW w:w="4040" w:type="dxa"/>
            <w:vAlign w:val="bottom"/>
          </w:tcPr>
          <w:p>
            <w:pPr>
              <w:spacing w:after="0"/>
              <w:rPr>
                <w:sz w:val="24"/>
                <w:szCs w:val="24"/>
                <w:color w:val="auto"/>
              </w:rPr>
            </w:pPr>
          </w:p>
        </w:tc>
      </w:tr>
      <w:tr>
        <w:trPr>
          <w:trHeight w:val="763"/>
        </w:trPr>
        <w:tc>
          <w:tcPr>
            <w:tcW w:w="33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T. Curtis,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LENSAR,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60" w:val="left"/>
          <w:tab w:leader="none" w:pos="784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 Staab, II,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LENSAR,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60" w:val="left"/>
          <w:tab w:leader="none" w:pos="778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LENSAR, Inc. (the “Company”) for the quarterly period ended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LENSAR, Inc. (the “Company”) for the quarterly period ended June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78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Roman"/>
      <w:start w:val="2"/>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lowerRoman"/>
      <w:start w:val="5"/>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04"/>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299" Type="http://schemas.openxmlformats.org/officeDocument/2006/relationships/hyperlink" Target="https://www.sec.gov/Archives/edgar/data/1320350/000119312520262511/d98252dex21.htm" TargetMode="External"/><Relationship Id="rId300" Type="http://schemas.openxmlformats.org/officeDocument/2006/relationships/hyperlink" Target="https://www.sec.gov/Archives/edgar/data/1320350/000119312525060906/d933651dex21.htm" TargetMode="External"/><Relationship Id="rId301" Type="http://schemas.openxmlformats.org/officeDocument/2006/relationships/hyperlink" Target="https://www.sec.gov/Archives/edgar/data/1320350/000119312520262511/d98252dex31.htm" TargetMode="External"/><Relationship Id="rId302" Type="http://schemas.openxmlformats.org/officeDocument/2006/relationships/hyperlink" Target="https://www.sec.gov/Archives/edgar/data/1320350/000095017024123534/lnsr-ex3_2.htm" TargetMode="External"/><Relationship Id="rId303" Type="http://schemas.openxmlformats.org/officeDocument/2006/relationships/hyperlink" Target="https://www.sec.gov/Archives/edgar/data/1320350/000119312523148214/d487803dex31.htm" TargetMode="External"/><Relationship Id="rId304" Type="http://schemas.openxmlformats.org/officeDocument/2006/relationships/hyperlink" Target="https://www.sec.gov/Archives/edgar/data/1320350/000119312520245277/d945311dex41.htm" TargetMode="External"/><Relationship Id="rId305" Type="http://schemas.openxmlformats.org/officeDocument/2006/relationships/hyperlink" Target="https://www.sec.gov/Archives/edgar/data/1320350/000119312523144213/d510326dex102.htm" TargetMode="External"/><Relationship Id="rId306" Type="http://schemas.openxmlformats.org/officeDocument/2006/relationships/hyperlink" Target="https://www.sec.gov/Archives/edgar/data/1320350/000119312523148214/d487803dex41.htm" TargetMode="External"/><Relationship Id="rId307" Type="http://schemas.openxmlformats.org/officeDocument/2006/relationships/hyperlink" Target="https://www.sec.gov/Archives/edgar/data/1320350/000119312523148214/d48780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2025-08-07T15:23:11Z</dcterms:created>
  <dcterms:modified xsi:type="dcterms:W3CDTF">2025-08-07T15:23:11Z</dcterms:modified>
</cp:coreProperties>
</file>