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ashington</w:t>
      </w:r>
      <w:r>
        <w:rPr>
          <w:rFonts w:ascii="Times New Roman" w:cs="Times New Roman" w:eastAsia="Times New Roman" w:hAnsi="Times New Roman"/>
          <w:sz w:val="18"/>
          <w:szCs w:val="18"/>
          <w:b w:val="1"/>
          <w:bCs w:val="1"/>
          <w:color w:val="auto"/>
        </w:rPr>
        <w:t>,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74295</wp:posOffset>
            </wp:positionV>
            <wp:extent cx="19545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3780" w:right="3820" w:hanging="3772"/>
        <w:spacing w:after="0" w:line="253" w:lineRule="auto"/>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6340" w:type="dxa"/>
            <w:vAlign w:val="bottom"/>
            <w:gridSpan w:val="2"/>
          </w:tcPr>
          <w:p>
            <w:pPr>
              <w:ind w:left="330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60"/>
        </w:trPr>
        <w:tc>
          <w:tcPr>
            <w:tcW w:w="3360" w:type="dxa"/>
            <w:vAlign w:val="bottom"/>
          </w:tcPr>
          <w:p>
            <w:pPr>
              <w:spacing w:after="0"/>
              <w:rPr>
                <w:sz w:val="22"/>
                <w:szCs w:val="22"/>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001-39473</w:t>
            </w:r>
          </w:p>
        </w:tc>
        <w:tc>
          <w:tcPr>
            <w:tcW w:w="100" w:type="dxa"/>
            <w:vAlign w:val="bottom"/>
          </w:tcPr>
          <w:p>
            <w:pPr>
              <w:spacing w:after="0"/>
              <w:rPr>
                <w:sz w:val="22"/>
                <w:szCs w:val="22"/>
                <w:color w:val="auto"/>
              </w:rPr>
            </w:pPr>
          </w:p>
        </w:tc>
        <w:tc>
          <w:tcPr>
            <w:tcW w:w="2620" w:type="dxa"/>
            <w:vAlign w:val="bottom"/>
          </w:tcPr>
          <w:p>
            <w:pPr>
              <w:spacing w:after="0"/>
              <w:rPr>
                <w:sz w:val="22"/>
                <w:szCs w:val="22"/>
                <w:color w:val="auto"/>
              </w:rPr>
            </w:pPr>
          </w:p>
        </w:tc>
      </w:tr>
      <w:tr>
        <w:trPr>
          <w:trHeight w:val="108"/>
        </w:trPr>
        <w:tc>
          <w:tcPr>
            <w:tcW w:w="3360" w:type="dxa"/>
            <w:vAlign w:val="bottom"/>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r>
      <w:tr>
        <w:trPr>
          <w:trHeight w:val="475"/>
        </w:trPr>
        <w:tc>
          <w:tcPr>
            <w:tcW w:w="336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36"/>
                <w:szCs w:val="36"/>
                <w:b w:val="1"/>
                <w:bCs w:val="1"/>
                <w:color w:val="auto"/>
              </w:rPr>
              <w:t>LENSAR, INC.</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4"/>
        </w:trPr>
        <w:tc>
          <w:tcPr>
            <w:tcW w:w="906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108"/>
        </w:trPr>
        <w:tc>
          <w:tcPr>
            <w:tcW w:w="3360" w:type="dxa"/>
            <w:vAlign w:val="bottom"/>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r>
      <w:tr>
        <w:trPr>
          <w:trHeight w:val="286"/>
        </w:trPr>
        <w:tc>
          <w:tcPr>
            <w:tcW w:w="6340" w:type="dxa"/>
            <w:vAlign w:val="bottom"/>
            <w:gridSpan w:val="2"/>
          </w:tcPr>
          <w:p>
            <w:pPr>
              <w:jc w:val="center"/>
              <w:ind w:right="192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32-0125724</w:t>
            </w:r>
          </w:p>
        </w:tc>
      </w:tr>
      <w:tr>
        <w:trPr>
          <w:trHeight w:val="234"/>
        </w:trPr>
        <w:tc>
          <w:tcPr>
            <w:tcW w:w="6340" w:type="dxa"/>
            <w:vAlign w:val="bottom"/>
            <w:gridSpan w:val="2"/>
          </w:tcPr>
          <w:p>
            <w:pPr>
              <w:jc w:val="center"/>
              <w:ind w:right="1905"/>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0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2800 Discovery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Orlando, Florida 32826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(888) 536-7271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LNSR</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57150</wp:posOffset>
            </wp:positionV>
            <wp:extent cx="1954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14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30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8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88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28, 2026, there were 12,104,328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76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able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0000FF"/>
              </w:rPr>
              <w:t>Forward-Looking Statements</w:t>
            </w: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 Summary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2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7380" w:type="dxa"/>
            <w:vAlign w:val="bottom"/>
            <w:gridSpan w:val="13"/>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660" w:type="dxa"/>
            <w:vAlign w:val="bottom"/>
            <w:gridSpan w:val="3"/>
          </w:tcPr>
          <w:p>
            <w:pPr>
              <w:spacing w:after="0"/>
              <w:rPr>
                <w:sz w:val="21"/>
                <w:szCs w:val="21"/>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Statements of Operations and Comprehensive Loss (Unaudited)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Balance Sheets (Unaudited)</w:t>
            </w:r>
          </w:p>
        </w:tc>
        <w:tc>
          <w:tcPr>
            <w:tcW w:w="20" w:type="dxa"/>
            <w:vAlign w:val="bottom"/>
            <w:tcBorders>
              <w:top w:val="single" w:sz="8" w:color="0000FF"/>
              <w:bottom w:val="single" w:sz="8" w:color="0000EE"/>
            </w:tcBorders>
          </w:tcPr>
          <w:p>
            <w:pPr>
              <w:spacing w:after="0"/>
              <w:rPr>
                <w:sz w:val="21"/>
                <w:szCs w:val="21"/>
                <w:color w:val="auto"/>
              </w:rPr>
            </w:pPr>
          </w:p>
        </w:tc>
        <w:tc>
          <w:tcPr>
            <w:tcW w:w="2560" w:type="dxa"/>
            <w:vAlign w:val="bottom"/>
            <w:tcBorders>
              <w:top w:val="single" w:sz="8" w:color="0000FF"/>
            </w:tcBorders>
            <w:gridSpan w:val="6"/>
          </w:tcPr>
          <w:p>
            <w:pPr>
              <w:spacing w:after="0"/>
              <w:rPr>
                <w:sz w:val="21"/>
                <w:szCs w:val="21"/>
                <w:color w:val="auto"/>
              </w:rPr>
            </w:pPr>
          </w:p>
        </w:tc>
        <w:tc>
          <w:tcPr>
            <w:tcW w:w="3960" w:type="dxa"/>
            <w:vAlign w:val="bottom"/>
            <w:gridSpan w:val="3"/>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Statements of Cash Flows (Unaudited)</w:t>
            </w:r>
          </w:p>
        </w:tc>
        <w:tc>
          <w:tcPr>
            <w:tcW w:w="5760" w:type="dxa"/>
            <w:vAlign w:val="bottom"/>
            <w:gridSpan w:val="8"/>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Statements of Changes in Redeemable Convertible Preferred Stock and Stockholders’ Equity (Deficit) (Unaudited)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1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the Condensed Financial Statements (Unaudited)</w:t>
            </w:r>
          </w:p>
        </w:tc>
        <w:tc>
          <w:tcPr>
            <w:tcW w:w="20" w:type="dxa"/>
            <w:vAlign w:val="bottom"/>
            <w:tcBorders>
              <w:top w:val="single" w:sz="8" w:color="0000FF"/>
              <w:bottom w:val="single" w:sz="8" w:color="0000EE"/>
            </w:tcBorders>
          </w:tcPr>
          <w:p>
            <w:pPr>
              <w:spacing w:after="0"/>
              <w:rPr>
                <w:sz w:val="21"/>
                <w:szCs w:val="21"/>
                <w:color w:val="auto"/>
              </w:rPr>
            </w:pPr>
          </w:p>
        </w:tc>
        <w:tc>
          <w:tcPr>
            <w:tcW w:w="4920" w:type="dxa"/>
            <w:vAlign w:val="bottom"/>
            <w:tcBorders>
              <w:top w:val="single" w:sz="8" w:color="0000FF"/>
            </w:tcBorders>
            <w:gridSpan w:val="5"/>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660" w:type="dxa"/>
            <w:vAlign w:val="bottom"/>
            <w:gridSpan w:val="3"/>
          </w:tcPr>
          <w:p>
            <w:pPr>
              <w:spacing w:after="0"/>
              <w:rPr>
                <w:sz w:val="21"/>
                <w:szCs w:val="21"/>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660" w:type="dxa"/>
            <w:vAlign w:val="bottom"/>
            <w:gridSpan w:val="3"/>
          </w:tcPr>
          <w:p>
            <w:pPr>
              <w:spacing w:after="0"/>
              <w:rPr>
                <w:sz w:val="21"/>
                <w:szCs w:val="21"/>
                <w:color w:val="auto"/>
              </w:rPr>
            </w:pPr>
          </w:p>
        </w:tc>
        <w:tc>
          <w:tcPr>
            <w:tcW w:w="436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2"/>
          </w:tcPr>
          <w:p>
            <w:pPr>
              <w:spacing w:after="0"/>
              <w:rPr>
                <w:sz w:val="21"/>
                <w:szCs w:val="21"/>
                <w:color w:val="auto"/>
              </w:rPr>
            </w:pPr>
          </w:p>
        </w:tc>
        <w:tc>
          <w:tcPr>
            <w:tcW w:w="2940" w:type="dxa"/>
            <w:vAlign w:val="bottom"/>
            <w:gridSpan w:val="2"/>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660" w:type="dxa"/>
            <w:vAlign w:val="bottom"/>
            <w:gridSpan w:val="3"/>
          </w:tcPr>
          <w:p>
            <w:pPr>
              <w:spacing w:after="0"/>
              <w:rPr>
                <w:sz w:val="21"/>
                <w:szCs w:val="21"/>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9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560" w:type="dxa"/>
            <w:vAlign w:val="bottom"/>
            <w:gridSpan w:val="3"/>
          </w:tcPr>
          <w:p>
            <w:pPr>
              <w:spacing w:after="0"/>
              <w:rPr>
                <w:sz w:val="21"/>
                <w:szCs w:val="21"/>
                <w:color w:val="auto"/>
              </w:rPr>
            </w:pPr>
          </w:p>
        </w:tc>
        <w:tc>
          <w:tcPr>
            <w:tcW w:w="2020" w:type="dxa"/>
            <w:vAlign w:val="bottom"/>
            <w:gridSpan w:val="6"/>
          </w:tcPr>
          <w:p>
            <w:pPr>
              <w:spacing w:after="0"/>
              <w:rPr>
                <w:sz w:val="21"/>
                <w:szCs w:val="21"/>
                <w:color w:val="auto"/>
              </w:rPr>
            </w:pPr>
          </w:p>
        </w:tc>
        <w:tc>
          <w:tcPr>
            <w:tcW w:w="5060" w:type="dxa"/>
            <w:vAlign w:val="bottom"/>
            <w:gridSpan w:val="5"/>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660" w:type="dxa"/>
            <w:vAlign w:val="bottom"/>
            <w:gridSpan w:val="3"/>
          </w:tcPr>
          <w:p>
            <w:pPr>
              <w:spacing w:after="0"/>
              <w:rPr>
                <w:sz w:val="21"/>
                <w:szCs w:val="21"/>
                <w:color w:val="auto"/>
              </w:rPr>
            </w:pP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060" w:type="dxa"/>
            <w:vAlign w:val="bottom"/>
            <w:gridSpan w:val="17"/>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12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660" w:type="dxa"/>
            <w:vAlign w:val="bottom"/>
            <w:gridSpan w:val="3"/>
          </w:tcPr>
          <w:p>
            <w:pPr>
              <w:spacing w:after="0"/>
              <w:rPr>
                <w:sz w:val="21"/>
                <w:szCs w:val="21"/>
                <w:color w:val="auto"/>
              </w:rPr>
            </w:pPr>
          </w:p>
        </w:tc>
        <w:tc>
          <w:tcPr>
            <w:tcW w:w="43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060" w:type="dxa"/>
            <w:vAlign w:val="bottom"/>
            <w:gridSpan w:val="5"/>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660" w:type="dxa"/>
            <w:vAlign w:val="bottom"/>
            <w:gridSpan w:val="3"/>
          </w:tcPr>
          <w:p>
            <w:pPr>
              <w:spacing w:after="0"/>
              <w:rPr>
                <w:sz w:val="21"/>
                <w:szCs w:val="21"/>
                <w:color w:val="auto"/>
              </w:rPr>
            </w:pPr>
          </w:p>
        </w:tc>
        <w:tc>
          <w:tcPr>
            <w:tcW w:w="23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80" w:type="dxa"/>
            <w:vAlign w:val="bottom"/>
            <w:gridSpan w:val="11"/>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660" w:type="dxa"/>
            <w:vAlign w:val="bottom"/>
            <w:gridSpan w:val="3"/>
          </w:tcPr>
          <w:p>
            <w:pPr>
              <w:spacing w:after="0"/>
              <w:rPr>
                <w:sz w:val="21"/>
                <w:szCs w:val="21"/>
                <w:color w:val="auto"/>
              </w:rPr>
            </w:pP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4"/>
          </w:tcPr>
          <w:p>
            <w:pPr>
              <w:spacing w:after="0"/>
              <w:rPr>
                <w:sz w:val="21"/>
                <w:szCs w:val="21"/>
                <w:color w:val="auto"/>
              </w:rPr>
            </w:pPr>
          </w:p>
        </w:tc>
        <w:tc>
          <w:tcPr>
            <w:tcW w:w="7640" w:type="dxa"/>
            <w:vAlign w:val="bottom"/>
            <w:gridSpan w:val="14"/>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660" w:type="dxa"/>
            <w:vAlign w:val="bottom"/>
            <w:gridSpan w:val="3"/>
          </w:tcPr>
          <w:p>
            <w:pPr>
              <w:spacing w:after="0"/>
              <w:rPr>
                <w:sz w:val="21"/>
                <w:szCs w:val="21"/>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391"/>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without limitation statements regarding the impact of the termination of the Merger Agreement (as defined below), business model and strategic plans for our products, technologies and business, including our implementation thereof; the impact on our business, financial condition and results of operation from macroeconomic conditions; the timing of and our ability to obtain and maintain regulatory approvals and certifications; our expectations about our ability to successfully commercialize and further develop our next generation system, the ALLY Robotic Cataract Laser System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(“ALLY System”), and the timing thereof; the ALLY System's performance and market impact; the sufficiency of our cash and cash equivalents; industry trends and conditions impacting various markets in which we operate; and the plans and objectives of management for future operations and capital expenditures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2. “Management’s Discussion and Analysis of Financial Condition and Results of Operations” and Part II. Item 1A. “Risk Factors” in this Quarterly Report. These risks and uncertainties include, but are not limited to:</w:t>
      </w:r>
    </w:p>
    <w:p>
      <w:pPr>
        <w:spacing w:after="0" w:line="75"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anticipated effects of the termination of the Merger Agreement (as defined below) on the value of our common stock;</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 and others relating to the Merger;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and ability to achieve or sustain profitability;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receive and maintain regulatory clearance or certification of and successfully commercialize the ALLY System and to maintain our LENSAR Laser System (“LLS”) (collectively the “Systems”);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results of operations and our suppliers and distributors as a result of global macroeconomic conditions;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the price difference for our products compared to a standard cataract procedure covered by Medicare or other insurance;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U.S. sales and marketing organization or maintain or grow an effective network of international distributors;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 and our ability to raise additional funds on acceptable terms, or at all;</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and results of operations as a result of a material disruption to the supply or manufacture of our Systems or necessary component parts for such Systems or material inflationary pressures or enacted tariffs affecting pricing of component parts;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competitors that have longer operating histories, more established products and greater resources than we do;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address the numerous risks associated with marketing, selling and leasing our products in markets outside the United States;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and results of operations as a result of exposure to the credit risk of our customers;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customer demand and manage our inventory levels;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and results of operations if we are unable to secure adequate coverage or reimbursement by government or other third-party payors for procedures using our ALLY System or our other products, or changes in such coverage or reimbursement;</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and results of operations of product liability suits brought against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 regulation applicable to our products and operations;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intellectual property and other intellectual property matters.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have no obligation to publicly update or revise any forward-looking statements contained herein, whether as a result of any new information, future events, changed circumstances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or the context requires otherwise, references to “LENSAR,” the “Company,” “we,” “us,” and “our,” refer to LENSAR, Inc.</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or have registered rights to certain trademarks, trade names, copyrights and other intellectual property used in our business, including LENSAR, the LENSAR logo, Streamline, IntelliAxis, IntelliAxis Refractive Capsulorhexis, ALLY, Intelligent Incisions, Augmented Reality, ALLY Robotic Cataract Laser System, and the ALLY Robotic Cataract Laser System logo, ALLY Robotic Laser Cataract Surgery, Robotic Laser Cataract Surgery, and the Robotic Laser Cataract Surgery logo, each of which is considered a trademark. All other company names, product names, trade names and trademarks included in this Quarterly Report are trademarks, registered trademarks or trade names of their respective owners.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You should carefully consider these risks and uncertainties when investing in our common stock. The principal risks and uncertainties affecting our business include the following:</w:t>
      </w:r>
    </w:p>
    <w:p>
      <w:pPr>
        <w:spacing w:after="0" w:line="149" w:lineRule="exact"/>
        <w:rPr>
          <w:sz w:val="20"/>
          <w:szCs w:val="20"/>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the termination of the Merger Agreement could negatively impact our business, financial condition, results of operations or our stock price.</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shareholder litigation related to the termination of the Merger Agreement, which could result in payment of damages.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have been in the past, and could be in the future, adversely affected by economic uncertainty or deteriorations in economic conditions.</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and expect to incur operating losses for the near-term future and we cannot assure you that we will be able to generate sufficient revenue to achieve or sustain profitability.</w:t>
      </w:r>
    </w:p>
    <w:p>
      <w:pPr>
        <w:spacing w:after="0" w:line="12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derived our revenue from the sale or lease of our Systems as well as the associated procedure licenses and sale of consumables used in each procedure involving our Systems. The commercial success of our ALLY System will depend upon receipt of additional regulatory clearances or certifications and our ability to maintain and grow significant market acceptance for it.</w:t>
      </w:r>
    </w:p>
    <w:p>
      <w:pPr>
        <w:spacing w:after="0" w:line="13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on our ability to gain regulatory clearances and certifications, as well as our ability to meet production goals for our ALLY System.</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p>
    <w:p>
      <w:pPr>
        <w:spacing w:after="0" w:line="12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effectively grow our U.S. sales and marketing organization or maintain or grow an effective network of international distributors, our business prospects, results of operations and financial condition could be adversely affected.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 are uncertain and we may need to raise additional funds in the future, and such funds may not be available on acceptable terms or at all.</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compete, and expect to compete in the future against other companies, some of which have longer operating histories, more established products or greater resources than we do.</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successfully market, sell and lease our products in markets outside of the United States, we must address many international business risks with which we have limited experience.</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operations are subject to extensive government regulation and oversight both in the United States and abroad, and our failure to comply with applicable requirements could harm our business.</w:t>
      </w:r>
    </w:p>
    <w:p>
      <w:pPr>
        <w:spacing w:after="0" w:line="12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receive, or may be delayed in receiving, the necessary clearances, certifications or approvals for our future products, or modifications to our current products, and failure to timely obtain additional clearances, certifications or approvals for our ALLY System and future products or modifications to our current products would adversely affect our ability to grow our business.</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will depend on our ability to obtain, maintain and protect our intellectual property rights.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7"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9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w:t>
            </w:r>
          </w:p>
        </w:tc>
        <w:tc>
          <w:tcPr>
            <w:tcW w:w="1260" w:type="dxa"/>
            <w:vAlign w:val="bottom"/>
            <w:gridSpan w:val="2"/>
          </w:tcPr>
          <w:p>
            <w:pPr>
              <w:jc w:val="right"/>
              <w:ind w:right="844"/>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10,076</w:t>
            </w:r>
          </w:p>
        </w:tc>
        <w:tc>
          <w:tcPr>
            <w:tcW w:w="160" w:type="dxa"/>
            <w:vAlign w:val="bottom"/>
          </w:tcPr>
          <w:p>
            <w:pPr>
              <w:spacing w:after="0"/>
              <w:rPr>
                <w:sz w:val="17"/>
                <w:szCs w:val="17"/>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10,918</w:t>
            </w:r>
          </w:p>
        </w:tc>
        <w:tc>
          <w:tcPr>
            <w:tcW w:w="100" w:type="dxa"/>
            <w:vAlign w:val="bottom"/>
          </w:tcPr>
          <w:p>
            <w:pPr>
              <w:spacing w:after="0"/>
              <w:rPr>
                <w:sz w:val="17"/>
                <w:szCs w:val="17"/>
                <w:color w:val="auto"/>
              </w:rPr>
            </w:pPr>
          </w:p>
        </w:tc>
      </w:tr>
      <w:tr>
        <w:trPr>
          <w:trHeight w:val="203"/>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Lease</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100" w:type="dxa"/>
            <w:vAlign w:val="bottom"/>
            <w:shd w:val="clear" w:color="auto" w:fill="CFF0FC"/>
          </w:tcPr>
          <w:p>
            <w:pPr>
              <w:spacing w:after="0"/>
              <w:rPr>
                <w:sz w:val="17"/>
                <w:szCs w:val="17"/>
                <w:color w:val="auto"/>
              </w:rPr>
            </w:pPr>
          </w:p>
        </w:tc>
      </w:tr>
      <w:tr>
        <w:trPr>
          <w:trHeight w:val="203"/>
        </w:trPr>
        <w:tc>
          <w:tcPr>
            <w:tcW w:w="7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w:t>
            </w:r>
          </w:p>
        </w:tc>
        <w:tc>
          <w:tcPr>
            <w:tcW w:w="2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tcPr>
          <w:p>
            <w:pPr>
              <w:spacing w:after="0"/>
              <w:rPr>
                <w:sz w:val="17"/>
                <w:szCs w:val="17"/>
                <w:color w:val="auto"/>
              </w:rPr>
            </w:pPr>
          </w:p>
        </w:tc>
      </w:tr>
      <w:tr>
        <w:trPr>
          <w:trHeight w:val="196"/>
        </w:trPr>
        <w:tc>
          <w:tcPr>
            <w:tcW w:w="74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13,428</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revenue (exclusive of amortization)</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Product</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4,466</w:t>
            </w:r>
          </w:p>
        </w:tc>
        <w:tc>
          <w:tcPr>
            <w:tcW w:w="100" w:type="dxa"/>
            <w:vAlign w:val="bottom"/>
            <w:shd w:val="clear" w:color="auto" w:fill="CFF0FC"/>
          </w:tcPr>
          <w:p>
            <w:pPr>
              <w:spacing w:after="0"/>
              <w:rPr>
                <w:sz w:val="17"/>
                <w:szCs w:val="17"/>
                <w:color w:val="auto"/>
              </w:rPr>
            </w:pPr>
          </w:p>
        </w:tc>
      </w:tr>
      <w:tr>
        <w:trPr>
          <w:trHeight w:val="203"/>
        </w:trPr>
        <w:tc>
          <w:tcPr>
            <w:tcW w:w="7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tcPr>
          <w:p>
            <w:pPr>
              <w:spacing w:after="0"/>
              <w:rPr>
                <w:sz w:val="17"/>
                <w:szCs w:val="17"/>
                <w:color w:val="auto"/>
              </w:rPr>
            </w:pPr>
          </w:p>
        </w:tc>
      </w:tr>
      <w:tr>
        <w:trPr>
          <w:trHeight w:val="203"/>
        </w:trPr>
        <w:tc>
          <w:tcPr>
            <w:tcW w:w="74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Service</w:t>
            </w:r>
          </w:p>
        </w:tc>
        <w:tc>
          <w:tcPr>
            <w:tcW w:w="2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cost of revenue</w:t>
            </w:r>
          </w:p>
        </w:tc>
        <w:tc>
          <w:tcPr>
            <w:tcW w:w="2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7,034</w:t>
            </w:r>
          </w:p>
        </w:tc>
        <w:tc>
          <w:tcPr>
            <w:tcW w:w="100" w:type="dxa"/>
            <w:vAlign w:val="bottom"/>
          </w:tcPr>
          <w:p>
            <w:pPr>
              <w:spacing w:after="0"/>
              <w:rPr>
                <w:sz w:val="17"/>
                <w:szCs w:val="17"/>
                <w:color w:val="auto"/>
              </w:rPr>
            </w:pPr>
          </w:p>
        </w:tc>
      </w:tr>
      <w:tr>
        <w:trPr>
          <w:trHeight w:val="19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11,149</w:t>
            </w:r>
          </w:p>
        </w:tc>
        <w:tc>
          <w:tcPr>
            <w:tcW w:w="100" w:type="dxa"/>
            <w:vAlign w:val="bottom"/>
          </w:tcPr>
          <w:p>
            <w:pPr>
              <w:spacing w:after="0"/>
              <w:rPr>
                <w:sz w:val="17"/>
                <w:szCs w:val="17"/>
                <w:color w:val="auto"/>
              </w:rPr>
            </w:pPr>
          </w:p>
        </w:tc>
      </w:tr>
      <w:tr>
        <w:trPr>
          <w:trHeight w:val="203"/>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100" w:type="dxa"/>
            <w:vAlign w:val="bottom"/>
            <w:shd w:val="clear" w:color="auto" w:fill="CFF0FC"/>
          </w:tcPr>
          <w:p>
            <w:pPr>
              <w:spacing w:after="0"/>
              <w:rPr>
                <w:sz w:val="17"/>
                <w:szCs w:val="17"/>
                <w:color w:val="auto"/>
              </w:rPr>
            </w:pPr>
          </w:p>
        </w:tc>
      </w:tr>
      <w:tr>
        <w:trPr>
          <w:trHeight w:val="203"/>
        </w:trPr>
        <w:tc>
          <w:tcPr>
            <w:tcW w:w="7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7"/>
                <w:szCs w:val="17"/>
                <w:color w:val="auto"/>
              </w:rPr>
            </w:pPr>
          </w:p>
        </w:tc>
      </w:tr>
      <w:tr>
        <w:trPr>
          <w:trHeight w:val="196"/>
        </w:trPr>
        <w:tc>
          <w:tcPr>
            <w:tcW w:w="74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4,143</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12,915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(5,790)</w:t>
            </w:r>
          </w:p>
        </w:tc>
      </w:tr>
      <w:tr>
        <w:trPr>
          <w:trHeight w:val="203"/>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(21,714)</w:t>
            </w:r>
          </w:p>
        </w:tc>
      </w:tr>
      <w:tr>
        <w:trPr>
          <w:trHeight w:val="203"/>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Acquisition-related income</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7"/>
                <w:szCs w:val="17"/>
                <w:color w:val="auto"/>
              </w:rPr>
            </w:pPr>
          </w:p>
        </w:tc>
      </w:tr>
      <w:tr>
        <w:trPr>
          <w:trHeight w:val="19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36,332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(27,345)</w:t>
            </w:r>
          </w:p>
        </w:tc>
      </w:tr>
      <w:tr>
        <w:trPr>
          <w:trHeight w:val="203"/>
        </w:trPr>
        <w:tc>
          <w:tcPr>
            <w:tcW w:w="7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loss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unrealized loss on investments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74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(loss) and comprehensive income (loss)</w:t>
            </w:r>
          </w:p>
        </w:tc>
        <w:tc>
          <w:tcPr>
            <w:tcW w:w="260" w:type="dxa"/>
            <w:vAlign w:val="bottom"/>
          </w:tcPr>
          <w:p>
            <w:pPr>
              <w:spacing w:after="0"/>
              <w:rPr>
                <w:sz w:val="17"/>
                <w:szCs w:val="17"/>
                <w:color w:val="auto"/>
              </w:rPr>
            </w:pPr>
          </w:p>
        </w:tc>
        <w:tc>
          <w:tcPr>
            <w:tcW w:w="1000" w:type="dxa"/>
            <w:vAlign w:val="bottom"/>
          </w:tcPr>
          <w:p>
            <w:pPr>
              <w:jc w:val="right"/>
              <w:ind w:right="844"/>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36,328</w:t>
            </w:r>
          </w:p>
        </w:tc>
        <w:tc>
          <w:tcPr>
            <w:tcW w:w="160" w:type="dxa"/>
            <w:vAlign w:val="bottom"/>
          </w:tcPr>
          <w:p>
            <w:pPr>
              <w:spacing w:after="0"/>
              <w:rPr>
                <w:sz w:val="17"/>
                <w:szCs w:val="17"/>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(27,348)</w:t>
            </w:r>
          </w:p>
        </w:tc>
      </w:tr>
      <w:tr>
        <w:trPr>
          <w:trHeight w:val="20"/>
        </w:trPr>
        <w:tc>
          <w:tcPr>
            <w:tcW w:w="7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Income (loss) per common share:</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260" w:type="dxa"/>
            <w:vAlign w:val="bottom"/>
            <w:gridSpan w:val="2"/>
          </w:tcPr>
          <w:p>
            <w:pPr>
              <w:jc w:val="right"/>
              <w:ind w:right="844"/>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60" w:type="dxa"/>
            <w:vAlign w:val="bottom"/>
          </w:tcPr>
          <w:p>
            <w:pPr>
              <w:spacing w:after="0"/>
              <w:rPr>
                <w:sz w:val="17"/>
                <w:szCs w:val="17"/>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(2.32)</w:t>
            </w:r>
          </w:p>
        </w:tc>
      </w:tr>
      <w:tr>
        <w:trPr>
          <w:trHeight w:val="20"/>
        </w:trPr>
        <w:tc>
          <w:tcPr>
            <w:tcW w:w="7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260" w:type="dxa"/>
            <w:vAlign w:val="bottom"/>
            <w:gridSpan w:val="2"/>
            <w:shd w:val="clear" w:color="auto" w:fill="CFF0FC"/>
          </w:tcPr>
          <w:p>
            <w:pPr>
              <w:jc w:val="right"/>
              <w:ind w:right="844"/>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(2.32)</w:t>
            </w:r>
          </w:p>
        </w:tc>
      </w:tr>
      <w:tr>
        <w:trPr>
          <w:trHeight w:val="183"/>
        </w:trPr>
        <w:tc>
          <w:tcPr>
            <w:tcW w:w="7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Weighted-average number of common shares used in calculation of net income (loss) per common share:</w:t>
            </w:r>
          </w:p>
        </w:tc>
        <w:tc>
          <w:tcPr>
            <w:tcW w:w="260" w:type="dxa"/>
            <w:vAlign w:val="bottom"/>
            <w:tcBorders>
              <w:top w:val="single" w:sz="8" w:color="CFF0FC"/>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43"/>
        </w:trPr>
        <w:tc>
          <w:tcPr>
            <w:tcW w:w="74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12,161</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83"/>
        </w:trPr>
        <w:tc>
          <w:tcPr>
            <w:tcW w:w="7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15,420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11,774</w:t>
            </w:r>
          </w:p>
        </w:tc>
        <w:tc>
          <w:tcPr>
            <w:tcW w:w="100" w:type="dxa"/>
            <w:vAlign w:val="bottom"/>
          </w:tcPr>
          <w:p>
            <w:pPr>
              <w:spacing w:after="0"/>
              <w:rPr>
                <w:sz w:val="15"/>
                <w:szCs w:val="15"/>
                <w:color w:val="auto"/>
              </w:rPr>
            </w:pPr>
          </w:p>
        </w:tc>
      </w:tr>
      <w:tr>
        <w:trPr>
          <w:trHeight w:val="20"/>
        </w:trPr>
        <w:tc>
          <w:tcPr>
            <w:tcW w:w="7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-3402330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-2879725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-2082165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-1036320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-462280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-445135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-179070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-161925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12,494</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of $47 and $62, respectively</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receivable, net of allowance of $6 and $6, respectively</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42,402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46,771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under lease, net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Notes and other receivables, long-term, net of allowance of $13 and $15, respectively</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tcPr>
          <w:p>
            <w:pPr>
              <w:spacing w:after="0"/>
              <w:rPr>
                <w:sz w:val="18"/>
                <w:szCs w:val="18"/>
                <w:color w:val="auto"/>
              </w:rPr>
            </w:pPr>
          </w:p>
        </w:tc>
      </w:tr>
      <w:tr>
        <w:trPr>
          <w:trHeight w:val="24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66,223</w:t>
            </w:r>
          </w:p>
        </w:tc>
        <w:tc>
          <w:tcPr>
            <w:tcW w:w="16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71,430</w:t>
            </w:r>
          </w:p>
        </w:tc>
        <w:tc>
          <w:tcPr>
            <w:tcW w:w="100" w:type="dxa"/>
            <w:vAlign w:val="bottom"/>
            <w:shd w:val="clear" w:color="auto" w:fill="CFF0FC"/>
          </w:tcPr>
          <w:p>
            <w:pPr>
              <w:spacing w:after="0"/>
              <w:rPr>
                <w:sz w:val="21"/>
                <w:szCs w:val="21"/>
                <w:color w:val="auto"/>
              </w:rPr>
            </w:pPr>
          </w:p>
        </w:tc>
      </w:tr>
      <w:tr>
        <w:trPr>
          <w:trHeight w:val="197"/>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 (deficit)</w:t>
            </w: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Acquisition-related deposit</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40,574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Long-term accounts payable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40,194</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83,665</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Redeemable Convertible Preferred Stock, par value $0.01 per share, 20 shares authorized at</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 and December 31, 2025; 20 shares issued and outstanding at March 31, 2026 and</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 aggregate liquidation preference of $20,000 at March 31, 2026 and December 31,</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100" w:type="dxa"/>
            <w:vAlign w:val="bottom"/>
          </w:tcPr>
          <w:p>
            <w:pPr>
              <w:spacing w:after="0"/>
              <w:rPr>
                <w:sz w:val="20"/>
                <w:szCs w:val="20"/>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par value $0.01 per share, 9,980 shares authorized at March 31, 2026 and December</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 2025; no shares issued and outstanding at March 31, 2026 and December 31, 2025</w:t>
            </w:r>
          </w:p>
        </w:tc>
        <w:tc>
          <w:tcPr>
            <w:tcW w:w="20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150,000 shares authorized at March 31, 2026 and</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2025; 12,101 and 11,993 shares issued and outstanding at March 31, 2026 and</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151,432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(141,243)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(177,575)</w:t>
            </w:r>
          </w:p>
        </w:tc>
      </w:tr>
      <w:tr>
        <w:trPr>
          <w:trHeight w:val="20"/>
        </w:trPr>
        <w:tc>
          <w:tcPr>
            <w:tcW w:w="7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(26,019)</w:t>
            </w:r>
          </w:p>
        </w:tc>
      </w:tr>
      <w:tr>
        <w:trPr>
          <w:trHeight w:val="20"/>
        </w:trPr>
        <w:tc>
          <w:tcPr>
            <w:tcW w:w="77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convertible preferred stock, and stockholders’ equity (deficit)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66,223</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71,430</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-4070985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-4053840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-4070985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-4053840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-2390775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36,332</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(27,345)</w:t>
            </w: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21,714</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Acquisition-related income</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on investments, net</w:t>
            </w:r>
          </w:p>
        </w:tc>
        <w:tc>
          <w:tcPr>
            <w:tcW w:w="9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(743)</w:t>
            </w: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Notes receivable</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(2,146)</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(4,839)</w:t>
            </w: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liabilities</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(3,866)</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r>
      <w:tr>
        <w:trPr>
          <w:trHeight w:val="210"/>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(4,271)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(6,938)</w:t>
            </w:r>
          </w:p>
        </w:tc>
      </w:tr>
      <w:tr>
        <w:trPr>
          <w:trHeight w:val="209"/>
        </w:trPr>
        <w:tc>
          <w:tcPr>
            <w:tcW w:w="7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 maturities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investments</w:t>
            </w:r>
          </w:p>
        </w:tc>
        <w:tc>
          <w:tcPr>
            <w:tcW w:w="9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(2,963)</w:t>
            </w: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776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top w:val="single" w:sz="8" w:color="CFF0FC"/>
            </w:tcBorders>
          </w:tcPr>
          <w:p>
            <w:pPr>
              <w:spacing w:after="0"/>
              <w:rPr>
                <w:sz w:val="18"/>
                <w:szCs w:val="18"/>
                <w:color w:val="auto"/>
              </w:rPr>
            </w:pPr>
          </w:p>
        </w:tc>
      </w:tr>
      <w:tr>
        <w:trPr>
          <w:trHeight w:val="210"/>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stock through option exercises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settlement of stock-based compensation awards</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acquisition-related deposit</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r>
      <w:tr>
        <w:trPr>
          <w:trHeight w:val="210"/>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9,691</w:t>
            </w:r>
          </w:p>
        </w:tc>
        <w:tc>
          <w:tcPr>
            <w:tcW w:w="100" w:type="dxa"/>
            <w:vAlign w:val="bottom"/>
            <w:shd w:val="clear" w:color="auto" w:fill="CFF0FC"/>
          </w:tcPr>
          <w:p>
            <w:pPr>
              <w:spacing w:after="0"/>
              <w:rPr>
                <w:sz w:val="18"/>
                <w:szCs w:val="18"/>
                <w:color w:val="auto"/>
              </w:rPr>
            </w:pP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940" w:type="dxa"/>
            <w:vAlign w:val="bottom"/>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12,494</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-1859280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-1302385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-453390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 continued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paid for interest</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198"/>
        </w:trPr>
        <w:tc>
          <w:tcPr>
            <w:tcW w:w="6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Transfer from Inventories to Equipment under lease, net</w:t>
            </w: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The accompanying notes are an integral part of these </w:t>
      </w:r>
      <w:r>
        <w:rPr>
          <w:rFonts w:ascii="Times New Roman" w:cs="Times New Roman" w:eastAsia="Times New Roman" w:hAnsi="Times New Roman"/>
          <w:sz w:val="18"/>
          <w:szCs w:val="18"/>
          <w:color w:val="231F20"/>
        </w:rPr>
        <w:t>condensed</w:t>
      </w:r>
      <w:r>
        <w:rPr>
          <w:rFonts w:ascii="Times New Roman" w:cs="Times New Roman" w:eastAsia="Times New Roman" w:hAnsi="Times New Roman"/>
          <w:sz w:val="18"/>
          <w:szCs w:val="18"/>
          <w:color w:val="auto"/>
        </w:rPr>
        <w:t xml:space="preserv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STATEMENTS OF CHANGES IN REDEEMABLE CONVERTIBLE PREFERRED STOCK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120" w:type="dxa"/>
            <w:vAlign w:val="bottom"/>
            <w:gridSpan w:val="3"/>
            <w:vMerge w:val="restart"/>
          </w:tcPr>
          <w:p>
            <w:pPr>
              <w:jc w:val="center"/>
              <w:ind w:left="377"/>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386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5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80" w:type="dxa"/>
            <w:vAlign w:val="bottom"/>
          </w:tcPr>
          <w:p>
            <w:pPr>
              <w:spacing w:after="0"/>
              <w:rPr>
                <w:sz w:val="12"/>
                <w:szCs w:val="12"/>
                <w:color w:val="auto"/>
              </w:rPr>
            </w:pPr>
          </w:p>
        </w:tc>
        <w:tc>
          <w:tcPr>
            <w:tcW w:w="8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190"/>
        </w:trPr>
        <w:tc>
          <w:tcPr>
            <w:tcW w:w="3860" w:type="dxa"/>
            <w:vAlign w:val="bottom"/>
          </w:tcPr>
          <w:p>
            <w:pPr>
              <w:spacing w:after="0"/>
              <w:rPr>
                <w:sz w:val="16"/>
                <w:szCs w:val="16"/>
                <w:color w:val="auto"/>
              </w:rPr>
            </w:pPr>
          </w:p>
        </w:tc>
        <w:tc>
          <w:tcPr>
            <w:tcW w:w="1580" w:type="dxa"/>
            <w:vAlign w:val="bottom"/>
            <w:gridSpan w:val="4"/>
            <w:vMerge w:val="continue"/>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00" w:type="dxa"/>
            <w:vAlign w:val="bottom"/>
          </w:tcPr>
          <w:p>
            <w:pPr>
              <w:spacing w:after="0"/>
              <w:rPr>
                <w:sz w:val="16"/>
                <w:szCs w:val="16"/>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nsive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rs’</w:t>
            </w:r>
          </w:p>
        </w:tc>
        <w:tc>
          <w:tcPr>
            <w:tcW w:w="0" w:type="dxa"/>
            <w:vAlign w:val="bottom"/>
          </w:tcPr>
          <w:p>
            <w:pPr>
              <w:spacing w:after="0"/>
              <w:rPr>
                <w:sz w:val="1"/>
                <w:szCs w:val="1"/>
                <w:color w:val="auto"/>
              </w:rPr>
            </w:pPr>
          </w:p>
        </w:tc>
      </w:tr>
      <w:tr>
        <w:trPr>
          <w:trHeight w:val="107"/>
        </w:trPr>
        <w:tc>
          <w:tcPr>
            <w:tcW w:w="3860" w:type="dxa"/>
            <w:vAlign w:val="bottom"/>
          </w:tcPr>
          <w:p>
            <w:pPr>
              <w:spacing w:after="0"/>
              <w:rPr>
                <w:sz w:val="9"/>
                <w:szCs w:val="9"/>
                <w:color w:val="auto"/>
              </w:rPr>
            </w:pPr>
          </w:p>
        </w:tc>
        <w:tc>
          <w:tcPr>
            <w:tcW w:w="15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60"/>
        </w:trPr>
        <w:tc>
          <w:tcPr>
            <w:tcW w:w="3860" w:type="dxa"/>
            <w:vAlign w:val="bottom"/>
          </w:tcPr>
          <w:p>
            <w:pPr>
              <w:spacing w:after="0"/>
              <w:rPr>
                <w:sz w:val="13"/>
                <w:szCs w:val="13"/>
                <w:color w:val="auto"/>
              </w:rPr>
            </w:pPr>
          </w:p>
        </w:tc>
        <w:tc>
          <w:tcPr>
            <w:tcW w:w="1580" w:type="dxa"/>
            <w:vAlign w:val="bottom"/>
            <w:tcBorders>
              <w:bottom w:val="single" w:sz="8" w:color="auto"/>
            </w:tcBorders>
            <w:gridSpan w:val="4"/>
            <w:vMerge w:val="continue"/>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ed</w:t>
            </w: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780" w:type="dxa"/>
            <w:vAlign w:val="bottom"/>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70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7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1"/>
        </w:trPr>
        <w:tc>
          <w:tcPr>
            <w:tcW w:w="3860" w:type="dxa"/>
            <w:vAlign w:val="bottom"/>
            <w:tcBorders>
              <w:right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780" w:type="dxa"/>
            <w:vAlign w:val="bottom"/>
            <w:tcBorders>
              <w:top w:val="single" w:sz="8" w:color="auto"/>
              <w:right w:val="single" w:sz="8" w:color="CFF0FC"/>
            </w:tcBorders>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right w:val="single" w:sz="8" w:color="CFF0FC"/>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13,78</w:t>
            </w:r>
          </w:p>
        </w:tc>
        <w:tc>
          <w:tcPr>
            <w:tcW w:w="260" w:type="dxa"/>
            <w:vAlign w:val="bottom"/>
            <w:tcBorders>
              <w:right w:val="single" w:sz="8" w:color="auto"/>
            </w:tcBorders>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740" w:type="dxa"/>
            <w:vAlign w:val="bottom"/>
            <w:tcBorders>
              <w:top w:val="single" w:sz="8" w:color="auto"/>
              <w:right w:val="single" w:sz="8" w:color="CFF0FC"/>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340" w:type="dxa"/>
            <w:vAlign w:val="bottom"/>
            <w:tcBorders>
              <w:top w:val="single" w:sz="8" w:color="auto"/>
              <w:right w:val="single" w:sz="8" w:color="CFF0FC"/>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right w:val="single" w:sz="8" w:color="CFF0FC"/>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151,43</w:t>
            </w:r>
          </w:p>
        </w:tc>
        <w:tc>
          <w:tcPr>
            <w:tcW w:w="22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right w:val="single" w:sz="8" w:color="CFF0FC"/>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(177,57</w:t>
            </w:r>
          </w:p>
        </w:tc>
        <w:tc>
          <w:tcPr>
            <w:tcW w:w="22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60" w:type="dxa"/>
            <w:vAlign w:val="bottom"/>
            <w:tcBorders>
              <w:right w:val="single" w:sz="8" w:color="CFF0FC"/>
            </w:tcBorders>
            <w:vMerge w:val="continue"/>
            <w:shd w:val="clear" w:color="auto" w:fill="CFF0FC"/>
          </w:tcPr>
          <w:p>
            <w:pPr>
              <w:spacing w:after="0"/>
              <w:rPr>
                <w:sz w:val="20"/>
                <w:szCs w:val="20"/>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shd w:val="clear" w:color="auto" w:fill="CFF0FC"/>
          </w:tcPr>
          <w:p>
            <w:pPr>
              <w:spacing w:after="0"/>
              <w:rPr>
                <w:sz w:val="20"/>
                <w:szCs w:val="20"/>
                <w:color w:val="auto"/>
              </w:rPr>
            </w:pP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58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20"/>
                <w:szCs w:val="20"/>
                <w:color w:val="auto"/>
              </w:rPr>
            </w:pPr>
          </w:p>
        </w:tc>
        <w:tc>
          <w:tcPr>
            <w:tcW w:w="9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 (26,019)</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under the Incentive 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60" w:type="dxa"/>
            <w:vAlign w:val="bottom"/>
            <w:tcBorders>
              <w:right w:val="single" w:sz="8" w:color="CFF0FC"/>
            </w:tcBorders>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Incentive</w:t>
            </w:r>
          </w:p>
        </w:tc>
        <w:tc>
          <w:tcPr>
            <w:tcW w:w="78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tcBorders>
              <w:right w:val="single" w:sz="8" w:color="CFF0FC"/>
            </w:tcBorders>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74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Plans, net of forfeitures</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0"/>
                <w:szCs w:val="20"/>
                <w:color w:val="auto"/>
              </w:rPr>
            </w:pP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Borders>
              <w:right w:val="single" w:sz="8" w:color="CFF0FC"/>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FF0FC"/>
          </w:tcPr>
          <w:p>
            <w:pPr>
              <w:spacing w:after="0"/>
              <w:rPr>
                <w:sz w:val="20"/>
                <w:szCs w:val="20"/>
                <w:color w:val="auto"/>
              </w:rPr>
            </w:pPr>
          </w:p>
        </w:tc>
        <w:tc>
          <w:tcPr>
            <w:tcW w:w="8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198"/>
        </w:trPr>
        <w:tc>
          <w:tcPr>
            <w:tcW w:w="3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under the Incentive</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36,332</w:t>
            </w: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unrealized loss on investments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1"/>
        </w:trPr>
        <w:tc>
          <w:tcPr>
            <w:tcW w:w="3860" w:type="dxa"/>
            <w:vAlign w:val="bottom"/>
            <w:tcBorders>
              <w:right w:val="single" w:sz="8" w:color="CFF0FC"/>
            </w:tcBorders>
            <w:shd w:val="clear" w:color="auto" w:fill="CFF0FC"/>
          </w:tcPr>
          <w:p>
            <w:pPr>
              <w:spacing w:after="0"/>
              <w:rPr>
                <w:sz w:val="16"/>
                <w:szCs w:val="16"/>
                <w:color w:val="auto"/>
              </w:rPr>
            </w:pPr>
          </w:p>
        </w:tc>
        <w:tc>
          <w:tcPr>
            <w:tcW w:w="780" w:type="dxa"/>
            <w:vAlign w:val="bottom"/>
            <w:tcBorders>
              <w:top w:val="single" w:sz="8" w:color="auto"/>
              <w:right w:val="single" w:sz="8" w:color="CFF0FC"/>
            </w:tcBorders>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right w:val="single" w:sz="8" w:color="CFF0FC"/>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13,78</w:t>
            </w:r>
          </w:p>
        </w:tc>
        <w:tc>
          <w:tcPr>
            <w:tcW w:w="260" w:type="dxa"/>
            <w:vAlign w:val="bottom"/>
            <w:tcBorders>
              <w:right w:val="single" w:sz="8" w:color="auto"/>
            </w:tcBorders>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740" w:type="dxa"/>
            <w:vAlign w:val="bottom"/>
            <w:tcBorders>
              <w:top w:val="single" w:sz="8" w:color="auto"/>
              <w:right w:val="single" w:sz="8" w:color="CFF0FC"/>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340" w:type="dxa"/>
            <w:vAlign w:val="bottom"/>
            <w:tcBorders>
              <w:top w:val="single" w:sz="8" w:color="auto"/>
              <w:right w:val="single" w:sz="8" w:color="CFF0FC"/>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right w:val="single" w:sz="8" w:color="CFF0FC"/>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151,91</w:t>
            </w:r>
          </w:p>
        </w:tc>
        <w:tc>
          <w:tcPr>
            <w:tcW w:w="22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right w:val="single" w:sz="8" w:color="CFF0FC"/>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(141,24</w:t>
            </w:r>
          </w:p>
        </w:tc>
        <w:tc>
          <w:tcPr>
            <w:tcW w:w="22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38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right w:val="single" w:sz="8" w:color="CFF0FC"/>
            </w:tcBorders>
            <w:shd w:val="clear" w:color="auto" w:fill="CFF0FC"/>
          </w:tcPr>
          <w:p>
            <w:pPr>
              <w:spacing w:after="0"/>
              <w:rPr>
                <w:sz w:val="22"/>
                <w:szCs w:val="2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shd w:val="clear" w:color="auto" w:fill="CFF0FC"/>
          </w:tcPr>
          <w:p>
            <w:pPr>
              <w:spacing w:after="0"/>
              <w:rPr>
                <w:sz w:val="22"/>
                <w:szCs w:val="22"/>
                <w:color w:val="auto"/>
              </w:rPr>
            </w:pPr>
          </w:p>
        </w:tc>
        <w:tc>
          <w:tcPr>
            <w:tcW w:w="120" w:type="dxa"/>
            <w:vAlign w:val="bottom"/>
            <w:tcBorders>
              <w:right w:val="single" w:sz="8" w:color="CFF0FC"/>
            </w:tcBorders>
            <w:shd w:val="clear" w:color="auto" w:fill="CFF0FC"/>
          </w:tcPr>
          <w:p>
            <w:pPr>
              <w:spacing w:after="0"/>
              <w:rPr>
                <w:sz w:val="22"/>
                <w:szCs w:val="22"/>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12,101</w:t>
            </w:r>
          </w:p>
        </w:tc>
        <w:tc>
          <w:tcPr>
            <w:tcW w:w="220" w:type="dxa"/>
            <w:vAlign w:val="bottom"/>
            <w:tcBorders>
              <w:right w:val="single" w:sz="8" w:color="CFF0FC"/>
            </w:tcBorders>
            <w:shd w:val="clear" w:color="auto" w:fill="CFF0FC"/>
          </w:tcPr>
          <w:p>
            <w:pPr>
              <w:spacing w:after="0"/>
              <w:rPr>
                <w:sz w:val="22"/>
                <w:szCs w:val="22"/>
                <w:color w:val="auto"/>
              </w:rPr>
            </w:pPr>
          </w:p>
        </w:tc>
        <w:tc>
          <w:tcPr>
            <w:tcW w:w="3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Borders>
              <w:right w:val="single" w:sz="8" w:color="CFF0FC"/>
            </w:tcBorders>
            <w:shd w:val="clear" w:color="auto" w:fill="CFF0FC"/>
          </w:tcPr>
          <w:p>
            <w:pPr>
              <w:spacing w:after="0"/>
              <w:rPr>
                <w:sz w:val="22"/>
                <w:szCs w:val="2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right w:val="single" w:sz="8" w:color="CFF0FC"/>
            </w:tcBorders>
            <w:shd w:val="clear" w:color="auto" w:fill="CFF0FC"/>
          </w:tcPr>
          <w:p>
            <w:pPr>
              <w:spacing w:after="0"/>
              <w:rPr>
                <w:sz w:val="22"/>
                <w:szCs w:val="2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3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120" w:type="dxa"/>
            <w:vAlign w:val="bottom"/>
            <w:gridSpan w:val="3"/>
            <w:vMerge w:val="restart"/>
          </w:tcPr>
          <w:p>
            <w:pPr>
              <w:jc w:val="center"/>
              <w:ind w:left="317"/>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386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5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80" w:type="dxa"/>
            <w:vAlign w:val="bottom"/>
          </w:tcPr>
          <w:p>
            <w:pPr>
              <w:spacing w:after="0"/>
              <w:rPr>
                <w:sz w:val="12"/>
                <w:szCs w:val="12"/>
                <w:color w:val="auto"/>
              </w:rPr>
            </w:pPr>
          </w:p>
        </w:tc>
        <w:tc>
          <w:tcPr>
            <w:tcW w:w="8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190"/>
        </w:trPr>
        <w:tc>
          <w:tcPr>
            <w:tcW w:w="3860" w:type="dxa"/>
            <w:vAlign w:val="bottom"/>
          </w:tcPr>
          <w:p>
            <w:pPr>
              <w:spacing w:after="0"/>
              <w:rPr>
                <w:sz w:val="16"/>
                <w:szCs w:val="16"/>
                <w:color w:val="auto"/>
              </w:rPr>
            </w:pPr>
          </w:p>
        </w:tc>
        <w:tc>
          <w:tcPr>
            <w:tcW w:w="1580" w:type="dxa"/>
            <w:vAlign w:val="bottom"/>
            <w:gridSpan w:val="4"/>
            <w:vMerge w:val="continue"/>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00" w:type="dxa"/>
            <w:vAlign w:val="bottom"/>
          </w:tcPr>
          <w:p>
            <w:pPr>
              <w:spacing w:after="0"/>
              <w:rPr>
                <w:sz w:val="16"/>
                <w:szCs w:val="16"/>
                <w:color w:val="auto"/>
              </w:rPr>
            </w:pPr>
          </w:p>
        </w:tc>
        <w:tc>
          <w:tcPr>
            <w:tcW w:w="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nsive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rs’</w:t>
            </w:r>
          </w:p>
        </w:tc>
        <w:tc>
          <w:tcPr>
            <w:tcW w:w="0" w:type="dxa"/>
            <w:vAlign w:val="bottom"/>
          </w:tcPr>
          <w:p>
            <w:pPr>
              <w:spacing w:after="0"/>
              <w:rPr>
                <w:sz w:val="1"/>
                <w:szCs w:val="1"/>
                <w:color w:val="auto"/>
              </w:rPr>
            </w:pPr>
          </w:p>
        </w:tc>
      </w:tr>
      <w:tr>
        <w:trPr>
          <w:trHeight w:val="107"/>
        </w:trPr>
        <w:tc>
          <w:tcPr>
            <w:tcW w:w="3860" w:type="dxa"/>
            <w:vAlign w:val="bottom"/>
          </w:tcPr>
          <w:p>
            <w:pPr>
              <w:spacing w:after="0"/>
              <w:rPr>
                <w:sz w:val="9"/>
                <w:szCs w:val="9"/>
                <w:color w:val="auto"/>
              </w:rPr>
            </w:pPr>
          </w:p>
        </w:tc>
        <w:tc>
          <w:tcPr>
            <w:tcW w:w="15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0"/>
        </w:trPr>
        <w:tc>
          <w:tcPr>
            <w:tcW w:w="3860" w:type="dxa"/>
            <w:vAlign w:val="bottom"/>
          </w:tcPr>
          <w:p>
            <w:pPr>
              <w:spacing w:after="0"/>
              <w:rPr>
                <w:sz w:val="13"/>
                <w:szCs w:val="13"/>
                <w:color w:val="auto"/>
              </w:rPr>
            </w:pPr>
          </w:p>
        </w:tc>
        <w:tc>
          <w:tcPr>
            <w:tcW w:w="1580" w:type="dxa"/>
            <w:vAlign w:val="bottom"/>
            <w:gridSpan w:val="4"/>
            <w:vMerge w:val="continue"/>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ed</w:t>
            </w: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700" w:type="dxa"/>
            <w:vAlign w:val="bottom"/>
            <w:tcBorders>
              <w:bottom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w w:val="95"/>
              </w:rPr>
              <w:t>Deficit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38"/>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860" w:type="dxa"/>
            <w:vAlign w:val="bottom"/>
            <w:tcBorders>
              <w:right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780" w:type="dxa"/>
            <w:vAlign w:val="bottom"/>
            <w:tcBorders>
              <w:right w:val="single" w:sz="8" w:color="CFF0FC"/>
            </w:tcBorders>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tcBorders>
              <w:right w:val="single" w:sz="8" w:color="CFF0FC"/>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98"/>
              </w:rPr>
              <w:t>13,78</w:t>
            </w:r>
          </w:p>
        </w:tc>
        <w:tc>
          <w:tcPr>
            <w:tcW w:w="260" w:type="dxa"/>
            <w:vAlign w:val="bottom"/>
            <w:tcBorders>
              <w:right w:val="single" w:sz="8" w:color="auto"/>
            </w:tcBorders>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740" w:type="dxa"/>
            <w:vAlign w:val="bottom"/>
            <w:tcBorders>
              <w:right w:val="single" w:sz="8" w:color="CFF0FC"/>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40" w:type="dxa"/>
            <w:vAlign w:val="bottom"/>
            <w:tcBorders>
              <w:right w:val="single" w:sz="8" w:color="CFF0FC"/>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tcBorders>
              <w:right w:val="single" w:sz="8" w:color="CFF0FC"/>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148,03</w:t>
            </w:r>
          </w:p>
        </w:tc>
        <w:tc>
          <w:tcPr>
            <w:tcW w:w="2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tcBorders>
              <w:right w:val="single" w:sz="8" w:color="CFF0FC"/>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93"/>
              </w:rPr>
              <w:t>(143,29</w:t>
            </w:r>
          </w:p>
        </w:tc>
        <w:tc>
          <w:tcPr>
            <w:tcW w:w="2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60" w:type="dxa"/>
            <w:vAlign w:val="bottom"/>
            <w:tcBorders>
              <w:right w:val="single" w:sz="8" w:color="CFF0FC"/>
            </w:tcBorders>
            <w:vMerge w:val="continue"/>
            <w:shd w:val="clear" w:color="auto" w:fill="CFF0FC"/>
          </w:tcPr>
          <w:p>
            <w:pPr>
              <w:spacing w:after="0"/>
              <w:rPr>
                <w:sz w:val="20"/>
                <w:szCs w:val="20"/>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shd w:val="clear" w:color="auto" w:fill="CFF0FC"/>
          </w:tcPr>
          <w:p>
            <w:pPr>
              <w:spacing w:after="0"/>
              <w:rPr>
                <w:sz w:val="20"/>
                <w:szCs w:val="20"/>
                <w:color w:val="auto"/>
              </w:rPr>
            </w:pP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11,654</w:t>
            </w:r>
          </w:p>
        </w:tc>
        <w:tc>
          <w:tcPr>
            <w:tcW w:w="580" w:type="dxa"/>
            <w:vAlign w:val="bottom"/>
            <w:gridSpan w:val="2"/>
            <w:shd w:val="clear" w:color="auto" w:fill="CFF0FC"/>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under the Incentive 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60" w:type="dxa"/>
            <w:vAlign w:val="bottom"/>
            <w:tcBorders>
              <w:right w:val="single" w:sz="8" w:color="CFF0FC"/>
            </w:tcBorders>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Incentive</w:t>
            </w:r>
          </w:p>
        </w:tc>
        <w:tc>
          <w:tcPr>
            <w:tcW w:w="78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tcBorders>
              <w:right w:val="single" w:sz="8" w:color="CFF0FC"/>
            </w:tcBorders>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74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Plans, net of forfeitures</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0"/>
                <w:szCs w:val="20"/>
                <w:color w:val="auto"/>
              </w:rPr>
            </w:pP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Borders>
              <w:right w:val="single" w:sz="8" w:color="CFF0FC"/>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FF0FC"/>
          </w:tcPr>
          <w:p>
            <w:pPr>
              <w:spacing w:after="0"/>
              <w:rPr>
                <w:sz w:val="20"/>
                <w:szCs w:val="20"/>
                <w:color w:val="auto"/>
              </w:rPr>
            </w:pP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198"/>
        </w:trPr>
        <w:tc>
          <w:tcPr>
            <w:tcW w:w="3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under the Incentive</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7"/>
              </w:rPr>
              <w:t>(27,345)</w:t>
            </w: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(27,345)</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unrealized loss on investments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1"/>
        </w:trPr>
        <w:tc>
          <w:tcPr>
            <w:tcW w:w="3860" w:type="dxa"/>
            <w:vAlign w:val="bottom"/>
            <w:tcBorders>
              <w:right w:val="single" w:sz="8" w:color="CFF0FC"/>
            </w:tcBorders>
            <w:shd w:val="clear" w:color="auto" w:fill="CFF0FC"/>
          </w:tcPr>
          <w:p>
            <w:pPr>
              <w:spacing w:after="0"/>
              <w:rPr>
                <w:sz w:val="16"/>
                <w:szCs w:val="16"/>
                <w:color w:val="auto"/>
              </w:rPr>
            </w:pPr>
          </w:p>
        </w:tc>
        <w:tc>
          <w:tcPr>
            <w:tcW w:w="780" w:type="dxa"/>
            <w:vAlign w:val="bottom"/>
            <w:tcBorders>
              <w:top w:val="single" w:sz="8" w:color="auto"/>
              <w:right w:val="single" w:sz="8" w:color="CFF0FC"/>
            </w:tcBorders>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right w:val="single" w:sz="8" w:color="CFF0FC"/>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98"/>
              </w:rPr>
              <w:t>13,78</w:t>
            </w:r>
          </w:p>
        </w:tc>
        <w:tc>
          <w:tcPr>
            <w:tcW w:w="260" w:type="dxa"/>
            <w:vAlign w:val="bottom"/>
            <w:tcBorders>
              <w:right w:val="single" w:sz="8" w:color="auto"/>
            </w:tcBorders>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740" w:type="dxa"/>
            <w:vAlign w:val="bottom"/>
            <w:tcBorders>
              <w:top w:val="single" w:sz="8" w:color="auto"/>
              <w:right w:val="single" w:sz="8" w:color="CFF0FC"/>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340" w:type="dxa"/>
            <w:vAlign w:val="bottom"/>
            <w:tcBorders>
              <w:top w:val="single" w:sz="8" w:color="auto"/>
              <w:right w:val="single" w:sz="8" w:color="CFF0FC"/>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right w:val="single" w:sz="8" w:color="CFF0FC"/>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148,37</w:t>
            </w:r>
          </w:p>
        </w:tc>
        <w:tc>
          <w:tcPr>
            <w:tcW w:w="22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right w:val="single" w:sz="8" w:color="CFF0FC"/>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93"/>
              </w:rPr>
              <w:t>(170,64</w:t>
            </w:r>
          </w:p>
        </w:tc>
        <w:tc>
          <w:tcPr>
            <w:tcW w:w="22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38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shd w:val="clear" w:color="auto" w:fill="CFF0FC"/>
          </w:tcPr>
          <w:p>
            <w:pPr>
              <w:spacing w:after="0"/>
              <w:rPr>
                <w:sz w:val="22"/>
                <w:szCs w:val="22"/>
                <w:color w:val="auto"/>
              </w:rPr>
            </w:pP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580" w:type="dxa"/>
            <w:vAlign w:val="bottom"/>
            <w:gridSpan w:val="2"/>
            <w:shd w:val="clear" w:color="auto" w:fill="CFF0FC"/>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right w:val="single" w:sz="8" w:color="CFF0FC"/>
            </w:tcBorders>
            <w:shd w:val="clear" w:color="auto" w:fill="CFF0FC"/>
          </w:tcPr>
          <w:p>
            <w:pPr>
              <w:spacing w:after="0"/>
              <w:rPr>
                <w:sz w:val="22"/>
                <w:szCs w:val="2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22"/>
                <w:szCs w:val="22"/>
                <w:color w:val="auto"/>
              </w:rPr>
            </w:pPr>
          </w:p>
        </w:tc>
        <w:tc>
          <w:tcPr>
            <w:tcW w:w="9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 (22,141)</w:t>
            </w: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-2622550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-2605405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-2622550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-2605405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-2622550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-2605405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-2622550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-2605405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-2622550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-2605405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-2622550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-2605405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-2622550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-2605405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-24765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-7620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-24765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Overview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Organization</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LENSAR, Inc. (“LENSAR” or the “Company”) is a global medical device business focused on the design, development and commercialization of advanced technology for the treatment of cataracts and management of astigmatism to achieve improved visual outcomes for patients. The Company is a public company whose stock is listed and trading under the symbol “LNSR” on The Nasdaq Stock Market LLC (“Nasdaq”). The Company’s revenue is derived from the sale and lease of the Company’s LENSAR Laser System (“LLS”) and ALLY Robotic Cataract Laser System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(“ALLY System”) (collectively the “Systems”), which may include equipment, a consumable referred to as the Patient Interface Device (“PID”), procedure licenses, training, installation, limited warranty and maintenance agreements through extended warranty. The Company has developed its ALLY System as a compact, highly ergonomic system utilizing an extremely fast dual-modality laser and integrating artificial intelligence (“AI”) into proprietary imaging and software. The ALLY System is designed to transform premium cataract surgery by utilizing LENSAR’s advanced robotic technologies with the ability to perform the entire procedure in a sterile operating room or in-office surgical suite, delivering operational efficiencies and reducing overhead. The ALLY System is available to U.S. and European Union cataract surgeons and has also received regulatory clearance in India, Taiwan, South Korea, and certain other countries. In addition, the Company is pursuing an additional marketing or certification application through its distributor in China.</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23, 2025, the Company entered into an Agreement and Plan of Merger (the “Merger Agreement”), with Alcon Research, LLC (“Alcon”) and VMI Option Merger Sub, Inc. (“Merger Sub”), which provided that, subject to the terms and conditions set forth in the Merger Agreement, Merger Sub would merge with and into the Company (the “Merger”), with the Company continuing as the surviving corporation of the Merger and as a wholly-owned subsidiary of Alcon. The Merger Agreement was terminated by the parties on March 16, 2026. The parties agreed to release each other from claims, demands, damages, actions, causes of action and liability relating to or arising out of the Merger Agreement and the transactions contemplated therein or thereby.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received a $10,000 cash deposit towards the aggregate cash consideration (the “Merger Deposit”), which was classified as a current liability on the condensed balance sheet at March 31, 2025. As of such date, the Merger Deposit was considered the property of Alcon in accordance with the terms of the Merger Agreement. Pursuant to the Termination Agreement, Alcon agreed that the Company will retain the Merger Deposit of $10,000. The Merger Deposit was recorded as acquisition-related income in the condensed statements of operations and comprehensive loss for the three months ended March 31, 2026. Refer to “Acquisition-Related Costs”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information regarding acquisition-related costs.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incurred recurring losses and operating cash outflows since its inception and, as of March 31, 2026, had an accumulated deficit of $141,243. The Company expects to continue to incur losses and cash outflows from operating activities for the near-term future. Pricing increases in component parts for the ALLY System resulting from inflationary pressures, related macroeconomic conditions, and tariffs may necessitate an increase in overall cost to customers, which in turn may have an adverse impact on customer demand.</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Management believes the Company’s cash, cash equivalents, and investments on hand, together with cash generated from the future sale and lease of products, will provide sufficient funds for its operating, investing, and financing cash flows for a period of at least twelve months from the date of issuance of these financial statements. The Company expects annual revenue and selling, general and administrative expenses to increase from current levels associated with the increase in ALLY System placements. The U.S. government has recently implemented significant changes in U.S. trade policy and taken certain actions that have impacted the Company’s business, including imposing tariffs on certain goods imported into the United States, and we have seen a resulting negative impact on our gross profit margin, as we have not passed on these additional costs to our customers. Some of these changes have triggered retaliatory actions by affected countries that could negatively impact demand for the Company’s products in these regions, as well as negatively impact the Company’s gross profit margin. In addition, the Company’s growth depends in part on the Company’s ability to produce the ALLY System in sufficient quantities, within requested timelines and at an acceptable price to satisfy customer demand. Our results could be adversely impacted if our distributors do not resume their sales activity to previous levels. The Company’s liquidity needs will be largely determined by the Company’s ability to continue to successfully commercialize its products and the progression, additional regulatory clearances or certifications and launch of the ALLY System in additional jurisdictions in the future. In the future, the Company may need to raise additional capital through equity or debt financings, borrowings under credit facilities or from other sources in the future. The Company may issue securities, including common stock, preferred stock, warrants, and/or debt securities through private placement transactions or registered public offerings in the future. The Company’s ability to raise additional funds will depend, among other factors, on financial, economic and market conditions, many of which are outside of the Company’s control, and the Company may be unable to raise financing when needed, or on terms favorable to the Company. If the necessary funds are not available from these sources, the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Company may have to delay, reduce or suspend the scope of its sales and marketing efforts, research and development activities, or other components of its operations.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2026, the Company entered into a Priority Credit Line Agreement (“PCL Agreement”), by and between the Company and Wells Fargo Bank, N.A (“Wells Fargo”). The PCL Agreement provides for a revolving, non-purpose margin credit facility, secured by a first-priority lien on a designated brokerage account maintained at Wells Fargo (the “Collateral Account”), of an amount based on the collateral value in the Collateral Account. The Company is permitted to borrow 90-95% of the Collateral Account value under the PCL Agreement. Borrowings under the PCL Agreement bear interest, at the Company’s election, at either (i) a fixed rate based on the Treasury Yield plus an applicable margin, over a designated term, or (ii) a variable rate based on the Secured Overnight Financing Rate (SOFR) plus an applicable margin. The PCL Agreement contains customary events of default, including, without limitation, failure to make any payment upon demand or otherwise when due or deposit additional collateral when required under the PCL Agreement; initiation of a bankruptcy petition or other insolvency proceeding; any event of default under any security agreement executed in connection with the Collateral Account; or the insufficiency of the value of the financial assets in the Collateral Account. At March 31, 2026, the Company has not utilized the PCL.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condensed financial statements are unaudited and have been prepared in accordance with generally accepted accounting principles in the United States of America (“U.S. GAAP”) and pursuant to the regulations of the U.S. Securities and Exchange Commission (“SEC”) for interim financial information and, therefore, omit or condense certain footnotes and other information normally included. The condensed financial statements include all adjustments (consisting only of normal recurring adjustments) that management of the Company believes are necessary for a fair statement of the periods presented. These interim financial results are not necessarily indicative of results expected for the full fiscal year. The December 31, 2025 condensed balance sheet data was derived from audited financial statements, but does not include all disclosures required by U.S. GAAP.</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and related financial information should be read in conjunction with the Company’s annual audited financial statements and the related notes thereto for the fiscal year ended December 31, 2025, included in the Annual Report on Form 10-K (the “Annual Report”) as filed with the SEC on March 31,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Other than policies noted below, there have been no significant changes to the significant accounting policies disclosed in Note 2,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of the annual audited financial statements included in the Annual Report.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condensed financial statements in conformity with U.S. GAAP requires management to make estimates and assumptions that affect the amounts reported in the condensed financial statements and accompanying notes to the condensed financial statements. The accounting estimates that require management’s most significant, difficult and subjective judgments include, but are not limited to, revenue recognition and allowance for expected credit losses, the valuation of notes receivable and inventory, the assessment of recoverability of intangible assets and their estimated useful lives, the valuation and recognition of stock-based compensation, operating lease right-of-use assets and liabilities, the recognition and measurement of current and deferred income tax assets and liabilities, and the valuation of warrant liabilities. Management evaluates its estimates on an ongoing basis as there are changes in circumstances, facts, and experience. Changes in estimates are recorded in the period in which they become known. Actual results could differ from these estimates.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issuance of these unaudited condensed interim financial statements, the Company is not aware of any specific event or circumstance that would require the Company to update estimates, judgments or revise the carrying value of any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evaluates financial instruments to determine if such instruments are derivatives or contain features that qualify as embedded derivatives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For derivative financial instruments that are accounted for as liabilities, the derivative instrument is initially recorded at its fair value and is then re-valued at each reporting date, with changes in the fair value reported in the condensed statements of operations. Warrants issued by the Company that do not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 the criteria for equity treatment are recorded as liabilities. We do not use financial instruments or derivatives for any trading purposes.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Company’s financial instruments are estimates of the amounts that would be received if the Company were to sell an asset or the Company paid to transfer a liability in an orderly transaction between market participants at the measurement date or exit price. The assets and liabilities are categorized and disclosed in one of the following three categories:</w:t>
      </w:r>
    </w:p>
    <w:p>
      <w:pPr>
        <w:spacing w:after="0" w:line="68"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1—based on quoted market prices in active markets for identical assets and liabilities.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2—based on observable inputs other than quoted prices in active markets for identical assets and liabilities, quoted prices for identical or similar assets or liabilities in inactive markets, or other inputs that are or can be corroborated by observable market data for substantially the full term of the assets or liabilities.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3—based on unobservable inputs using management’s best estimate and assumptions when inputs are unavailable.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measurements are classified in their entirety based on the lowest level of input that is significant to their fair value measurement.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Acquisition-Related Costs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Acquisition-related costs, which consists of advisory, legal, accounting, valuation and other professional or consulting fees related to and incurred in association with the terminated Merger Agreement, are expensed as incurred and included within selling, general and administrative expenses in the condensed statements of operations and comprehensive loss for the three months ended March 31, 2026 and 2025. During the three months ended March 31, 2026, acquisition-related costs were reduced by $4,373 associated with previously recognized acquisition-related costs eliminated in conjunction with the terminated Merger Agreement as compared to $4,225 of acquisition-related costs incurred during the three months ended March 31, 2025. In total, the Company incurred acquisition-related costs of $12,768 through March 31, 2026. At March 31, 2026, the Company had liabilities related to acquisition-related costs of $8,656, of which $3,646 is classified as accounts payable, current, $10 is classified as accrued liabilities, and $5,000 is classified accounts payable, long-term on the condensed balance sheet at March 31,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follows ASC 850,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for the identification of related parties and disclosure of related party transactions.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May 2023, the Company completed the Private Placement (as defined in Note 11, </w:t>
      </w:r>
      <w:r>
        <w:rPr>
          <w:rFonts w:ascii="Times New Roman" w:cs="Times New Roman" w:eastAsia="Times New Roman" w:hAnsi="Times New Roman"/>
          <w:sz w:val="18"/>
          <w:szCs w:val="18"/>
          <w:i w:val="1"/>
          <w:iCs w:val="1"/>
          <w:color w:val="auto"/>
        </w:rPr>
        <w:t>Redeemable Convertible Preferred Stock</w:t>
      </w:r>
      <w:r>
        <w:rPr>
          <w:rFonts w:ascii="Times New Roman" w:cs="Times New Roman" w:eastAsia="Times New Roman" w:hAnsi="Times New Roman"/>
          <w:sz w:val="18"/>
          <w:szCs w:val="18"/>
          <w:color w:val="auto"/>
        </w:rPr>
        <w:t xml:space="preserve">) with NR-GRI Partners, LP (“NR-GRI”), an affiliate of North Run Capital, LP (“North Run”). Pursuant to the terms of the Private Placement, Thomas B. Ellis and Todd B. Hammer, co-managing partners of North Run, joined the Company’s Board of Directors following the Company’s 2023 Annual Meeting of Stockholders. Refer to Note 9,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Redeemable Convertible Preferred Stock</w:t>
      </w:r>
      <w:r>
        <w:rPr>
          <w:rFonts w:ascii="Times New Roman" w:cs="Times New Roman" w:eastAsia="Times New Roman" w:hAnsi="Times New Roman"/>
          <w:sz w:val="18"/>
          <w:szCs w:val="18"/>
          <w:color w:val="auto"/>
        </w:rPr>
        <w:t>, for more details related to the Private Placement.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Income tax expense/(benefit) from continuing operations for the three months ended March 31, 2026 and 2025 was $0 in each period, which resulted from maintaining a full valuation allowance against the Company’s net deferred tax assets.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Under Sections 382 and 383 of the Internal Revenue Code of 1986, as amended (the “Code”), an aggregate change in stock ownership of one or more stockholders or groups of stockholders owning at least 5% of the Company’s stock that exceeds 50 percentage points (by value) over a rolling three-year period (a “Section 382 ownership change”) may result in a limitation on the amount of net operating loss and tax credit carryforwards that may be used in future years. The Company completed a Section 382 ownership change analysis through its taxable year ended December 31, 2023 and determined that, during the second quarter of 2023, the Company experienced a Section 382 ownership change in connection with the Private Placement of Series A Redeemable Convertible Preferred Stock (the “Private Placement”), triggering the application of Section 382 of the Code. Refer to Note 11, </w:t>
      </w:r>
      <w:r>
        <w:rPr>
          <w:rFonts w:ascii="Times New Roman" w:cs="Times New Roman" w:eastAsia="Times New Roman" w:hAnsi="Times New Roman"/>
          <w:sz w:val="18"/>
          <w:szCs w:val="18"/>
          <w:i w:val="1"/>
          <w:iCs w:val="1"/>
          <w:color w:val="auto"/>
        </w:rPr>
        <w:t>Redeemable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Preferred Stock</w:t>
      </w:r>
      <w:r>
        <w:rPr>
          <w:rFonts w:ascii="Times New Roman" w:cs="Times New Roman" w:eastAsia="Times New Roman" w:hAnsi="Times New Roman"/>
          <w:sz w:val="18"/>
          <w:szCs w:val="18"/>
          <w:color w:val="auto"/>
        </w:rPr>
        <w:t>, for more details related to the Private Placement. The Company has not completed a detailed analysis to determine whether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subsequent Section 382 ownership changes have occurred and thus whether additional limitations have been triggered under Sections 382 and 383 of the Code since December 31, 2023. The Company has computed and applied limitations of tax deductions in the income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 provision computation in each year since the Section 382 ownership change was applicable; however, these limitations do not have a material impact on the financial statements.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new U.S. tax legislation was signed into law (known as the “One Big Beautiful Bill Act” or “OBBBA”) which made permanent many of the tax provisions enacted in 2017 as part of the Tax Cuts and Jobs Act that were set to expire at the end of 2025. In addition, the OBBBA made changes to certain U.S. corporate tax provisions, many of which became effective in 2026. Based on the Company’s analysis of the provisions, the Company determined that the tax law changes do not have a material impact on the Company’s financial statements; however, the Company will continue to evaluate their impact on future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Contract Assets</w:t>
      </w:r>
      <w:r>
        <w:rPr>
          <w:rFonts w:ascii="Times New Roman" w:cs="Times New Roman" w:eastAsia="Times New Roman" w:hAnsi="Times New Roman"/>
          <w:sz w:val="18"/>
          <w:szCs w:val="18"/>
          <w:color w:val="auto"/>
        </w:rPr>
        <w:t>, which provides a practical expedient related to the estimation of expected credit losses for current accounts receivable and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contract assets that arise from transactions accounted for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practical expedient permits an entity to assume that current conditions as of the balance sheet date do not change for the remaining life of the current accounts receivable and current contract assets. This ASU is effective for fiscal years beginning after December 15, 2025 on a prospective basis, and for interim periods within fiscal years beginning after December 15, 2025, with early adoption permitted. The Company adopted this ASU effective January 1, 2026. The ASU did not have a material impact to the Company's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 Not Yet Adopted</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(“ASU 2024-03”), ASU 2024-03 requires disclosure in the notes to the financial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information about certain costs and expenses. ASU 2024-03 is effective for fiscal years beginning after December 15, 2026 and for interim periods within fiscal years beginning after December 15, 2027. ASU 2024-03 should be applied either prospectively to financial statements issued for reporting periods after the effective date of this ASU or retrospectively to any or all prior periods presented in the financial statements. The Company is currently evaluating the impact of ASU 2024-03 to the financial statement disclosures.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product and service revenue disaggregated by geographic region, which is determined based on customer location, for the three months ended March 31, 2026 and 2025:</w:t>
      </w:r>
    </w:p>
    <w:p>
      <w:pPr>
        <w:spacing w:after="0" w:line="47"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700" w:type="dxa"/>
        <w:tblCellMar>
          <w:top w:w="0" w:type="dxa"/>
          <w:left w:w="0" w:type="dxa"/>
          <w:bottom w:w="0" w:type="dxa"/>
          <w:right w:w="0" w:type="dxa"/>
        </w:tblCellMar>
      </w:tblPr>
      <w:tr>
        <w:trPr>
          <w:trHeight w:val="142"/>
        </w:trPr>
        <w:tc>
          <w:tcPr>
            <w:tcW w:w="53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Asia</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8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r>
      <w:tr>
        <w:trPr>
          <w:trHeight w:val="230"/>
        </w:trPr>
        <w:tc>
          <w:tcPr>
            <w:tcW w:w="53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11,747</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12,275</w:t>
            </w:r>
          </w:p>
        </w:tc>
        <w:tc>
          <w:tcPr>
            <w:tcW w:w="80" w:type="dxa"/>
            <w:vAlign w:val="bottom"/>
            <w:shd w:val="clear" w:color="auto" w:fill="CFF0FC"/>
          </w:tcPr>
          <w:p>
            <w:pPr>
              <w:spacing w:after="0"/>
              <w:rPr>
                <w:sz w:val="19"/>
                <w:szCs w:val="19"/>
                <w:color w:val="auto"/>
              </w:rPr>
            </w:pP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431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431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18" w:lineRule="exact"/>
        <w:rPr>
          <w:sz w:val="20"/>
          <w:szCs w:val="20"/>
          <w:color w:val="auto"/>
        </w:rPr>
      </w:pPr>
    </w:p>
    <w:p>
      <w:pPr>
        <w:ind w:firstLine="8"/>
        <w:spacing w:after="0" w:line="223" w:lineRule="auto"/>
        <w:tabs>
          <w:tab w:leader="none" w:pos="108"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The table above does not include lease revenue of $1,681 and $1,884 for the three months ended March 31, 2026 and 2025, respectively. Substantially all lease revenue originates from the United States. Refer to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and contract liabilities from contracts with customers: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376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37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current</w:t>
            </w:r>
          </w:p>
        </w:tc>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 current</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net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receivable, long-term</w:t>
            </w:r>
          </w:p>
        </w:tc>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and other receivables, long-term, net</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liability, current</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Accounts Receivable, Net – </w:t>
      </w:r>
      <w:r>
        <w:rPr>
          <w:rFonts w:ascii="Times New Roman" w:cs="Times New Roman" w:eastAsia="Times New Roman" w:hAnsi="Times New Roman"/>
          <w:sz w:val="18"/>
          <w:szCs w:val="18"/>
          <w:color w:val="auto"/>
        </w:rPr>
        <w:t>Accounts receivable, net, include amounts billed and due from customers. The amounts due are stated at their net estimated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realizable value and are classified as current or noncurrent based on the timing of when the Company expects to receive payment. Most customers are on pre-paid or 30-day payment terms, depending on the product purchased. The Company maintains an allowance for expected credit losses to provide for the estimated amount of receivables that will not be collected. The allowance is based upon an assessment of customer credit worthiness, historical payment experience, the age of outstanding receivables, collateral to the extent applicable and reflects the possible impact of current conditions and reasonable forecasts not already reflected in historical loss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w:t>
      </w:r>
    </w:p>
    <w:p>
      <w:pPr>
        <w:spacing w:after="0" w:line="111"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Accounts receivable, allowance for credit losses as of</w:t>
            </w:r>
          </w:p>
        </w:tc>
        <w:tc>
          <w:tcPr>
            <w:tcW w:w="20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December 31, 2025</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0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Accounts receivable, allowance for credit losses as of</w:t>
            </w:r>
          </w:p>
        </w:tc>
        <w:tc>
          <w:tcPr>
            <w:tcW w:w="20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6"/>
                <w:szCs w:val="16"/>
                <w:color w:val="auto"/>
              </w:rPr>
            </w:pPr>
          </w:p>
        </w:tc>
        <w:tc>
          <w:tcPr>
            <w:tcW w:w="550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March 31, 2026</w:t>
            </w:r>
          </w:p>
        </w:tc>
        <w:tc>
          <w:tcPr>
            <w:tcW w:w="2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5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allowance for credit losses as of</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0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Accounts receivable, allowance for credit losses as of</w:t>
            </w:r>
          </w:p>
        </w:tc>
        <w:tc>
          <w:tcPr>
            <w:tcW w:w="20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6"/>
                <w:szCs w:val="16"/>
                <w:color w:val="auto"/>
              </w:rPr>
            </w:pPr>
          </w:p>
        </w:tc>
        <w:tc>
          <w:tcPr>
            <w:tcW w:w="550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March 31, 2025</w:t>
            </w:r>
          </w:p>
        </w:tc>
        <w:tc>
          <w:tcPr>
            <w:tcW w:w="2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-1250950</wp:posOffset>
            </wp:positionV>
            <wp:extent cx="431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-281940</wp:posOffset>
            </wp:positionV>
            <wp:extent cx="431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Notes Receivable, Net </w:t>
      </w:r>
      <w:r>
        <w:rPr>
          <w:rFonts w:ascii="Times New Roman" w:cs="Times New Roman" w:eastAsia="Times New Roman" w:hAnsi="Times New Roman"/>
          <w:sz w:val="18"/>
          <w:szCs w:val="18"/>
          <w:color w:val="auto"/>
        </w:rPr>
        <w:t>– Notes receivable, net includes amounts billed and due from customers under extended payment terms with a significant financing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component. Interest rates on notes receivable range from 7.0% to 8.0%. The Company recorded interest income on notes receivable during the three months ended March 31, 2026 and 2025 of $19 and $26, respectively, in other income, net in the statement of operations.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notes receivable:</w:t>
      </w:r>
    </w:p>
    <w:p>
      <w:pPr>
        <w:spacing w:after="0" w:line="111"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Notes receivable, allowance for credit losses as of</w:t>
            </w:r>
          </w:p>
        </w:tc>
        <w:tc>
          <w:tcPr>
            <w:tcW w:w="20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December 31, 2025</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0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Notes receivable, allowance for credit losses as of</w:t>
            </w:r>
          </w:p>
        </w:tc>
        <w:tc>
          <w:tcPr>
            <w:tcW w:w="20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6"/>
                <w:szCs w:val="16"/>
                <w:color w:val="auto"/>
              </w:rPr>
            </w:pPr>
          </w:p>
        </w:tc>
        <w:tc>
          <w:tcPr>
            <w:tcW w:w="550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March 31, 2026</w:t>
            </w:r>
          </w:p>
        </w:tc>
        <w:tc>
          <w:tcPr>
            <w:tcW w:w="2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5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Notes receivable, allowance for credit losses as of</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0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Notes receivable, allowance for credit losses as of</w:t>
            </w:r>
          </w:p>
        </w:tc>
        <w:tc>
          <w:tcPr>
            <w:tcW w:w="20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6"/>
                <w:szCs w:val="16"/>
                <w:color w:val="auto"/>
              </w:rPr>
            </w:pPr>
          </w:p>
        </w:tc>
        <w:tc>
          <w:tcPr>
            <w:tcW w:w="550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March 31, 2025</w:t>
            </w:r>
          </w:p>
        </w:tc>
        <w:tc>
          <w:tcPr>
            <w:tcW w:w="2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-1250950</wp:posOffset>
            </wp:positionV>
            <wp:extent cx="431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-282575</wp:posOffset>
            </wp:positionV>
            <wp:extent cx="431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 Assets </w:t>
      </w:r>
      <w:r>
        <w:rPr>
          <w:rFonts w:ascii="Times New Roman" w:cs="Times New Roman" w:eastAsia="Times New Roman" w:hAnsi="Times New Roman"/>
          <w:sz w:val="18"/>
          <w:szCs w:val="18"/>
          <w:color w:val="auto"/>
        </w:rPr>
        <w:t>– The Company's contract assets represent revenue recognized for performance obligations completed before an unconditional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exists, and therefore invoicing has not yet occurred. The Company classifies contract assets in prepaid and other current assets in the Company's condensed balance sheets.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did not have a contract assets balance at March 31, 2026 and December 31, 2025. The following table provides information about contract assets from contracts with customers:</w:t>
      </w:r>
    </w:p>
    <w:p>
      <w:pPr>
        <w:spacing w:after="0" w:line="47"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 as of December 31, 2024</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recognized</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received</w:t>
            </w: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Write-off due to contract modification</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4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 as of March 31, 2025</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FF0FC"/>
          </w:tcPr>
          <w:p>
            <w:pPr>
              <w:spacing w:after="0"/>
              <w:rPr>
                <w:sz w:val="19"/>
                <w:szCs w:val="19"/>
                <w:color w:val="auto"/>
              </w:rPr>
            </w:pPr>
          </w:p>
        </w:tc>
      </w:tr>
      <w:tr>
        <w:trPr>
          <w:trHeight w:val="20"/>
        </w:trPr>
        <w:tc>
          <w:tcPr>
            <w:tcW w:w="42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-25400</wp:posOffset>
            </wp:positionV>
            <wp:extent cx="51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514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Deferred Revenue and Contract Liabilities – </w:t>
      </w:r>
      <w:r>
        <w:rPr>
          <w:rFonts w:ascii="Times New Roman" w:cs="Times New Roman" w:eastAsia="Times New Roman" w:hAnsi="Times New Roman"/>
          <w:sz w:val="18"/>
          <w:szCs w:val="18"/>
          <w:color w:val="auto"/>
        </w:rPr>
        <w:t>The Company’s deferred revenue and contract liabilities represent services and products sold to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which the performance obligation has not been completed by the Company. The Company classifies deferred revenue and contract liabilities as current or noncurrent based on the timing of when it expects to recognize revenue. The noncurrent portion of deferred revenue and contract liabilities is included in other long-term liabilities in the Company’s condensed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deferred revenue and contract liabilities from contracts with customers:</w:t>
      </w:r>
    </w:p>
    <w:p>
      <w:pPr>
        <w:spacing w:after="0" w:line="111"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7620</wp:posOffset>
            </wp:positionV>
            <wp:extent cx="555498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54980" cy="14541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7" w:lineRule="exact"/>
        <w:rPr>
          <w:sz w:val="20"/>
          <w:szCs w:val="20"/>
          <w:color w:val="auto"/>
        </w:rPr>
      </w:pPr>
    </w:p>
    <w:p>
      <w:pPr>
        <w:ind w:left="1260" w:right="1698"/>
        <w:spacing w:after="0" w:line="249" w:lineRule="auto"/>
        <w:rPr>
          <w:sz w:val="20"/>
          <w:szCs w:val="20"/>
          <w:color w:val="auto"/>
        </w:rPr>
      </w:pPr>
      <w:r>
        <w:rPr>
          <w:rFonts w:ascii="Times New Roman" w:cs="Times New Roman" w:eastAsia="Times New Roman" w:hAnsi="Times New Roman"/>
          <w:sz w:val="18"/>
          <w:szCs w:val="18"/>
          <w:color w:val="auto"/>
        </w:rPr>
        <w:t>Deferred revenue and contract liabilities as of December 31, 2025 Billings not yet recognized as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635</wp:posOffset>
            </wp:positionV>
            <wp:extent cx="555498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54980" cy="146050"/>
                    </a:xfrm>
                    <a:prstGeom prst="rect">
                      <a:avLst/>
                    </a:prstGeom>
                    <a:noFill/>
                  </pic:spPr>
                </pic:pic>
              </a:graphicData>
            </a:graphic>
          </wp:anchor>
        </w:drawing>
      </w:r>
    </w:p>
    <w:p>
      <w:pPr>
        <w:ind w:left="1260" w:right="1158"/>
        <w:spacing w:after="0" w:line="276" w:lineRule="auto"/>
        <w:rPr>
          <w:sz w:val="20"/>
          <w:szCs w:val="20"/>
          <w:color w:val="auto"/>
        </w:rPr>
      </w:pPr>
      <w:r>
        <w:rPr>
          <w:rFonts w:ascii="Times New Roman" w:cs="Times New Roman" w:eastAsia="Times New Roman" w:hAnsi="Times New Roman"/>
          <w:sz w:val="18"/>
          <w:szCs w:val="18"/>
          <w:color w:val="auto"/>
        </w:rPr>
        <w:t>Beginning deferred revenue and contract liabilities recognized as revenue Deferred revenue and contract liabilities as of March 31, 2026</w:t>
      </w:r>
    </w:p>
    <w:p>
      <w:pPr>
        <w:spacing w:after="0" w:line="208" w:lineRule="exact"/>
        <w:rPr>
          <w:sz w:val="20"/>
          <w:szCs w:val="20"/>
          <w:color w:val="auto"/>
        </w:rPr>
      </w:pPr>
    </w:p>
    <w:p>
      <w:pPr>
        <w:ind w:left="1260" w:right="1698"/>
        <w:spacing w:after="0" w:line="261" w:lineRule="auto"/>
        <w:rPr>
          <w:sz w:val="20"/>
          <w:szCs w:val="20"/>
          <w:color w:val="auto"/>
        </w:rPr>
      </w:pPr>
      <w:r>
        <w:rPr>
          <w:rFonts w:ascii="Times New Roman" w:cs="Times New Roman" w:eastAsia="Times New Roman" w:hAnsi="Times New Roman"/>
          <w:sz w:val="18"/>
          <w:szCs w:val="18"/>
          <w:color w:val="auto"/>
        </w:rPr>
        <w:t>Deferred revenue and contract liabilities as of December 31, 2024 Billings not yet recognized as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-273685</wp:posOffset>
            </wp:positionV>
            <wp:extent cx="555498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54980" cy="137160"/>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0</wp:posOffset>
            </wp:positionV>
            <wp:extent cx="555498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54980" cy="146050"/>
                    </a:xfrm>
                    <a:prstGeom prst="rect">
                      <a:avLst/>
                    </a:prstGeom>
                    <a:noFill/>
                  </pic:spPr>
                </pic:pic>
              </a:graphicData>
            </a:graphic>
          </wp:anchor>
        </w:drawing>
      </w:r>
    </w:p>
    <w:p>
      <w:pPr>
        <w:ind w:left="1260" w:right="1158"/>
        <w:spacing w:after="0" w:line="276" w:lineRule="auto"/>
        <w:rPr>
          <w:sz w:val="20"/>
          <w:szCs w:val="20"/>
          <w:color w:val="auto"/>
        </w:rPr>
      </w:pPr>
      <w:r>
        <w:rPr>
          <w:rFonts w:ascii="Times New Roman" w:cs="Times New Roman" w:eastAsia="Times New Roman" w:hAnsi="Times New Roman"/>
          <w:sz w:val="18"/>
          <w:szCs w:val="18"/>
          <w:color w:val="auto"/>
        </w:rPr>
        <w:t>Beginning deferred revenue and contract liabilities recognized as revenue Deferred revenue and contract liabilities as of March 31,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062" w:hanging="1062"/>
        <w:spacing w:after="0"/>
        <w:tabs>
          <w:tab w:leader="none" w:pos="106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3,984</w:t>
      </w:r>
    </w:p>
    <w:p>
      <w:pPr>
        <w:spacing w:after="0" w:line="7" w:lineRule="exact"/>
        <w:rPr>
          <w:rFonts w:ascii="Times New Roman" w:cs="Times New Roman" w:eastAsia="Times New Roman" w:hAnsi="Times New Roman"/>
          <w:sz w:val="18"/>
          <w:szCs w:val="18"/>
          <w:color w:val="auto"/>
        </w:rPr>
      </w:pPr>
    </w:p>
    <w:p>
      <w:pPr>
        <w:ind w:left="12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470</w:t>
      </w:r>
    </w:p>
    <w:p>
      <w:pPr>
        <w:spacing w:after="0" w:line="9" w:lineRule="exact"/>
        <w:rPr>
          <w:sz w:val="20"/>
          <w:szCs w:val="20"/>
          <w:color w:val="auto"/>
        </w:rPr>
      </w:pPr>
    </w:p>
    <w:p>
      <w:pPr>
        <w:jc w:val="right"/>
        <w:ind w:right="1280"/>
        <w:spacing w:after="0"/>
        <w:rPr>
          <w:sz w:val="20"/>
          <w:szCs w:val="20"/>
          <w:color w:val="auto"/>
        </w:rPr>
      </w:pPr>
      <w:r>
        <w:rPr>
          <w:rFonts w:ascii="Times New Roman" w:cs="Times New Roman" w:eastAsia="Times New Roman" w:hAnsi="Times New Roman"/>
          <w:sz w:val="18"/>
          <w:szCs w:val="18"/>
          <w:color w:val="auto"/>
        </w:rPr>
        <w:t>(626)</w:t>
      </w:r>
    </w:p>
    <w:p>
      <w:pPr>
        <w:spacing w:after="0" w:line="9" w:lineRule="exact"/>
        <w:rPr>
          <w:sz w:val="20"/>
          <w:szCs w:val="20"/>
          <w:color w:val="auto"/>
        </w:rPr>
      </w:pPr>
    </w:p>
    <w:p>
      <w:pPr>
        <w:ind w:left="1062" w:hanging="1062"/>
        <w:spacing w:after="0"/>
        <w:tabs>
          <w:tab w:leader="none" w:pos="106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429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9429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41" w:lineRule="exact"/>
        <w:rPr>
          <w:sz w:val="20"/>
          <w:szCs w:val="20"/>
          <w:color w:val="auto"/>
        </w:rPr>
      </w:pPr>
    </w:p>
    <w:p>
      <w:pPr>
        <w:ind w:left="1062" w:hanging="1062"/>
        <w:spacing w:after="0"/>
        <w:tabs>
          <w:tab w:leader="none" w:pos="10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2,373</w:t>
      </w:r>
    </w:p>
    <w:p>
      <w:pPr>
        <w:spacing w:after="0" w:line="27" w:lineRule="exact"/>
        <w:rPr>
          <w:rFonts w:ascii="Times New Roman" w:cs="Times New Roman" w:eastAsia="Times New Roman" w:hAnsi="Times New Roman"/>
          <w:sz w:val="18"/>
          <w:szCs w:val="18"/>
          <w:color w:val="auto"/>
        </w:rPr>
      </w:pPr>
    </w:p>
    <w:p>
      <w:pPr>
        <w:ind w:left="12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998</w:t>
      </w:r>
    </w:p>
    <w:p>
      <w:pPr>
        <w:spacing w:after="0" w:line="9" w:lineRule="exact"/>
        <w:rPr>
          <w:sz w:val="20"/>
          <w:szCs w:val="20"/>
          <w:color w:val="auto"/>
        </w:rPr>
      </w:pPr>
    </w:p>
    <w:p>
      <w:pPr>
        <w:jc w:val="right"/>
        <w:ind w:right="1280"/>
        <w:spacing w:after="0"/>
        <w:rPr>
          <w:sz w:val="20"/>
          <w:szCs w:val="20"/>
          <w:color w:val="auto"/>
        </w:rPr>
      </w:pPr>
      <w:r>
        <w:rPr>
          <w:rFonts w:ascii="Times New Roman" w:cs="Times New Roman" w:eastAsia="Times New Roman" w:hAnsi="Times New Roman"/>
          <w:sz w:val="18"/>
          <w:szCs w:val="18"/>
          <w:color w:val="auto"/>
        </w:rPr>
        <w:t>(769)</w:t>
      </w:r>
    </w:p>
    <w:p>
      <w:pPr>
        <w:spacing w:after="0" w:line="9" w:lineRule="exact"/>
        <w:rPr>
          <w:sz w:val="20"/>
          <w:szCs w:val="20"/>
          <w:color w:val="auto"/>
        </w:rPr>
      </w:pPr>
    </w:p>
    <w:p>
      <w:pPr>
        <w:ind w:left="1062" w:hanging="1062"/>
        <w:spacing w:after="0"/>
        <w:tabs>
          <w:tab w:leader="none" w:pos="106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429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9429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584" w:lineRule="exact"/>
        <w:rPr>
          <w:sz w:val="20"/>
          <w:szCs w:val="20"/>
          <w:color w:val="auto"/>
        </w:rPr>
      </w:pPr>
    </w:p>
    <w:p>
      <w:pPr>
        <w:sectPr>
          <w:pgSz w:w="11900" w:h="16838" w:orient="portrait"/>
          <w:cols w:equalWidth="0" w:num="2">
            <w:col w:w="7698" w:space="720"/>
            <w:col w:w="2822"/>
          </w:cols>
          <w:pgMar w:left="320" w:top="765" w:right="3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2026, the revenue expected to be recognized in future periods related to performance obligations that are unsatisfied for executed contracts with an original duration of one year or more was approximately $45,009. The Company expects to satisfy its remaining performance obligations by December 31, 2031, with $12,858 to be satisfied by December 31, 2026, $12,829 to be satisfied by December 31, 2027, $10,031 to be satisfied by December 31, 2028, $6,726 to be satisfied by December 31, 2029, $2,314 to be satisfied by December 31, 2030, and $251 to be satisfied by December 31, 2031. The Company does not disclose the value of unsatisfied</w:t>
      </w:r>
    </w:p>
    <w:p>
      <w:pPr>
        <w:sectPr>
          <w:pgSz w:w="11900" w:h="16838" w:orient="portrait"/>
          <w:cols w:equalWidth="0" w:num="1">
            <w:col w:w="11240"/>
          </w:cols>
          <w:pgMar w:left="320" w:top="765" w:right="339" w:bottom="1440" w:gutter="0" w:footer="0" w:header="0"/>
          <w:type w:val="continuous"/>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performance obligations for (i) contracts with original expected lengths of one year or less or (ii) contracts for which the Company recognizes revenue at the amount to which it has the right to invoice for the products delivered or services performed.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the Company’s cash, cash equivalents, accounts receivable, accounts payable, accrued liabilities, and other current liabilities approximate fair value based on the short-term maturities of these instruments. The carrying value of the Company’s notes receivable also approximates fair value based on the associated credit risk.</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classifies money market funds and government securities as Level 1 within the fair value hierarchy as the fair value is based on quoted prices. The Company classifies its warrant derivative liabilities as Level 3 within the fair value hierarchy as the Company estimates the fair value of the warrant liabilities using recently quoted market prices of the Company's common stock and the Black-Scholes option pricing model, refer to Note 9,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Company's assets and liabilities at fair value as of March 31, 2026 and December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12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derivative liabilities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16,246</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16,246</w:t>
            </w:r>
          </w:p>
        </w:tc>
        <w:tc>
          <w:tcPr>
            <w:tcW w:w="120" w:type="dxa"/>
            <w:vAlign w:val="bottom"/>
            <w:shd w:val="clear" w:color="auto" w:fill="CFF0FC"/>
          </w:tcPr>
          <w:p>
            <w:pPr>
              <w:spacing w:after="0"/>
              <w:rPr>
                <w:sz w:val="18"/>
                <w:szCs w:val="18"/>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16,246</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16,246</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4"/>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8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12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12,854</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12,854</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derivative liabilities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40,194</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40,194</w:t>
            </w:r>
          </w:p>
        </w:tc>
        <w:tc>
          <w:tcPr>
            <w:tcW w:w="120" w:type="dxa"/>
            <w:vAlign w:val="bottom"/>
            <w:shd w:val="clear" w:color="auto" w:fill="CFF0FC"/>
          </w:tcPr>
          <w:p>
            <w:pPr>
              <w:spacing w:after="0"/>
              <w:rPr>
                <w:sz w:val="18"/>
                <w:szCs w:val="18"/>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40,194</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40,194</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-2262505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-2262505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-2262505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-2262505</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-1679575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-1679575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-1679575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-1679575</wp:posOffset>
            </wp:positionV>
            <wp:extent cx="77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-1289050</wp:posOffset>
            </wp:positionV>
            <wp:extent cx="93980" cy="1365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-1289050</wp:posOffset>
            </wp:positionV>
            <wp:extent cx="93980" cy="1365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-1289050</wp:posOffset>
            </wp:positionV>
            <wp:extent cx="93980" cy="1365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-1289050</wp:posOffset>
            </wp:positionV>
            <wp:extent cx="102870" cy="1365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870" cy="13652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-753745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-753745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-753745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fair value hierarchy levels during three months ended March 31, 2026 and 2025.</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Company’s financial assets that are measured at fair value on a recurring basis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2"/>
                <w:szCs w:val="12"/>
                <w:color w:val="auto"/>
              </w:rPr>
            </w:pPr>
          </w:p>
        </w:tc>
        <w:tc>
          <w:tcPr>
            <w:tcW w:w="11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2"/>
                <w:szCs w:val="12"/>
                <w:color w:val="auto"/>
              </w:rPr>
            </w:pPr>
          </w:p>
        </w:tc>
        <w:tc>
          <w:tcPr>
            <w:tcW w:w="112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6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6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8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2"/>
                <w:szCs w:val="12"/>
                <w:color w:val="auto"/>
              </w:rPr>
            </w:pPr>
          </w:p>
        </w:tc>
        <w:tc>
          <w:tcPr>
            <w:tcW w:w="11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2"/>
                <w:szCs w:val="12"/>
                <w:color w:val="auto"/>
              </w:rPr>
            </w:pPr>
          </w:p>
        </w:tc>
        <w:tc>
          <w:tcPr>
            <w:tcW w:w="112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6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6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-1224915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-1207770</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-1224915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-1207770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-1224915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-1207770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-170815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-170815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liabilities measured on a recurring basis using unobservable Level 3 inputs for the period ended March 31, 2026 is set forth below:</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1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 w:type="dxa"/>
            <w:vAlign w:val="bottom"/>
          </w:tcPr>
          <w:p>
            <w:pPr>
              <w:spacing w:after="0"/>
              <w:rPr>
                <w:sz w:val="13"/>
                <w:szCs w:val="13"/>
                <w:color w:val="auto"/>
              </w:rPr>
            </w:pPr>
          </w:p>
        </w:tc>
        <w:tc>
          <w:tcPr>
            <w:tcW w:w="120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80" w:type="dxa"/>
            <w:vAlign w:val="bottom"/>
          </w:tcPr>
          <w:p>
            <w:pPr>
              <w:spacing w:after="0"/>
              <w:rPr>
                <w:sz w:val="13"/>
                <w:szCs w:val="13"/>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2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120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Warrant</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20,635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(12,083)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8,552</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Series B Warrant</w:t>
            </w: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(11,865)</w:t>
            </w:r>
          </w:p>
        </w:tc>
        <w:tc>
          <w:tcPr>
            <w:tcW w:w="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7,694</w:t>
            </w: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700" w:type="dxa"/>
            <w:vAlign w:val="bottom"/>
            <w:vMerge w:val="continue"/>
          </w:tcPr>
          <w:p>
            <w:pPr>
              <w:spacing w:after="0"/>
              <w:rPr>
                <w:sz w:val="21"/>
                <w:szCs w:val="21"/>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warrant liabilities</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40,194</w:t>
            </w:r>
          </w:p>
        </w:tc>
        <w:tc>
          <w:tcPr>
            <w:tcW w:w="8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(23,948)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16,246</w:t>
            </w:r>
          </w:p>
        </w:tc>
        <w:tc>
          <w:tcPr>
            <w:tcW w:w="0" w:type="dxa"/>
            <w:vAlign w:val="bottom"/>
          </w:tcPr>
          <w:p>
            <w:pPr>
              <w:spacing w:after="0"/>
              <w:rPr>
                <w:sz w:val="1"/>
                <w:szCs w:val="1"/>
                <w:color w:val="auto"/>
              </w:rPr>
            </w:pPr>
          </w:p>
        </w:tc>
      </w:tr>
      <w:tr>
        <w:trPr>
          <w:trHeight w:val="521"/>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tc>
        <w:tc>
          <w:tcPr>
            <w:tcW w:w="43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balances were as follows: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7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Borders>
              <w:bottom w:val="single" w:sz="8" w:color="auto"/>
            </w:tcBorders>
            <w:gridSpan w:val="5"/>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5"/>
                <w:szCs w:val="15"/>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4,622</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4,153</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18,906</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8"/>
                <w:szCs w:val="18"/>
                <w:color w:val="auto"/>
              </w:rPr>
            </w:pPr>
          </w:p>
        </w:tc>
        <w:tc>
          <w:tcPr>
            <w:tcW w:w="80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23,099</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21,520</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-1422400</wp:posOffset>
            </wp:positionV>
            <wp:extent cx="431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-1405255</wp:posOffset>
            </wp:positionV>
            <wp:extent cx="431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-1422400</wp:posOffset>
            </wp:positionV>
            <wp:extent cx="431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-1405255</wp:posOffset>
            </wp:positionV>
            <wp:extent cx="431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-1422400</wp:posOffset>
            </wp:positionV>
            <wp:extent cx="51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-1405255</wp:posOffset>
            </wp:positionV>
            <wp:extent cx="51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431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Systems. The Company’s leases have remaining lease terms of less than one year to five years. Lease revenue for the three months ended March 31, 2026 and 2025 was as follows:</w:t>
      </w:r>
    </w:p>
    <w:p>
      <w:pPr>
        <w:spacing w:after="0" w:line="47"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-3175</wp:posOffset>
            </wp:positionV>
            <wp:extent cx="170561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ind w:left="7260"/>
        <w:spacing w:after="0"/>
        <w:tabs>
          <w:tab w:leader="none" w:pos="870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-3175</wp:posOffset>
            </wp:positionV>
            <wp:extent cx="4989195"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ind w:left="1700"/>
        <w:spacing w:after="0"/>
        <w:tabs>
          <w:tab w:leader="none" w:pos="6780" w:val="left"/>
          <w:tab w:leader="none" w:pos="7600" w:val="left"/>
          <w:tab w:leader="none" w:pos="8220" w:val="left"/>
          <w:tab w:leader="none" w:pos="9040" w:val="left"/>
        </w:tabs>
        <w:rPr>
          <w:sz w:val="20"/>
          <w:szCs w:val="20"/>
          <w:color w:val="auto"/>
        </w:rPr>
      </w:pPr>
      <w:r>
        <w:rPr>
          <w:rFonts w:ascii="Times New Roman" w:cs="Times New Roman" w:eastAsia="Times New Roman" w:hAnsi="Times New Roman"/>
          <w:sz w:val="18"/>
          <w:szCs w:val="18"/>
          <w:color w:val="auto"/>
        </w:rPr>
        <w:t>Lease revenue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1,681</w:t>
        <w:tab/>
        <w:t>$</w:t>
      </w:r>
      <w:r>
        <w:rPr>
          <w:sz w:val="20"/>
          <w:szCs w:val="20"/>
          <w:color w:val="auto"/>
        </w:rPr>
        <w:tab/>
      </w:r>
      <w:r>
        <w:rPr>
          <w:rFonts w:ascii="Times New Roman" w:cs="Times New Roman" w:eastAsia="Times New Roman" w:hAnsi="Times New Roman"/>
          <w:sz w:val="18"/>
          <w:szCs w:val="18"/>
          <w:color w:val="auto"/>
        </w:rPr>
        <w:t>1,884</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intangible assets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1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820" w:type="dxa"/>
            <w:vAlign w:val="bottom"/>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1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840" w:type="dxa"/>
            <w:vAlign w:val="bottom"/>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1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8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1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Customer relationships </w:t>
            </w:r>
            <w:r>
              <w:rPr>
                <w:rFonts w:ascii="Times New Roman" w:cs="Times New Roman" w:eastAsia="Times New Roman" w:hAnsi="Times New Roman"/>
                <w:sz w:val="24"/>
                <w:szCs w:val="24"/>
                <w:color w:val="auto"/>
                <w:vertAlign w:val="superscript"/>
              </w:rPr>
              <w:t>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5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Acquired technology </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(5,469)</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(5,316)</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Acquired trademarks </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14,062</w:t>
            </w:r>
          </w:p>
        </w:tc>
        <w:tc>
          <w:tcPr>
            <w:tcW w:w="5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(8,871)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380" w:hanging="372"/>
        <w:spacing w:after="0" w:line="266"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intangible assets were established upon PDL BioPharma, Inc.’s acquisition of LENSAR in May 2017. They are being amortized on a straight-line basis over a period of 15 years. The intangible assets for customer relationships are amortized on a straight-line basis or a double declining basis over their estimated useful lives up to 20 years based on the method that better represents the economic benefits to be obtained.</w:t>
      </w:r>
    </w:p>
    <w:p>
      <w:pPr>
        <w:spacing w:after="0" w:line="67"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acquired certain intangible assets for customer relationships from a domestic distributor in an asset acquisition, which are being amortized on a straight-line basis over a period of 10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three months ended March 31, 2026 and 2025 was $229 and $232,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intangible assets recorded at March 31, 2026, and assuming no subsequent additions to or impairment of the underlying assets, the remaining amortization expense is expected to be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442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Remainder of 2026</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540" w:type="dxa"/>
            <w:vAlign w:val="bottom"/>
            <w:tcBorders>
              <w:left w:val="single" w:sz="8" w:color="CFF0FC"/>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540" w:type="dxa"/>
            <w:vAlign w:val="bottom"/>
            <w:tcBorders>
              <w:left w:val="single" w:sz="8" w:color="CFF0FC"/>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2030</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540" w:type="dxa"/>
            <w:vAlign w:val="bottom"/>
            <w:tcBorders>
              <w:left w:val="single" w:sz="8" w:color="CFF0FC"/>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2031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540" w:type="dxa"/>
            <w:vAlign w:val="bottom"/>
            <w:tcBorders>
              <w:left w:val="single" w:sz="8" w:color="CFF0FC"/>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Total remaining estimated amortization expense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Accrued Liabilities</w:t>
            </w: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12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20"/>
                <w:szCs w:val="20"/>
                <w:color w:val="auto"/>
              </w:rPr>
            </w:pPr>
          </w:p>
        </w:tc>
        <w:tc>
          <w:tcPr>
            <w:tcW w:w="138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4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Compensation</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5,050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Professional Services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4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Warranty</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4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44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7,771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-1996440</wp:posOffset>
            </wp:positionV>
            <wp:extent cx="342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431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431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Warrant Liabilities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2023, the Company completed the Private Placement (as defined below), which included the issuance of warrants (the “Warrants”) to purchase an aggregate of 4,367 shares of common stock (the “Warrant Shares”). Fifty percent of the Warrants have an exercise price equal to $2.45 per share (the “Series A Warrant”), and 50% of the Warrants have an exercise price equal to $3.0625 per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1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share (the “Series B Warrant”), subject in each instance to adjustments as provided under the terms of the Warrants. Refer to Note 11, </w:t>
      </w:r>
      <w:r>
        <w:rPr>
          <w:rFonts w:ascii="Times New Roman" w:cs="Times New Roman" w:eastAsia="Times New Roman" w:hAnsi="Times New Roman"/>
          <w:sz w:val="18"/>
          <w:szCs w:val="18"/>
          <w:i w:val="1"/>
          <w:iCs w:val="1"/>
          <w:color w:val="auto"/>
        </w:rPr>
        <w:t>Redeemable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Preferred Stock</w:t>
      </w:r>
      <w:r>
        <w:rPr>
          <w:rFonts w:ascii="Times New Roman" w:cs="Times New Roman" w:eastAsia="Times New Roman" w:hAnsi="Times New Roman"/>
          <w:sz w:val="18"/>
          <w:szCs w:val="18"/>
          <w:color w:val="auto"/>
        </w:rPr>
        <w:t>, for more details related to the Private Placement.</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the occurrence of certain transactions (“Fundamental Transactions,” as defined below), the Warrants provide that they are redeemable by the holder thereof for a value determined using a Black Scholes option pricing model with inputs calculated as described in the applicable Warrant, which includes a 100% floor on the volatility input to be utilized. The Company has determined that this provision introduces leverage to the holders of the Warrants that could result in a value that would be greater than the settlement amount of a fixed-for-fixed option on the Company’s own equity shares. Accordingly, pursuant to ASC 815, the Company classified the fair value of the Warrants as a liability to be re-measured at the end of every reporting period with the change in value reported in the statements of operations. Of the $20,000 gross proceeds for the Private Placement, $5,605 was allocated to the Warrants and the remaining $14,395 was allocated to the Series A Redeemable Convertible Preferred Stock.</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warrant liabilities using recently quoted market prices of the Company's common stock and the Black-Scholes option pricing model. The fair value of the warrant liabilities was estimated using the following assumptions as of March 31, 2026 and December 31, 2025:</w:t>
      </w:r>
    </w:p>
    <w:p>
      <w:pPr>
        <w:spacing w:after="0" w:line="4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5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5"/>
                <w:szCs w:val="15"/>
                <w:color w:val="auto"/>
              </w:rPr>
            </w:pP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FF0FC"/>
          </w:tcPr>
          <w:p>
            <w:pPr>
              <w:spacing w:after="0"/>
              <w:rPr>
                <w:sz w:val="18"/>
                <w:szCs w:val="18"/>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20"/>
                <w:szCs w:val="20"/>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for the warrant liabilities was based on the remaining contractual term of the Warrants.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was based on the rates paid on securities issued by the U.S. Treasury with a term approximating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expected volatility for the warrant liabilities was based on an index of the historical volatilities of a group of comparable publicly-traded medical device and other peer companies, which the Company believed was representative of the volatility of its common stock.</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The Company does not intend to pay dividends for the foreseeable future. Accordingly, the Company used a dividend yield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zero in the assumptions.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Obligation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 party to various supply agreements for the manufacture and supply of certain components. The supply agreements commit the Company to a minimum purchase obligation of approximately $11,135 over the next 24 months. The Company expects to meet these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medical device market in which the Company participates is largely technology driven. As a result, intellectual property rights, particularly patents and trade secrets, play a significant role in product development and differentiation. The Company makes provisions for liabilities when it is both probable that a liability has been incurred and the amount of the loss can be reasonably estimated.</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relating to matters incidental to the terminated Merger Agreement and in the ordinary course of our business, including intellectual property, commercial, product liability, employment, class action, whistleblower and other litigation and claims, and governmental and other regulatory investigations and proceedings. There were no provisions for legal liabilities at March 31, 2026 and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Redeemable Convertible Preferred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Redeemable Convertible Preferred Stock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May 2023, the Company entered into a Securities Purchase Agreement (the “SPA”) with NR-GRI Partners, LP (“NR-GRI”), whereby it sold to NR-GRI, for an aggregate purchase price of $20,000, 20 shares of Series A Redeemable Convertible Preferred Stock and the Warrants (the “Private Placement”). Refer to Note 9,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for more details related to the Warrants. The Series A Redeemable Convertible Preferred Stock is convertible into 7,940 shares of common stock at the election of NR-GRI.</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 2023, the Company’s stockholders voted to approve the issuance of shares of the Company’s common stock issuable upon conversion of the shares of Series A Redeemable Convertible Preferred Stock and exercise of the Warrants. As a result of the stockholders’ approval of the Private Placement, applicable ownership limitations under Nasdaq rules were lifted, and NR-GRI became entitled to convert shares of Series A Redeemable Convertible Preferred Stock or exercise Warrants up to the full amount purchased in the Private Placement.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Series A Redeemable Convertible Preferred Stock are entitled to vote on an as-converted basis with holders of common stock. The Series A Redeemable Convertible Preferred Stock ranks senior to the common stock as to distributions and payments upon the liquidation, dissolution and winding up of the Company, and holders of Series A Redeemable Convertible Preferred Stock participate with the holders of the common stock on an as-converted basis to the extent any dividends are declared on common stock. The shares of Series A Redeemable Convertible Preferred Stock will automatically be redeemed in connection with certain transactions (“Fundamental Transactions”), including a merger, sale of all or substantially all the assets of the Company, recapitalization, or the sale by the Company of shares resulting in more than 50% ownership by a person or group. In such event, the redemption price would be equal to the greater of the stated value of the shares of Series A Redeemable Convertible Preferred Stock or the consideration per share of common stock in the Fundamental Transaction (or in the absence of such consideration, the volume-weighted average price of the Company’s common stock immediately preceding the closing of the Fundamental Transaction).</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Series A Redeemable Convertible Preferred Stock is classified as temporary equity in the condensed balance sheet because redemption automatically occurs upon a Fundamental Transaction. However, redemption is not considered probable; therefore, the Series A Redeemable Convertible Preferred Stock is not accreted to face value. The proceeds of the transaction were allocated first to the fair value of warrants due to the classification of the warrants as a liability on the condensed balance sheet and the remainder of the proceeds were allocated to the Series A Redeemable Convertible Preferred Stock. Offering costs of $901 were allocated ratably based on the allocation of proceeds; $253 was allocated to the general and administrative expenses and $648 was allocated to Series A Redeemable Convertible Preferred Stock. Series A Redeemable Convertible Preferred Stock is presented net of offering costs on the condensed balance sheet.</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parties’ entry into the SPA, the Company and NR-GRI entered into a Registration Rights Agreement, pursuant to which the Company filed a resale registration statement on Form S-3 (No. 333-272930) with respect to the resale of the shares of the Company’s common stock issuable upon conversion of the shares of Series A Redeemable Convertible Preferred Stock and exercise of the Warrants.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a single class of common stock in which stockholders are entitled to one vote for each share of common stock. No cash dividend was declared on common stock during the three months ended March 31, 2026 and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Stock-Based Incentive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The 2020 Plan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In July 2020, the Board of Directors approved the LENSAR Inc. 2020 Incentive Award Plan (the “2020 Plan”). The 2020 Plan provides for the grant of stock options, restricted stock, restricted stock unit awards, performance stock unit awards and other stock-based awards to recipients. The amount and terms of grants are determined by the Company’s Board of Directors or a duly authorized committee thereof. Participants must pay the Company, or make provisions to pay, any required withholding taxes by the date of the event creating the tax liability. Participants may satisfy the tax liability in cash or in stock. A total of 3,333 shares of common stock were initially reserved for issuance pursuant to the 2020 Plan. The number of shares available for issuance under the 2020 Plan includes an annual increase on the first day of each fiscal year beginning fiscal 2021, equal to the lesser of (i) 5% of the aggregate number of shares</w:t>
      </w:r>
    </w:p>
    <w:p>
      <w:pPr>
        <w:sectPr>
          <w:pgSz w:w="11900" w:h="16838" w:orient="portrait"/>
          <w:cols w:equalWidth="0" w:num="1">
            <w:col w:w="11240"/>
          </w:cols>
          <w:pgMar w:left="320" w:top="765"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1" w:name="page22"/>
    <w:bookmarkEnd w:id="2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outstanding on the final day of the immediately preceding calendar year and (ii) such smaller number of shares as determined by the Board of Directors. As of March 31, 2026, the Company has reserved a total of 6,733 shares of common stock for issuance under the 2020 Plan.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The Inducement Plan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In February 2024, the Board adopted the 2024 Employment Inducement Incentive Award Plan (the “Inducement Plan”). The Inducement Plan provides for the grant of non-qualified stock options, stock appreciation rights, restricted stock awards, restricted stock units, and other stock or cash based awards (collectively, the “Inducement Awards”). The Inducement Plan was recommended for approval by the Compensation Committee of the Board and subsequently approved and adopted by the Board without stockholder approval pursuant to Rule 5635(c)(4) of the Nasdaq Listing Rules. A maximum of 100 shares of common stock were reserved for issuance pursuant to the Inducement Plan. In accordance with Rule 5635(c)(4) of the Nasdaq Listing Rules, Inducement Awards under the 2024 Plan may only be made to an employee who has not previously been an employee or member of the Board, or following a bona fide period of non-employment by the Company, if he or she is granted such Inducement Awards in connection with his or her commencement of employment with the Company and such grant is an inducement material to his or her entering into employment with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summary of the shares available for issuance under the 2020 Plan and Inducement Plan (collectively, the “Incentive Plans”) is as follows:</w:t>
      </w:r>
    </w:p>
    <w:p>
      <w:pPr>
        <w:spacing w:after="0" w:line="9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00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2020 Plan</w:t>
            </w:r>
          </w:p>
        </w:tc>
        <w:tc>
          <w:tcPr>
            <w:tcW w:w="100" w:type="dxa"/>
            <w:vAlign w:val="bottom"/>
          </w:tcPr>
          <w:p>
            <w:pPr>
              <w:spacing w:after="0"/>
              <w:rPr>
                <w:sz w:val="13"/>
                <w:szCs w:val="13"/>
                <w:color w:val="auto"/>
              </w:rPr>
            </w:pPr>
          </w:p>
        </w:tc>
        <w:tc>
          <w:tcPr>
            <w:tcW w:w="10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Inducement</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20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Granted/Awarded</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Cancelled/Forfeited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9"/>
        </w:trPr>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-25400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exercise price of incentive stock options (“ISOs”) and nonqualified stock options (“NSOs”) shall not be less than 100% of the fair market value on the grant date of the option and the term may not exceed 10 years. The exercise price of ISOs granted to a 10% stockholder shall not be less than 110% of the estimated fair market value on the grant date of the option and the term may not exceed five years. To date, options have a term of 10 years and generally vest over one to four years from the grant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award activity under the Incentive Plans is set forth below:</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1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00" w:type="dxa"/>
            <w:vAlign w:val="bottom"/>
          </w:tcPr>
          <w:p>
            <w:pPr>
              <w:spacing w:after="0"/>
              <w:rPr>
                <w:sz w:val="15"/>
                <w:szCs w:val="15"/>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at March 31, 2026</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 at March 31, 2026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-448310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-431165</wp:posOffset>
            </wp:positionV>
            <wp:extent cx="60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options granted during the three months ended March 31, 2026. The total fair value of options vested during the three months ended March 31, 2026 was approximately $115. Total unrecognized compensation expense of $161 related to stock options will be recognized over a weighted average period of 1.0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vested as of March 31, 2026:</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20" w:type="dxa"/>
            <w:vAlign w:val="bottom"/>
            <w:tcBorders>
              <w:bottom w:val="single" w:sz="8" w:color="auto"/>
            </w:tcBorders>
            <w:gridSpan w:val="5"/>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Options Vested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40" w:type="dxa"/>
            <w:vAlign w:val="bottom"/>
          </w:tcPr>
          <w:p>
            <w:pPr>
              <w:spacing w:after="0"/>
              <w:rPr>
                <w:sz w:val="10"/>
                <w:szCs w:val="10"/>
                <w:color w:val="auto"/>
              </w:rPr>
            </w:pPr>
          </w:p>
        </w:tc>
        <w:tc>
          <w:tcPr>
            <w:tcW w:w="11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vMerge w:val="restart"/>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4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40" w:type="dxa"/>
            <w:vAlign w:val="bottom"/>
            <w:gridSpan w:val="2"/>
            <w:vMerge w:val="continue"/>
          </w:tcPr>
          <w:p>
            <w:pPr>
              <w:spacing w:after="0"/>
              <w:rPr>
                <w:sz w:val="12"/>
                <w:szCs w:val="12"/>
                <w:color w:val="auto"/>
              </w:rPr>
            </w:pPr>
          </w:p>
        </w:tc>
        <w:tc>
          <w:tcPr>
            <w:tcW w:w="128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0" w:type="dxa"/>
            <w:vAlign w:val="bottom"/>
          </w:tcPr>
          <w:p>
            <w:pPr>
              <w:spacing w:after="0"/>
              <w:rPr>
                <w:sz w:val="1"/>
                <w:szCs w:val="1"/>
                <w:color w:val="auto"/>
              </w:rPr>
            </w:pPr>
          </w:p>
        </w:tc>
      </w:tr>
      <w:tr>
        <w:trPr>
          <w:trHeight w:val="173"/>
        </w:trPr>
        <w:tc>
          <w:tcPr>
            <w:tcW w:w="460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$2.15 - $3.10</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320</w:t>
            </w:r>
          </w:p>
        </w:tc>
        <w:tc>
          <w:tcPr>
            <w:tcW w:w="1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2.66</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249</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$3.23</w:t>
            </w: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422</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6"/>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$3.27</w:t>
            </w:r>
          </w:p>
        </w:tc>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$5.95</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4.23</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$6.04</w:t>
            </w: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$6.07</w:t>
            </w:r>
          </w:p>
        </w:tc>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$13.48</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631</w:t>
            </w:r>
          </w:p>
        </w:tc>
        <w:tc>
          <w:tcPr>
            <w:tcW w:w="1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7.46</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627</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10"/>
        </w:trPr>
        <w:tc>
          <w:tcPr>
            <w:tcW w:w="440" w:type="dxa"/>
            <w:vAlign w:val="bottom"/>
            <w:tcBorders>
              <w:top w:val="single" w:sz="8" w:color="CFF0FC"/>
            </w:tcBorders>
          </w:tcPr>
          <w:p>
            <w:pPr>
              <w:spacing w:after="0"/>
              <w:rPr>
                <w:sz w:val="18"/>
                <w:szCs w:val="18"/>
                <w:color w:val="auto"/>
              </w:rPr>
            </w:pPr>
          </w:p>
        </w:tc>
        <w:tc>
          <w:tcPr>
            <w:tcW w:w="4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60" w:type="dxa"/>
            <w:vAlign w:val="bottom"/>
            <w:tcBorders>
              <w:top w:val="single" w:sz="8" w:color="CFF0FC"/>
            </w:tcBorders>
          </w:tcPr>
          <w:p>
            <w:pPr>
              <w:spacing w:after="0"/>
              <w:rPr>
                <w:sz w:val="18"/>
                <w:szCs w:val="18"/>
                <w:color w:val="auto"/>
              </w:rPr>
            </w:pPr>
          </w:p>
        </w:tc>
        <w:tc>
          <w:tcPr>
            <w:tcW w:w="1560" w:type="dxa"/>
            <w:vAlign w:val="bottom"/>
            <w:tcBorders>
              <w:top w:val="single" w:sz="8" w:color="CFF0FC"/>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FF0FC"/>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-170815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stock-options using the Black-Scholes option pricing model. The fair value of stock options is being amortized on a straight-line basis over the requisite service period of the awards. The fair value of stock options was estimated using the following assumptions for the three months ended March 31, 2025:</w:t>
      </w:r>
    </w:p>
    <w:p>
      <w:pPr>
        <w:spacing w:after="0" w:line="4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588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5880" w:type="dxa"/>
            <w:vAlign w:val="bottom"/>
          </w:tcPr>
          <w:p>
            <w:pPr>
              <w:spacing w:after="0"/>
              <w:rPr>
                <w:sz w:val="12"/>
                <w:szCs w:val="12"/>
                <w:color w:val="auto"/>
              </w:rPr>
            </w:pPr>
          </w:p>
        </w:tc>
        <w:tc>
          <w:tcPr>
            <w:tcW w:w="19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1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4.0- 4.4%</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for the Company’s stock-based compensation awards was based on an index of the expected terms of a group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publicly-traded medical device and other peer companies, which the Company believed was representative of the expected term of its awards.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was based on the rates paid on securities issued by the U.S. Treasury with a term approximating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expected volatility for the Company’s stock-based compensation awards was based on an index of the historical volatilities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of comparable publicly-traded medical device and other peer companies, which the Company believed was representative of the volatility of its common stock.</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The Company does not intend to pay dividends for the foreseeable future. Accordingly, the Company used a dividend yield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zero in the assumptions.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stock units granted to employees and non-employees generally vest over one to four years in regular increments. The fair value of restricted stock units is based on the Company’s closing stock price on the date of grant.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Performance stock units granted to certain executive officers are subject to service and performance conditions. The shares subject to the performance stock units vest over a four-year performance period. The actual number of performance stock units that will vest in each measurement period will be determined by the Compensation Committee based on the Company’s one-year trailing revenues and achievement of certain revenue thresholds. The fair value of performance stock units is based on the Company’s closing stock price on the date of grant.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 and performance stock unit activity under the Incentive Plans is set forth below:</w:t>
      </w:r>
    </w:p>
    <w:p>
      <w:pPr>
        <w:spacing w:after="0" w:line="111"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78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Restricted Stock Units Outstanding</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4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4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cancelled</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March 31, 2026</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unreleased restricted stock units at March 31, 2026</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-299720</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-282575</wp:posOffset>
            </wp:positionV>
            <wp:extent cx="514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fair value of restricted stock units vested during the three months ended March 31, 2026 was approximately $1,106. At March 31, 2026 there was approximately $3,679 of total unrecognized compensation expense related to restricted stock units and performance stock units, which is expected to be recognized over a weighted-average period of 2.1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Employee Stock Purchase Plan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2020, the Board of Directors approved the LENSAR, Inc. 2020 Employee Stock Purchase Plan (the “2020 ESPP”), under which eligible employees are permitted to purchase common stock at a discount through payroll deductions. A total of 340 shares of common stock were initially reserved for issuance. The number of shares available for issuance under the 2020 ESPP includes an increase on the first day of each fiscal year, beginning in 2022, by an amount equal to the lesser of (i) 1.0% of the outstanding shares of common stock as of the last day of the immediately preceding fiscal year; or (ii) a lesser amount as determined by the Board of Directors. </w:t>
      </w:r>
      <w:r>
        <w:rPr>
          <w:rFonts w:ascii="Times New Roman" w:cs="Times New Roman" w:eastAsia="Times New Roman" w:hAnsi="Times New Roman"/>
          <w:sz w:val="18"/>
          <w:szCs w:val="18"/>
          <w:color w:val="231F20"/>
        </w:rPr>
        <w:t>As of March 31, 2026, the Company has reserved 801 shares of common stock for issuance 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the 2020 ESPP. </w:t>
      </w:r>
      <w:r>
        <w:rPr>
          <w:rFonts w:ascii="Times New Roman" w:cs="Times New Roman" w:eastAsia="Times New Roman" w:hAnsi="Times New Roman"/>
          <w:sz w:val="18"/>
          <w:szCs w:val="18"/>
          <w:color w:val="000000"/>
        </w:rPr>
        <w:t>The price of the common stock purchased will be the lower of 85% of the fair market value of the common stock at the beginning of an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offering period or at the end of a purchase period. The 2020 ESPP is intended to qualify as an "employee stock purchase plan" within the meaning of Section 423 of the Code.</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31, 2026, 494 shares of common stock have been issued to employees participating in the 2020 ESPP and 307 shares were available for future issuance under the 2020 ESPP. The grant date fair value of the shares to be issued under the Company’s 2020 ESPP was estimated using the Black-Scholes valuation model.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following table sets forth the total stock-based compensation expense recognized under the Incentive Plans and the 2020 ESPP in the Company’s condensed statements of operations:</w:t>
      </w:r>
    </w:p>
    <w:p>
      <w:pPr>
        <w:spacing w:after="0" w:line="47"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 – product</w:t>
            </w:r>
          </w:p>
        </w:tc>
        <w:tc>
          <w:tcPr>
            <w:tcW w:w="33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8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 – product</w:t>
            </w:r>
          </w:p>
        </w:tc>
        <w:tc>
          <w:tcPr>
            <w:tcW w:w="3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 service</w:t>
            </w:r>
          </w:p>
        </w:tc>
        <w:tc>
          <w:tcPr>
            <w:tcW w:w="3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3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460" w:type="dxa"/>
            <w:vAlign w:val="bottom"/>
            <w:gridSpan w:val="2"/>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64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4380" w:type="dxa"/>
            <w:vAlign w:val="bottom"/>
            <w:tcBorders>
              <w:top w:val="single" w:sz="8" w:color="CFF0FC"/>
            </w:tcBorders>
          </w:tcPr>
          <w:p>
            <w:pPr>
              <w:spacing w:after="0"/>
              <w:rPr>
                <w:sz w:val="24"/>
                <w:szCs w:val="24"/>
                <w:color w:val="auto"/>
              </w:rPr>
            </w:pPr>
          </w:p>
        </w:tc>
        <w:tc>
          <w:tcPr>
            <w:tcW w:w="336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19</w:t>
            </w:r>
          </w:p>
        </w:tc>
        <w:tc>
          <w:tcPr>
            <w:tcW w:w="1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-934085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-916940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unrecognized stock-based compensation expense is expected to be amortized as follows:</w:t>
      </w:r>
    </w:p>
    <w:p>
      <w:pPr>
        <w:spacing w:after="0" w:line="111"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3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-170815</wp:posOffset>
            </wp:positionV>
            <wp:extent cx="431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amounts included in this table are based on restricted stock units, performance stock units, and stock options outstanding at March 31, 2026 and assumes the requisite service period is fulfilled for all awards outstanding. Actual stock-based compensation expense in future periods may vary from those reflected in the table.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(Loss) per Share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numerator (income (loss)) and the denominator (number of shares) used in the basic and diluted loss per share calculations:</w:t>
      </w:r>
    </w:p>
    <w:p>
      <w:pPr>
        <w:spacing w:after="0" w:line="47"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4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shd w:val="clear" w:color="auto" w:fill="CFF0FC"/>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36,332</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(27,345)</w:t>
            </w:r>
          </w:p>
        </w:tc>
        <w:tc>
          <w:tcPr>
            <w:tcW w:w="0" w:type="dxa"/>
            <w:vAlign w:val="bottom"/>
          </w:tcPr>
          <w:p>
            <w:pPr>
              <w:spacing w:after="0"/>
              <w:rPr>
                <w:sz w:val="1"/>
                <w:szCs w:val="1"/>
                <w:color w:val="auto"/>
              </w:rPr>
            </w:pPr>
          </w:p>
        </w:tc>
      </w:tr>
      <w:tr>
        <w:trPr>
          <w:trHeight w:val="216"/>
        </w:trPr>
        <w:tc>
          <w:tcPr>
            <w:tcW w:w="76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Percentage allocated to common stockholders</w:t>
            </w:r>
            <w:r>
              <w:rPr>
                <w:rFonts w:ascii="Times New Roman" w:cs="Times New Roman" w:eastAsia="Times New Roman" w:hAnsi="Times New Roman"/>
                <w:sz w:val="24"/>
                <w:szCs w:val="24"/>
                <w:color w:val="auto"/>
                <w:vertAlign w:val="superscript"/>
              </w:rPr>
              <w:t>(1)</w:t>
            </w:r>
          </w:p>
        </w:tc>
        <w:tc>
          <w:tcPr>
            <w:tcW w:w="9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 for basic earnings (loss) per common share</w:t>
            </w:r>
          </w:p>
        </w:tc>
        <w:tc>
          <w:tcPr>
            <w:tcW w:w="940" w:type="dxa"/>
            <w:vAlign w:val="bottom"/>
            <w:shd w:val="clear" w:color="auto" w:fill="CFF0FC"/>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18,914</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(27,345)</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income allocated to Series A and Series B Warrants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(23,948)</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6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Numerator for diluted income (loss) per common share</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(27,345)</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shares of common stock, basic</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12,161</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Series A Warrants and Series B Warrants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common stock, diluted</w:t>
            </w:r>
          </w:p>
        </w:tc>
        <w:tc>
          <w:tcPr>
            <w:tcW w:w="940" w:type="dxa"/>
            <w:vAlign w:val="bottom"/>
            <w:tcBorders>
              <w:top w:val="single" w:sz="8" w:color="auto"/>
              <w:bottom w:val="single" w:sz="8" w:color="auto"/>
            </w:tcBorders>
            <w:shd w:val="clear" w:color="auto" w:fill="CFF0FC"/>
          </w:tcPr>
          <w:p>
            <w:pPr>
              <w:spacing w:after="0"/>
              <w:rPr>
                <w:sz w:val="21"/>
                <w:szCs w:val="2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15,420</w:t>
            </w:r>
          </w:p>
        </w:tc>
        <w:tc>
          <w:tcPr>
            <w:tcW w:w="3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income (loss) per common share</w:t>
            </w:r>
          </w:p>
        </w:tc>
        <w:tc>
          <w:tcPr>
            <w:tcW w:w="940" w:type="dxa"/>
            <w:vAlign w:val="bottom"/>
            <w:shd w:val="clear" w:color="auto" w:fill="CFF0FC"/>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Diluted income (loss) per common share</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6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line="216" w:lineRule="exact"/>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Basic weighted average common stock outstanding</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2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Basic weighted average common stock and participating securities (Series A Redeemable Convertible</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Preferred Stock, Series A Warrants, and Series B Warrants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23,360</w:t>
            </w:r>
          </w:p>
        </w:tc>
        <w:tc>
          <w:tcPr>
            <w:tcW w:w="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Percentage allocated to common stockholders</w:t>
            </w:r>
          </w:p>
        </w:tc>
        <w:tc>
          <w:tcPr>
            <w:tcW w:w="9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-1999615</wp:posOffset>
            </wp:positionV>
            <wp:extent cx="1111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-1999615</wp:posOffset>
            </wp:positionV>
            <wp:extent cx="1117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-1134110</wp:posOffset>
            </wp:positionV>
            <wp:extent cx="1111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-1116965</wp:posOffset>
            </wp:positionV>
            <wp:extent cx="1111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-1134110</wp:posOffset>
            </wp:positionV>
            <wp:extent cx="11176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-1116965</wp:posOffset>
            </wp:positionV>
            <wp:extent cx="1117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Basic earnings (loss) per common share is calculated by dividing the earnings (loss) attributable to common stockholders by the weighted-average number of shares of common stock outstanding during the period, without consideration of potentially dilutive securities. Diluted earnings (loss) per share is computed by dividing the earnings (loss) attributable to common stockholders by the weighted-average number of shares of common stock and potentially dilutive securities outstanding for the period. For purposes of the diluted earnings (loss) per share calculation, Series A Redeemable Convertible Preferred Stock, Series A Warrants, and Series B Warrants, stock options, restricted stock awards, and restricted stock units are considered to be potentially dilutive securities. Basic and diluted earnings (loss) attributable to common stockholders per share is presented in conformity with the two-class method required for participating securities. The Company considers Series A Redeemable Convertible Preferred Stock, Series A Warrants, and Series B Warrants to be participating securities, because holders of such instruments participate in the event a dividend is paid on common stock. The holder of the Series A Redeemable Convertible Preferred Stock, Series A Warrants and Series B Warrants does not have a contractual obligation to share in the Company’s losses. As such, losses are attributed entirely to common stockholders and for periods in which the Company has reported a net loss, diluted loss per common share is the same as basic loss per common share.</w:t>
      </w:r>
    </w:p>
    <w:p>
      <w:pPr>
        <w:sectPr>
          <w:pgSz w:w="11900" w:h="16838" w:orient="portrait"/>
          <w:cols w:equalWidth="0" w:num="1">
            <w:col w:w="11240"/>
          </w:cols>
          <w:pgMar w:left="320" w:top="765" w:right="339" w:bottom="1440"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5" w:name="page26"/>
    <w:bookmarkEnd w:id="2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amounts of equity securities from its diluted loss per share calculations for the three months ended March 31, 2026 and 2025 because their effect was anti-dilutive: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40" w:type="dxa"/>
            <w:vAlign w:val="bottom"/>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20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Series A Warrants and Series B Warrants</w:t>
            </w: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and performance stock units</w:t>
            </w:r>
          </w:p>
        </w:tc>
        <w:tc>
          <w:tcPr>
            <w:tcW w:w="20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The anti-dilutive weighted average shares excluded from the diluted loss per share calculations were:</w:t>
            </w: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2"/>
        </w:trPr>
        <w:tc>
          <w:tcPr>
            <w:tcW w:w="7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20" w:type="dxa"/>
            <w:vAlign w:val="bottom"/>
            <w:gridSpan w:val="5"/>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3"/>
        </w:trPr>
        <w:tc>
          <w:tcPr>
            <w:tcW w:w="76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1620" w:type="dxa"/>
            <w:vAlign w:val="bottom"/>
            <w:tcBorders>
              <w:bottom w:val="single" w:sz="8" w:color="auto"/>
            </w:tcBorders>
            <w:gridSpan w:val="2"/>
          </w:tcPr>
          <w:p>
            <w:pPr>
              <w:jc w:val="right"/>
              <w:ind w:right="60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7,940</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Series A Warrants</w:t>
            </w:r>
          </w:p>
        </w:tc>
        <w:tc>
          <w:tcPr>
            <w:tcW w:w="920" w:type="dxa"/>
            <w:vAlign w:val="bottom"/>
          </w:tcPr>
          <w:p>
            <w:pPr>
              <w:spacing w:after="0"/>
              <w:rPr>
                <w:sz w:val="18"/>
                <w:szCs w:val="18"/>
                <w:color w:val="auto"/>
              </w:rPr>
            </w:pPr>
          </w:p>
        </w:tc>
        <w:tc>
          <w:tcPr>
            <w:tcW w:w="152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B Warrants</w:t>
            </w:r>
          </w:p>
        </w:tc>
        <w:tc>
          <w:tcPr>
            <w:tcW w:w="920" w:type="dxa"/>
            <w:vAlign w:val="bottom"/>
            <w:shd w:val="clear" w:color="auto" w:fill="CFF0FC"/>
          </w:tcPr>
          <w:p>
            <w:pPr>
              <w:spacing w:after="0"/>
              <w:rPr>
                <w:sz w:val="18"/>
                <w:szCs w:val="18"/>
                <w:color w:val="auto"/>
              </w:rPr>
            </w:pPr>
          </w:p>
        </w:tc>
        <w:tc>
          <w:tcPr>
            <w:tcW w:w="1520" w:type="dxa"/>
            <w:vAlign w:val="bottom"/>
            <w:gridSpan w:val="5"/>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6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9,307</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12,737</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Segment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Company’s CODM is its Chief Executive Officer. The Company has determined that it operates in one operating segment and one reportable segment as the CODM reviews financial information presented on an entity-wide basis for purposes of making operating decisions, allocating resources, and evaluating financial performance. The CODM uses revenue and net income (loss) to assess segment performance and allocate resources by comparing actual results to budget. The measure of segment assets is reported on the balance sheet as total consolidated assets. As of March 31, 2026 and December 31, 2025, 99% of long-lived assets were in the United States. Revenue is attributed to a geographic region based on the location of the customer, refer to Note 3,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significant segment expenses to net income (loss) is below:</w:t>
      </w:r>
    </w:p>
    <w:p>
      <w:pPr>
        <w:spacing w:after="0" w:line="111"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4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6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13,428</w:t>
            </w:r>
          </w:p>
        </w:tc>
        <w:tc>
          <w:tcPr>
            <w:tcW w:w="1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Personnel expense</w:t>
            </w:r>
          </w:p>
        </w:tc>
        <w:tc>
          <w:tcPr>
            <w:tcW w:w="2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Acquisition-related costs</w:t>
            </w:r>
          </w:p>
        </w:tc>
        <w:tc>
          <w:tcPr>
            <w:tcW w:w="2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Other cost of revenue</w:t>
            </w:r>
            <w:r>
              <w:rPr>
                <w:rFonts w:ascii="Times New Roman" w:cs="Times New Roman" w:eastAsia="Times New Roman" w:hAnsi="Times New Roman"/>
                <w:sz w:val="24"/>
                <w:szCs w:val="24"/>
                <w:color w:val="auto"/>
                <w:vertAlign w:val="superscript"/>
              </w:rPr>
              <w:t>1</w:t>
            </w:r>
          </w:p>
        </w:tc>
        <w:tc>
          <w:tcPr>
            <w:tcW w:w="2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Other research and development expense</w:t>
            </w:r>
            <w:r>
              <w:rPr>
                <w:rFonts w:ascii="Times New Roman" w:cs="Times New Roman" w:eastAsia="Times New Roman" w:hAnsi="Times New Roman"/>
                <w:sz w:val="24"/>
                <w:szCs w:val="24"/>
                <w:color w:val="auto"/>
                <w:vertAlign w:val="superscript"/>
              </w:rPr>
              <w:t>1</w:t>
            </w:r>
          </w:p>
        </w:tc>
        <w:tc>
          <w:tcPr>
            <w:tcW w:w="2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Other sales and marketing expense</w:t>
            </w:r>
            <w:r>
              <w:rPr>
                <w:rFonts w:ascii="Times New Roman" w:cs="Times New Roman" w:eastAsia="Times New Roman" w:hAnsi="Times New Roman"/>
                <w:sz w:val="24"/>
                <w:szCs w:val="24"/>
                <w:color w:val="auto"/>
                <w:vertAlign w:val="superscript"/>
              </w:rPr>
              <w:t>1</w:t>
            </w:r>
          </w:p>
        </w:tc>
        <w:tc>
          <w:tcPr>
            <w:tcW w:w="2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Other general and administrative expense</w:t>
            </w:r>
            <w:r>
              <w:rPr>
                <w:rFonts w:ascii="Times New Roman" w:cs="Times New Roman" w:eastAsia="Times New Roman" w:hAnsi="Times New Roman"/>
                <w:sz w:val="24"/>
                <w:szCs w:val="24"/>
                <w:color w:val="auto"/>
                <w:vertAlign w:val="superscript"/>
              </w:rPr>
              <w:t>1</w:t>
            </w:r>
          </w:p>
        </w:tc>
        <w:tc>
          <w:tcPr>
            <w:tcW w:w="2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21,714</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expense</w:t>
            </w:r>
          </w:p>
        </w:tc>
        <w:tc>
          <w:tcPr>
            <w:tcW w:w="2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expense</w:t>
            </w:r>
          </w:p>
        </w:tc>
        <w:tc>
          <w:tcPr>
            <w:tcW w:w="2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Acquisition-related income</w:t>
            </w:r>
          </w:p>
        </w:tc>
        <w:tc>
          <w:tcPr>
            <w:tcW w:w="2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c>
          <w:tcPr>
            <w:tcW w:w="2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5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6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36,332</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(27,345)</w:t>
            </w: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23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ind w:firstLine="8"/>
        <w:spacing w:after="0" w:line="223" w:lineRule="auto"/>
        <w:tabs>
          <w:tab w:leader="none" w:pos="116"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Company deducts personnel expense, stock-based compensation expense, depreciation expense, and amortization expense from GAAP expenses to arrive at other costs and expenses.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financial statements and the related notes included elsewhere in this Quarterly Report, as well as the audited financial statements and the related notes thereto, and the discussion under “Management’s Discussion and Analysis of Financial Condition and Results of Operations” and “Business” included in our Annual Report on Form 10-K for the fiscal year ended December 31, 2025 (the “Annual Report”). Some of the information contained in this discussion and analysis or set forth elsewhere in this Quarterly Report, including information with respect to our plans and strategy for our business, includes forward-looking statements that involve risks, uncertainties and other factors that could cause actual results to differ materially from those made, projected or implied in the forward-looking statements. Please see the “Risk Factors Summary” and “Risk Factors” sections for a discussion of the uncertainties, risks and assumptions associated with these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commercial-stage medical device company focused on designing, developing and marketing advanced laser systems for the treatment of cataracts and the management of pre-existing or surgically induced corneal astigmatism. Our systems incorporate a range of proprietary technologies designed to assist the surgeon in obtaining better visual outcomes, efficiency and reproducibility by providing advanced imaging, simplified procedure planning, efficient design and precision. We believe the cumulative effect of these technologies results in a laser system that can be quickly and efficiently integrated into a surgeon’s existing practice, is easy to use and provides surgeons the ability to deliver improved visual outcomes more efficiently.</w:t>
      </w:r>
    </w:p>
    <w:p>
      <w:pPr>
        <w:spacing w:after="0" w:line="1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current product portfolio includes the LENSAR Laser System, or LLS, and the ALLY Robotic Cataract Laser System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ALLY System, (collectively, the Systems) and its associated consumable components. The consumable portion of the system consists of a disposable patient interface device kit, or PID kit, and the system also requires a procedure license. Each procedure on each system requires the use of a PID kit. The PID kit includes a suction ring, vacuum filter and fluidic connection that are designed to facilitate placement of the laser while minimizing a patient’s discomfort, intraocular pressure and trauma to the retina and maintaining corneal integrity. The procedure license is downloaded onto the system as required or as purchased by the customer. The system will not perform a procedure without a valid license. We sell licenses individually and also offer licenses in a subscription package with minimum monthly obligations and the ability to increase procedure numbers as the practice grows to address increases in demand. We believe this structure allows the surgeon to implement a budget while also providing us with a predictable revenue stream.</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focused on continuous innovation and have launched our proprietary next generation ALLY System. The ALLY System is designed to transform premium cataract surgery by utilizing our advanced robotic technologies with the ability to perform the entire procedure in a sterile operating room or in-office surgical suite, delivering operational efficiencies and reducing overhead. Our ALLY System received clearance from the U.S. Food and Drug Administration, or FDA, in June 2022 and was certified in August 2024 under Regulation (EU) No 2017/745, or EU MDR. The ALLY System is available to all U.S. and European Union, or EU, cataract surgeons and has also received regulatory clearance in India, Taiwan, South Korea, as well as certain other countries. Our growth, market presence and ability to sell the ALLY System will depend on whether the ALLY System receives additional regulatory clearances or certifications and the timing of these clearances or certifications, among other factors. Our future revenue and cash flows will depend on, among other factors, our installed base of Systems and the timing of and applicable clearances for our ALLY System.</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built and are continuing to grow our commercial organization, which includes a direct sales force in the United States and distributors in Europe and Asia and other targeted international markets. We believe there is significant opportunity for us to expand our presence in these countries and other markets and regions, subject to applicable regulatory clearance or certification. In the United States, we sell our products through a direct sales organization that, as of March 31, 2026, consisted of approximately 70 commercial professionals, including regional sales managers, clinical applications and outcomes specialists, field service, marketing, technical and customer support personnel. We manufacture our Systems at a facility in Orlando, Florida. We purchase custom and off-the-shelf components from a number of suppliers, including some single-source suppliers. We purchase the majority of our components and major assemblies through purchase orders with limited long-term supply agreements and generally do not maintain large volumes of finished goods. We strive to maintain enough inventory of our various component parts to avoid the impact of potential disruptions in the supply chain; however, availability of these components can be outside of our control.</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 decreased from $14.2 million for the three months ended March 31, 2025 to $13.4 million for the three months ended March 31, 2026, representing a decrease of 5%, primarily due to decreased system sales. Our net income was $36.3 million for the three months ended March 31, 2026 compared to a net loss of $27.3 million for the three months ended March 31, 2025. Net income for the three months ended March 31, 2026 was primarily due to a $23.9 million decrease in the change in fair value of warrant liabilities and $10.0 million in acquisition-related income. Net loss for the three months ended March 31, 2025 was primarily due to a $21.7 million increase in the change in fair value of warrant liabilities. Our installed base of Systems is approximately 440 as of March 31, 2026.</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Termination of Merger Agreement with Alcon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23, 2025, we entered into an Agreement and Plan of Merger, or the Merger Agreement, with Alcon Research, LLC, or Alcon, and VMI Option Merger Sub, Inc., or Merger Sub, which provided that, subject to the terms and conditions set forth in the Merger Agreement, Merger Sub would merge with and into the Company, or the Merger, with the Company continuing as the surviving corporation of the Merger and as a wholly-owned subsidiary of Alcon.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21, 2025, we and Alcon each received a request for additional information and documentary material from the Federal Trade Commission, or the FTC, in connection with the FTC’s review of the Merger. Following its investigation, the FTC indicated its intention to seek to enjoin the Merger. On March 16, 2026, we entered into a Termination and Mutual Release Agreement, or the Termination Agreement, with Alcon and Merger Sub, pursuant to which the parties agreed to terminate the Merger Agreement, effective immediately. Pursuant to the Termination Agreement, Alcon agreed that we will retain the $10.0 million cash deposit provided to us and being held by us pursuant to the Merger Agreement. The Merger Deposit was recorded as acquisition-related income in the condensed statements of operations and comprehensive loss for the three months ended March 31, 2026. The parties also agreed to a mutual release of claims, relating to or arising out of the Merger Agreement and the transactions contemplated therein or thereby.</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acquisition-related costs were reduced by $4.4 million associated with previously recognized acquisition-related costs eliminated in conjunction with the terminated Merger Agreement as compared to $4.2 million of acquisition-related costs incurred during the three months ended March 31, 2025. In connection with the Merger Agreement, we incurred acquisition-related costs of approximately $12.8 million. At March 31, 2026, the Company had liabilities related to acquisition-related costs of $8.7 million, of which $3.6 million is classified as accounts payable, current, $10,000 is classified as accrued liabilities, and $5.0 million is classified accounts payable, long-term on the condensed balance sheet at March 31, 2026.</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to Consider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in a highly competitive environment that involves a number of risks, some of which are beyond our control. We are subject to risks common to medical device companies, including risks inherent in:</w:t>
      </w:r>
    </w:p>
    <w:p>
      <w:pPr>
        <w:spacing w:after="0" w:line="54"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laser system development and commercialization efforts;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studies;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regulatory actions and marketing approvals or certifications;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network of international distributors and a network of suppliers;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coverage and reimbursement by government or other third-party payors for procedures using our products;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and ability to pay for procedures with significant costs not covered by or reimbursable through government or other third-party payors;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of patent and proprietary rights;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future capital;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safety requirements and suggestions regarding patient treatment as required or suggested by health care authorities;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certification by regulatory agencies, including the FDA, or notified bodies for our ALLY System;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shortages, labor market shifts, tariffs, and price increases resulting from various macroeconomic factors;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associated with our products;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practices in jurisdictions where procedures using our Systems are performed, such as South Korea.</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provide assurance that we will generate significant revenues or achieve and sustain profitability in the future. In addition, we can provide no assurance that we will have sufficient funding to meet our future capital requirements.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revenues and operating expenses are also difficult to predict and depend on several factors, including the level of ongoing research and development requirements necessary to further develop and/or obtain further regulatory clearance or certification of our ALLY System, the number of Systems we manufacture, sell, and lease on an annual basis, the availability of capital and direction from regulatory agencies or notified bodies, which are difficult to predict. We may be able to control the timing and level of research and development and selling, general and administrative expenses, but many of these expenditures will occur irrespective of our actions due to contractually committed activities and payments.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8"/>
          <w:szCs w:val="18"/>
          <w:color w:val="auto"/>
        </w:rPr>
        <w:t>Global economic uncertainty and other factors, including tariff policies, political instability and conflicts in foreign regions, have impeded global supply chains, resulted in longer lead times and delays in procuring component parts and raw materials, and resulted in inflationary cost increases in certain raw materials, labor and transportation. We expect these inflationary impacts to continue for the foreseeable future. A high rate of inflation in the future, whether due to actual or uncertain impacts from increased tariffs or other trade barriers or other market volatility, may have an adverse effect on our ability to maintain and increase our gross margin or decrease our operating expenses as a percentage of our revenues if our selling prices of our products do not increase as much or more than our increase in costs.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these and other factors, our historical results are not necessarily indicative of future performance, and any interim results we present are not indicative of the results that may be expected for the full fiscal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revenue comprises product revenue, service revenue and lease revenue. We derive product revenue from the sale of our Systems and sales of our PIDs and procedure licenses to our surgeon customers and to our distributors outside the United States. A PID and procedure license, which may also be referred to as an application license, is required to perform each procedure using our laser system. A procedure license represents a one-time right to utilize the system surgical application in connection with a surgery procedure. Service revenue is derived from the sale of extended warranties for our Systems that provide additional maintenance and service beyond our standard limited warranty. In some situations, we lease our Systems to surgeons, primarily through non-cancellable leases with a fixed lease payment. The following table provides information about revenue and revenue attributable to recurring sources, which we consider to be all components of our revenue except for sales of our Systems: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8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60" w:type="dxa"/>
            <w:vAlign w:val="bottom"/>
            <w:vMerge w:val="continue"/>
          </w:tcPr>
          <w:p>
            <w:pPr>
              <w:spacing w:after="0"/>
              <w:rPr>
                <w:sz w:val="12"/>
                <w:szCs w:val="12"/>
                <w:color w:val="auto"/>
              </w:rPr>
            </w:pPr>
          </w:p>
        </w:tc>
        <w:tc>
          <w:tcPr>
            <w:tcW w:w="28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System</w:t>
            </w:r>
          </w:p>
        </w:tc>
        <w:tc>
          <w:tcPr>
            <w:tcW w:w="32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8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Recurring revenue:</w:t>
            </w: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Procedure</w:t>
            </w:r>
          </w:p>
        </w:tc>
        <w:tc>
          <w:tcPr>
            <w:tcW w:w="2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9,240</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w:t>
            </w: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Service</w:t>
            </w:r>
          </w:p>
        </w:tc>
        <w:tc>
          <w:tcPr>
            <w:tcW w:w="28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recurring revenue</w:t>
            </w:r>
          </w:p>
        </w:tc>
        <w:tc>
          <w:tcPr>
            <w:tcW w:w="28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12,592</w:t>
            </w:r>
          </w:p>
        </w:tc>
        <w:tc>
          <w:tcPr>
            <w:tcW w:w="8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8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13,428</w:t>
            </w:r>
          </w:p>
        </w:tc>
        <w:tc>
          <w:tcPr>
            <w:tcW w:w="8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Recurring revenue %</w:t>
            </w:r>
          </w:p>
        </w:tc>
        <w:tc>
          <w:tcPr>
            <w:tcW w:w="288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35"/>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Borders>
              <w:top w:val="single" w:sz="8" w:color="CFF0FC"/>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-465455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-465455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-173990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-156845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Total cost of revenue comprises cost of product 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cost of lease revenue and cost of service revenue. Cost of product revenue primarily consists of the raw materials used in the manufacture of our products, plant overhead, personnel costs, such as salaries and wages, including stock-based compensation and benefits, packaging costs, depreciation expense, freight and other related costs, which include shipping, inspection and excess and obsolete inventory charges. Cost of service revenue primarily consists of costs associated with providing maintenance services under our standard limited warranty as well as extended warranty contracts. Cost of lease revenue primarily consists of depreciation expense associated with leased equipment and shipping costs associated with delivery of these Systems.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expenses consist primarily of acquisition-related costs, personnel costs, such as salaries and wages, including stock-based compensation and benefits, professional fees, marketing, insurance, travel and other expenses. We are continuing to grow our sales efforts in the United States. We expect our selling, general and administrative expenses to continue to increase in association with our planned growth.</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engineering, product development, clinical studies to develop and support our products, personnel costs, such as salaries and wages, including stock-based compensation and benefits, regulatory expenses, and other costs associated with products and technologies that are in development. Currently, our research and development expense primarily consists of costs associated with the continued development of our next generation system, the ALLY System, which combines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of the features from our LLS with a dual-modality laser, integrated in a small, compact cataract treatment system that is designed to allow surgeons to perform a sterile laser-assisted cataract surgery in a single operating room or in-office surgical suite.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with finite useful lives consist primarily of acquired trademarks, acquired technology, and customer relationships. Acquired trademarks and acquired technology are amortized on a straight-line basis over their estimated useful lives of 15 to 20 years. Customer relationships are amortized on a straight-line basis or a double declining basis over their estimated useful lives up to 20 years, based on the method that better represents the economic benefits to be obtained.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liabilities consists of the change in estimated fair value of the warrant liabilities using recently quoted market prices of the Company's common stock and the Black-Scholes option pricing model.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Changes in our tax rates or exposure to additional tax liabilities could adversely affect our earnings and financial condition. On July 4, 2025, new U.S. tax legislation was signed into law (known as the “One Big Beautiful Bill Act” or “OBBBA”) which made permanent many of the tax provisions enacted in 2017 as part of the Tax Cuts and Jobs Act that were set to expire at the end of 2025. In addition, the OBBBA made changes to certain U.S. corporate tax provisions, many of which became effective in 2026. Based on the Company’s analysis of the provisions, the Company determined that the tax law changes do not have a material impact on the Company’s financial statements. However, the Company will continue to evaluate their impact of such tax law changes on future periods.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historically experienced seasonal variations in the sales and leases of our products, with our fourth quarter typically being the strongest and the first quarter being the slowest. We believe these seasonal variations are consistent across our industry.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2"/>
        </w:trPr>
        <w:tc>
          <w:tcPr>
            <w:tcW w:w="6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from Prior</w:t>
            </w:r>
          </w:p>
        </w:tc>
      </w:tr>
      <w:tr>
        <w:trPr>
          <w:trHeight w:val="142"/>
        </w:trPr>
        <w:tc>
          <w:tcPr>
            <w:tcW w:w="65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300" w:type="dxa"/>
            <w:vAlign w:val="bottom"/>
          </w:tcPr>
          <w:p>
            <w:pPr>
              <w:spacing w:after="0"/>
              <w:rPr>
                <w:sz w:val="12"/>
                <w:szCs w:val="12"/>
                <w:color w:val="auto"/>
              </w:rPr>
            </w:pPr>
          </w:p>
        </w:tc>
        <w:tc>
          <w:tcPr>
            <w:tcW w:w="1000" w:type="dxa"/>
            <w:vAlign w:val="bottom"/>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6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Year (%)</w:t>
            </w:r>
          </w:p>
        </w:tc>
      </w:tr>
      <w:tr>
        <w:trPr>
          <w:trHeight w:val="20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10,076</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Lease</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r>
      <w:tr>
        <w:trPr>
          <w:trHeight w:val="249"/>
        </w:trPr>
        <w:tc>
          <w:tcPr>
            <w:tcW w:w="6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13,428</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1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197"/>
        </w:trPr>
        <w:tc>
          <w:tcPr>
            <w:tcW w:w="65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of revenue (excluding intangible amortization)</w:t>
            </w: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r>
      <w:tr>
        <w:trPr>
          <w:trHeight w:val="21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5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80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cost of revenue</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6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-745490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-728345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-745490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-728345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-170815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for the three months ended March 31, 2026 decreased by $0.7 million, or 5%, compared to the three months ended March 31, 2025.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revenue for the three months ended March 31, 2026 decreased by $0.8 million, or 8%, compared to the three months ended March 31, 2025. The decrease was primarily attributable to decreased System sales of $1.8 million offset with increased procedure volume of $1.0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The following table provides information about procedure volume:</w:t>
      </w:r>
    </w:p>
    <w:p>
      <w:pPr>
        <w:spacing w:after="0" w:line="111"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8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8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r>
      <w:tr>
        <w:trPr>
          <w:trHeight w:val="20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Q1</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54,094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52,347</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39,486</w:t>
            </w:r>
          </w:p>
        </w:tc>
        <w:tc>
          <w:tcPr>
            <w:tcW w:w="60" w:type="dxa"/>
            <w:vAlign w:val="bottom"/>
            <w:shd w:val="clear" w:color="auto" w:fill="CFF0FC"/>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Q2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42,203</w:t>
            </w:r>
          </w:p>
        </w:tc>
        <w:tc>
          <w:tcPr>
            <w:tcW w:w="60" w:type="dxa"/>
            <w:vAlign w:val="bottom"/>
          </w:tcPr>
          <w:p>
            <w:pPr>
              <w:spacing w:after="0"/>
              <w:rPr>
                <w:sz w:val="18"/>
                <w:szCs w:val="18"/>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46,811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42,231</w:t>
            </w:r>
          </w:p>
        </w:tc>
        <w:tc>
          <w:tcPr>
            <w:tcW w:w="60" w:type="dxa"/>
            <w:vAlign w:val="bottom"/>
            <w:shd w:val="clear" w:color="auto" w:fill="CFF0FC"/>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Q4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54,756</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45,586</w:t>
            </w:r>
          </w:p>
        </w:tc>
        <w:tc>
          <w:tcPr>
            <w:tcW w:w="60" w:type="dxa"/>
            <w:vAlign w:val="bottom"/>
          </w:tcPr>
          <w:p>
            <w:pPr>
              <w:spacing w:after="0"/>
              <w:rPr>
                <w:sz w:val="18"/>
                <w:szCs w:val="18"/>
                <w:color w:val="auto"/>
              </w:rPr>
            </w:pPr>
          </w:p>
        </w:tc>
      </w:tr>
      <w:tr>
        <w:trPr>
          <w:trHeight w:val="249"/>
        </w:trPr>
        <w:tc>
          <w:tcPr>
            <w:tcW w:w="3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procedure volume</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54,094</w:t>
            </w:r>
          </w:p>
        </w:tc>
        <w:tc>
          <w:tcPr>
            <w:tcW w:w="1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206,014</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169,506</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-25400</wp:posOffset>
            </wp:positionV>
            <wp:extent cx="431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431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431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431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431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431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 revenue for the three months ended March 31, 2026 increased by $0.3 million, or 23%, compared to the three months ended March 31, 2025. The increase was primarily attributable to the increased number of System placements. Our U.S. sales represented 73% and 55% of product and service revenue for the three months ended March 31, 2026 and 2025,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Lease revenue for the three months ended March 31, 2026 decreased by $0.2 million, or 11%, compared to the three months ended March 31, 2025. The decrease was primarily attributable to a decrease in the number of leased LLS units, partially offset by an increase in leased ALLY Systems.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government has recently implemented significant changes in U.S. trade policy and taken certain actions that have impacted our business, including imposing tariffs on certain goods imported into the United States. Some of these changes have triggered retaliatory actions by affected countries that could negatively impact demand for our products in these regions. The imposition of tariffs has increased the cost of the raw materials used in our ALLY Systems and PIDs. To date, we have not increased sales prices to our customers resulting in a reduction in our gross margin.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cost of revenue for the three months ended March 31, 2026 and 2025 were consistent at $7.0 million.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product revenue for the three months ended March 31, 2026 decreased by $0.5 million, or 12%, compared to the three months ended March 31, 2025. The decrease in cost of product revenue was primarily due to the decrease in System sales.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import certain raw materials for our ALLY System and PIDs from regions that have been impacted by the tariffs imposed by the U.S. government. This has resulted in an increase in the cost of our products and a negative impact to our gross profit margin.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service revenue for the three months ended March 31, 2026 increased by $0.5 million, or 27%, compared to the three months ended March 31, 2025. The increase in cost of service revenue was primarily due to the increased number of System placements.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lease revenue for the three months ended March 31, 2026 increased by $0.1 million, or 7%, compared to three months ended March 31, 2025. The increase was primarily attributable to the depreciation of leased Systems as the number of leased Systems continued to grow.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expenses for the three months ended March 31, 2026 decreased by $8.6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77%, compared to the three months ended March 31, 2025. General and administrative costs were reduced by $4.4 million in acquisition-related costs associated with previously recognized acquisition-related costs eliminated in conjunction with the terminated Merger Agreement as compared to $4.2 million of acquisition-related costs incurred during the three months ended March 31, 2025. Excluding acquisition-related costs, selling, general and administrative costs were $6.9 million for the three months ended March 31, 2026 and 2025.</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expenses for the three months ended March 31, 2026 decreased by $0.1 million, or 10%,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three months ended March 31, 2025.</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Amortization of Intangible Assets</w:t>
      </w:r>
      <w:r>
        <w:rPr>
          <w:rFonts w:ascii="Times New Roman" w:cs="Times New Roman" w:eastAsia="Times New Roman" w:hAnsi="Times New Roman"/>
          <w:sz w:val="18"/>
          <w:szCs w:val="18"/>
          <w:color w:val="auto"/>
        </w:rPr>
        <w:t>. Amortization of intangible assets was $0.2 million for the three months ended March 31, 2026, consistent with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2025.</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Non-Operating Income and Expense, Net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Non-operating income and expenses, net for the three months ended March 31, 2026 were $34.1 million of income as compared to $21.6 million of expense for the three months ended March 31, 2025. Non-operating income and expenses consisted primarily of the change in fair value of warrant liabilities in each period and $10.0 million in acquisition-related income from the Merger Deposit in the three months ended March 31,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prepare and analyze operating and financial data and non-GAAP measures to assess the performance of our business, make strategic and offering decisions and build our financial projections. The key non-GAAP measures we use, EBITDA and Adjusted EBITDA, are reconciled to net loss below for the three months ended March 31, 2026 and 2025.</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80" w:type="dxa"/>
            <w:vAlign w:val="bottom"/>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36,332</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 income</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Depreciation expense</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expense</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37,320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Add: Stock-based compensation expense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Change in fair value of warrant liabilities</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(23,948)</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Add: Acquisition-related costs</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(4,373)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Acquisition-related income</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6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(311)</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-170815</wp:posOffset>
            </wp:positionV>
            <wp:extent cx="514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EBITDA is defined as net loss before interest expense, interest income, income tax expense, depreciation and amortization expenses. EBITDA is a non-GAAP financial measure. EBITDA is included in this filing because we believe that EBITDA provides meaningful supplemental information for investors regarding the performance of our business and facilitates a meaningful evaluation of actual results on a comparable basis with historical results. Adjusted EBITDA is also a non-GAAP financial measure. We believe Adjusted EBITDA, which is defined as EBITDA and further excluding stock-based compensation expense, change in fair value of warrant liabilities, and acquisition-related costs and income provides meaningful supplemental information for investors when evaluating our results and comparing us to peer companies as stock-based compensation expense and change in fair value of warrant liabilities are significant non-cash charges, and acquisition-related costs and income are not recurring. We use these non-GAAP financial measures in order to have comparable financial results to analyze changes in our underlying business from quarter to quarter. However, there are a number of limitations related to the use of non-GAAP measures and their nearest GAAP equivalents. For example, other companies may calculate non-GAAP measures differently, or may use other measures to calculate their financial performance and, therefore, any non-GAAP measures we use may not be directly comparable to similarly titled measures of other companies. Investors should not consider our non-GAAP financial measures in isolation or as a substitute for an analysis of our results as reported under GAAP.</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2026 and 2025, we had net income of $36.3 million and net loss of $27.3 million, respectively, and as of March 31, 2026, we had an accumulated deficit of $141.2 million. Net income for the three months ended March 31, 2026 was primarily due to non-operating income consisting of the change in fair value of warrant liabilities and the Merger Deposit. The change in fair value of warrant liabilities increased net income by $23.9 million in the three months ended March 31, 2026, and it is difficult to predict how the fair value of warrant liabilities will impact our future results. The change in fair value of the warrant liability was a result of the decrease in the Company’s stock price during the three months ended March 31, 2026. We expect to continue to incur losses and operating cash outflows for the near-term future.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liquidity needs will be largely determined by our ability to successfully commercialize our products and the progression, additional regulatory clearances or certifications and launch of the ALLY System in additional jurisdictions in the future. The ALLY System has received regulatory approval in the United States, India, Taiwan, South Korea, as well as certain other countries, and certification in the EU. Our growth, market presence and ability to sell the ALLY System will depend on whether the ALLY System receives additional regulatory clearances or certifications and the timing of these clearance or certifications, among other factors. In addition, our future revenue and cash flows will depend on, among other factors, our installed base of Systems, and the timing of and applicable clearances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for our ALLY System. We intend to return to our previous growth trajectory of System placements we historically achieved prior to the announcement of the Merger.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selling, general and administrative expenses to increase from current levels to support the expansion efforts in the U.S. and internationally for the ALLY System. The successful commercialization of the ALLY System depends in part on the Company’s ability to produce the ALLY System in sufficient quantities, within requested timing and at an acceptable price to satisfy customer demand.</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are our cash and cash equivalents, cash from the sale and lease of our Systems and the sale of our consumables. We maintain cash balances with financial institutions in excess of insured limits. As discussed above, ongoing global supply chain disruptions, inflationary pressures, recently enacted tariffs, and other macroeconomic conditions have negatively affected our capital requirements and more operating capital may be needed to fund our operations in the future. We have also experienced some reduced activity by our distributors following the announcement of the Merger, and we have adjusted our purchasing and production to manage our inventory accordingly. Our results could be adversely impacted if our distributors do not resume their sales activity to previous levels. Based on our current operating plan, we believe we have sufficient cash and cash equivalents on hand to support current operations for at least one year from the date of issuance of the financial statements included in this Quarterly Report.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future, we may need to raise additional capital through equity or debt financings, borrowings under credit facilities or from other sources to continue our operations. We may issue securities, including common stock, preferred stock, warrants, and/or debt securities through private placement transactions or registered public offerings in the future. If we issue equity securities to raise additional capital, our existing stockholders may experience dilution, and the new equity securities may have rights, preferences and privileges senior to those of our existing stockholders. 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2026, we entered into a Priority Credit Line Agreement, or the PCL Agreement, with Wells Fargo Bank, N.A, or Wells Fargo. The PCL Agreement provides for a revolving, non-purpose margin credit facility, secured by a first-priority lien on a designated brokerage account maintained at Wells Fargo, or the Collateral Account, of an amount based on the collateral value in the Collateral Account. We are permitted to borrow 90-95% of the Collateral Account value under the PCL Agreement. Borrowings under the PCL Agreement bear interest, at our election, at either (i) a fixed rate based on the Treasury Yield plus an applicable margin, over a designated term, or (ii) a variable rate based on the Secured Overnight Financing Rate (SOFR) plus an applicable margin. The PCL Agreement contains customary events of default, including, without limitation, failure to make any payment upon demand or otherwise when due or deposit additional collateral when required under the PCL Agreement; initiation of a bankruptcy petition or other insolvency proceeding; any event of default under any security agreement executed in connection with the Collateral Account; or the insufficiency of the value of the financial assets in the Collateral Account. At March 31, 2026, we have not utilized the PCL.</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our revenue and expenses to increase in connection with our on-going operating activities, particularly as we continue to execute on our growth strategy (including expansion of our sales and customer support teams, as well as increasing our fleet of equipment under lease). The primary factors determining our cash needs are the funding of operations, which we expect to continue to expand as the business grows, and enhancing our product offerings through the commercialization of the ALLY System. Our future liquidity needs, and ability to address those needs, will largely be determined by the success of our commercial efforts and those of our distributors; the ongoing impact of global macroeconomic conditions, tariffs and other supply chain issues on our business; and the timing, scope and magnitude of our commercial and development activities.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2023, we entered into a Securities Purchase Agreement, or SPA, with NR-GRI Partners, LP, or NR-GRI, whereby we sold to NR-GRI, for an aggregate purchase price of $20.0 million, an aggregate of 20,000 shares of a newly established series of preferred stock designated as “Series A Convertible Preferred Stock, par value $0.01 per share”, which has a stated value of $1,000 per share and is convertible into shares of the Company’s common stock, and warrants, the Warrants, to purchase an aggregate of 4.4 million shares of our common stock, the Private Placement. Fifty percent of the Warrants have an exercise price equal to $2.45 per share, and 50% of the Warrants have an exercise price equal to $3.0625 per share, subject in each instance to adjustments as provided under the terms of the Warrants. Net proceeds from the transaction were approximately $19.1 million after offering expenses. The Series A Redeemable Convertible Preferred Stock, if converted, would result in the issuance of 7.9 million shares of our common stock. Additionally, the terms of our Series A Redeemable Convertible Preferred Stock restrict our ability to incur debt in excess of $1.0 million or issue new shares in an amount greater than 10% of our outstanding common stock as of May 18, 2023 without the approval of the holder of the Series A Redeemable Convertible Preferred Stock (subject to certain exceptions).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raise additional funds will depend on, among other factors, financial, economic and market conditions, many of which are outside of our control, and we may be unable to raise financing when needed, or on terms favorable to us. If the necessary funds are not available from these sources, we may have to delay, reduce or suspend the scope of our sales and marketing efforts, research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jc w:val="both"/>
        <w:spacing w:after="0" w:line="256" w:lineRule="auto"/>
        <w:rPr>
          <w:sz w:val="20"/>
          <w:szCs w:val="20"/>
          <w:color w:val="auto"/>
        </w:rPr>
      </w:pPr>
      <w:r>
        <w:rPr>
          <w:rFonts w:ascii="Times New Roman" w:cs="Times New Roman" w:eastAsia="Times New Roman" w:hAnsi="Times New Roman"/>
          <w:sz w:val="18"/>
          <w:szCs w:val="18"/>
          <w:color w:val="auto"/>
        </w:rPr>
        <w:t>development activities, or other components of our operations. Any of these events could adversely affect our ability to achieve our business and financial goals or to achieve or maintain profitability and could have a material adverse effect on our business, financial condition and results of operations. Additionally, the extent and duration of the impact that global economic uncertainty may have on our stock price and on those of other companies in our industry is highly uncertain and may make us look less attractive to investors and, as a result, there may be a less active trading market for our common stock, our stock price may be more volatile, and our ability to raise capital could be impaired, which could in the future negatively affect our liquidity and financial position.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material contractual obligations and commercial commitments at March 31, 2026 primarily consist of $2.6 million in operating lease liabilities for our facility lease and $11.1 million in remaining minimum purchase obligations for inventory components for the manufacture and supply of certain components within the next 24 months. In addition, we owe $8.7 million in acquisition-related costs, of which $3.6 million is classified as accounts payable, current, $10,000 is classified as accrued liabilities, and $5.0 million is classified as accounts payable, long-term on the condensed balance sheet at March 31, 2026.</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contractual obligations have increased due to supply chain issues that have necessitated us to enter into longer-term and more expensive per unit contracts to build and source inventory to satisfy the expected commercial demand for the ALLY System, if approved by regulatory authorities or certified by notified bodies in the applicable regions. We expect to meet these requirements through cash and cash equivalents and cash provided by operations. Some of these amounts are based on management’s estimates and assumptions about these obligations, including their duration, timing, anticipated actions by third parties and other factors. Because these estimates and assumptions are necessarily subjective, the obligations we will actually pay in future periods may vary from those described.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for the periods indicated, selected items in our condensed statements of cash flows:</w:t>
      </w:r>
    </w:p>
    <w:p>
      <w:pPr>
        <w:spacing w:after="0" w:line="98"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60" w:type="dxa"/>
            <w:vAlign w:val="bottom"/>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(4,271)</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4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(480)</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-170815</wp:posOffset>
            </wp:positionV>
            <wp:extent cx="514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514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$4.3 million, consisting primarily of net income of $36.3 million offset by non-cash charges of $32.0 million and a decrease in net operating assets of $8.6 million. Non-cash charges primarily consisted of the change in fair value of warrant liabilities and acquisition-related income from recognizing the Merger Deposit. The decrease in net operating assets was primarily due to changes in accounts payable, accrued liabilities, and inventories.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2025 was $6.9 million, consisting primarily of a net loss of $27.3 million and a decrease in net operating assets of $3.2 million, partially offset by non-cash charges of $23.6 million. The decrease in net operating assets was primarily due to changes in inventories. Non-cash charges primarily consisted of depreciation, amortization, stock-based compensation, and change in fair value of warrant liabilities.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2026 was $4.0 million, consisting of maturities of investments.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2025 was $0.5 million, consisting primarily of investment purchases, offset by maturities of investments.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2026 was $0.2 million, consisting primarily of the net settlement of stock-based compensation awards.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2025 was $9.7 million, consisting primarily of the Merger Deposit.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U.S. Generally Accepted Accounting Principles, or GAAP, and the discussion and analysis of our financial condition and operating results require our management to make judgments, assumptions and estimates that affect the amounts reported in our condensed financial statements. Management bases its estimates on historical experience and on various other assumptions it believes to be reasonable under the circumstances, the results of which form the basis for making judgments about the carrying values of assets and liabilities. The impact of accounting estimates and judgments on our financial condition and results of operations due to global macroeconomic conditions has introduced additional uncertainties. We evaluate our estimates and assumptions on an ongoing basis. Actual results may differ from these estimates and such differences may be material.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significant and material changes in our critical accounting estimates during the three months ended March 31, 2026, as compared to those disclosed in “Management's Discussion and Analysis of Financial Condition and Results of Operations” included in the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unaudited condensed financial statements included in this Quarterly Report for a discussion of recently adopted accounting pronouncements and recently issued accounting pronouncements not yet adopted as of March 31, 2026.</w:t>
      </w:r>
    </w:p>
    <w:p>
      <w:pPr>
        <w:spacing w:after="0" w:line="2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had cash, cash equivalents and short-term and long-term investments of $13.5 million as of March 31, 2026. We generally hold our cash and cash equivalents in interest-bearing bank accounts, money market funds, and U.S. treasury bills. Our investments consist primarily of U.S. treasury bills and agency bonds, as well as certificates of deposit. All our investments are classified as available-for-sale. Our cash and cash equivalents are held in deposit demand accounts at large financial institutions in amounts in excess of the Federal Deposit Insurance Corporation, or FDIC, insurance coverage limit of $250,000 per depositor, per FDIC-insured bank, per ownership category. Management has reviewed the financial situation and government guarantees to depositors, if applicable, of the financial institutions and believes there to be little or no credit risk to us. A hypothetical 10% change in interest rates would not have had a material impact on the value of our cash and cash equivalents as of March 31, 2026.</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principally consist of accounts receivable and notes receivable. We limit our credit risk with respect to accounts receivable and notes receivable by performing credit evaluations when deemed necessary, but we do not require collateral to secure amounts owed to us by our customers. We do have the ability to disable a system’s ability to operate for lack of payment and, in the case of notes receivable, repossess the system if scheduled payments lapse. As of March 31, 2026, one customer accounted for approximately 12% of our accounts receivable, net.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have limited exposure to foreign currency fluctuations and do not engage in any hedging activities as part of our normal course of business.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has evaluated, with the participation of the chief executive officer and the chief financial officer, the effectiveness of our disclosure controls and procedures (as defined in Rules 13a-15(e) and 15d-15(e) under the Exchange Act) as of the end of the period covered by this Quarterly Report. Based on this evaluation, the chief executive officer and chief financial officer concluded that the Company’s disclosure controls and procedures were effective at the reasonable assurance level as of March 31, 2026.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March 31, 2026 that have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relating to matters incidental to the terminated Merger Agreement and in the ordinary course of our business, including intellectual property, commercial, product liability, employment, class action, whistleblower and other litigation and claims, and governmental and other regulatory investigations and proceedings.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litigation is inherently unpredictable, we cannot assure you that the results of any such actions will not have a material adverse effect on our business, results of operations, financial condition or cash flows.</w:t>
      </w:r>
    </w:p>
    <w:p>
      <w:pPr>
        <w:spacing w:after="0" w:line="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our legal proceedings, refer to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our unaudited consolidated financial statements included elsewhere in this Quarterly Report, which is incorporated herein by reference.</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Quarterly Report, including our unaudited condensed financial statements and the related notes included elsewhere in this Quarterly Report, as well as our other public filings with the SEC, before deciding to invest in our common stock. If any of the following risks are realized, our business, financial condition, results of operations and prospects, as well as the price of our common stock, could be materially and adversely affected.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Terminated Merger Agreement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announcement of the termination of the Merger Agreement could negatively impact our business, financial condition, results of operations or our stock price.</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announcement of having entered into the Agreement and Plan of Merger, dated as of March 23, 2025, by and among the Company, Alcon Research, LLC, a Delaware limited liability company (“Alcon”), and VMI Option Merger Sub, Inc., a Delaware corporation and a wholly owned subsidiary of Alcon (“Merger Sub”) has caused, and may continue to cause, a material disruption to our business. We also announced that the Merger Agreement has been terminated by us and Alcon, as described below. We are subject to several risks as a result of the announcement and termination of the Merger Agreement, including, but not limited to, the following:</w:t>
      </w:r>
    </w:p>
    <w:p>
      <w:pPr>
        <w:spacing w:after="0" w:line="75" w:lineRule="exact"/>
        <w:rPr>
          <w:sz w:val="20"/>
          <w:szCs w:val="20"/>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related to the Merger Agreement and the transactions contemplated thereunder (collectively, the “Merger”), including the fees and/or expenses of our legal, accounting and financial advisors that must be paid despite the Merger not being completed;</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retain existing key employees or hire new capable employees, given the uncertainty regarding our future, in order to execute on our continuing business operations;</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complete the Merger may result in negative publicity and/or a negative impression of us in the investment community or business community generally;</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maintaining relationships with collaborators, vendors, and other business partners;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determine to terminate and/or attempt to renegotiate their relationship with us as a result of the termination of the Merger Agreement, whether pursuant to the terms of their existing agreements with us or otherwise; and</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further litigation related to the Merger, including the failure to complete the Merger.</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are not able to predict how long these risks will remain relevant following the termination of the Merger Agreement or the ultimate impact of the termination of the Merger Agreement on our business, financial condition and results of operations, including our ability to return to the growth trajectory of System placements we historically achieved prior to the announcement of the Merger.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shareholder litigation related to the termination of the Merger Agreement, which could result in payment of damages.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Merger, certain purported stockholders of the Company have sent demand letters (the “Demands”) alleging deficiencies and/or omissions regarding the disclosures made in the preliminary proxy statement filed by the Company with the SEC on May 7, 2025 or the definitive proxy statement filed by the Company with the SEC on May 19, 2025. The purported stockholders may not view the Company’s cooperative actions in response to the Demands, such as the Company’s additional disclosure filed with the SEC on June 25, 2025, as sufficient. In addition, we have received a demand from a purported stockholder seeking to inspect certain corporate books and records, in order to investigate, among other things, purported breaches of fiduciary duty by members of the Company’s board of directors in connection with the Merger. The same stockholder filed a verified complaint to compel the inspection of books and records in the Delaware Court of Chancery. These actions could have the effect of increasing the Company’s costs, diverting our management’s attention and resources, delaying or adversely affecting the Merger or resulting in the payment of damages, which could result in a material adverse effect on our business,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have been in the past, and could be in the future, adversely affected by economic uncertainty or deteriorations in economic conditions.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economic uncertainty, including due to factors such as increased inflation, rising interest rates, prolonged government shutdowns, geopolitical conflicts and increased tariffs and other trade barriers, has affected our business and operational performance. If economic uncertainty continues or increases or if economic conditions deteriorate, these conditions may have a material adverse impact on our revenue, profit margins, cash flow and liquidity in the future. In particular, our business is impacted by inflation, such as the recent inflationary pressures related to global supply chain disruptions that have increased the cost of certain raw materials, labor and transportation used in our business. These broad-based inflationary impacts have negatively impacted our financial condition, results of operations and cash flows, and we expect these inflationary impacts to continue for the foreseeable future. A high rate of inflation in the future may have an adverse effect on our ability to maintain and increase our gross margin or decrease our operating expenses as a percentage of our revenues if our selling prices of our products do not increase as much or more than our increase in costs.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and expect to incur operating losses for the near-term future and we cannot assure you that we will be able to generate sufficient revenue to achieve or sustain profitability.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years ended December 31, 2024 and 2025, we had net losses of $31.4 million and $34.3 million, respectively, and for the three months ended March 31, 2025 and 2026, we had net losses of $27.3 million and net income of $36.3 million, respectively. As of March 31, 2026, we had an accumulated deficit of $141.2 million. We expect to continue to incur losses for the near-term future as a result of building our commercial and clinical infrastructure, pursuing further U.S. Food and Drug Administration, or FDA, and other regulatory body clearance or certification of and our further commercial launch of our proprietary, next generation cataract treatment system, known as our ALLY System, and investing in research and development. In addition, as a public company, we will incur significant legal, accounting and other expenses. We cannot make assurances that we will ever generate sufficient revenue from our operations to achieve profitability, and even if we achieve profitability, we cannot be sure that we will remain profitable for any substantial period of time. Our failure to achieve or maintain profitability could negatively affect the value of our securities and our ability to raise capital and continue operations.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derived our revenue from the sale or lease of our Systems as well as the associated procedure licenses and sale of consumables used in each procedure involving our Systems. The commercial success of our ALLY System will depend upon receipt of additional regulatory clearances or certifications and our ability to maintain and grow significant market acceptance for it.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historically derived our revenue from the sale or lease of our Systems and the associated procedure licenses and consumables used in each procedure involving our Systems and expect that this will account for a majority of our revenue in the foreseeable future. Accordingly, our ability to increase revenue is highly dependent on our ability to market and sell or lease our ALLY System and market the associated consumables. The ALLY System has also received certification in the European Union, or EU, and regulatory approval in India, Taiwan, South Korea, and certain other countries. Our growth, market presence and ability to sell the ALLY System will depend on whether the ALLY System receives additional regulatory clearances or certifications and the timing of these clearances or certifications, among other factors. In addition, our future revenue and cash flows will depend on, among other factors, our installed base of Systems.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maintain our market share, execute our growth strategy, achieve commercial success and become profitable will depend upon the adoption and continued acceptance of our LLS and ALLY System by surgeons, hospital outpatient surgical facilities, in-office surgical suites and ambulatory surgery centers, or ASCs. Our systems are currently used in advanced cataract procedures for which surgeon reimbursement continues to decline and patients pay a significant portion of the cost of the procedure. We cannot predict the extent to which patients will continue to seek out these types of procedures. Further, we cannot predict if cataract surgeons will continue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to use our LLS or how quickly cataract surgeons will accept the ALLY System, or any planned or future products we introduce, and, if accepted, how frequently any such products will be used. Our current products may not maintain, and our ALLY System or any planned or future products we may develop or market may never gain, broad market acceptance among cataract surgeons and the medical community for the procedures in which they are designed to be used. Our ability to maintain and increase market acceptance of our products depends on a number of factors, including:</w:t>
      </w:r>
    </w:p>
    <w:p>
      <w:pPr>
        <w:spacing w:after="0" w:line="180" w:lineRule="exact"/>
        <w:rPr>
          <w:sz w:val="20"/>
          <w:szCs w:val="20"/>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visual outcomes and economic data that show the safety, efficacy, cost effectiveness and other patient benefits from use of our Systems or other future products;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cataract surgeons and others in the medical community of our Systems;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and disadvantages of our Systems as compared to competing products;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for procedures in which our Systems or other future products is used but for which limited reimbursement by third-party payors, including government authorities, is available;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 of those of our international distributors;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complications associated with using our Systems;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use, reliability and convenience of our Systems relative to competing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response and negative selling efforts from providers of competing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outcomes for patients in procedures in which surgeons use our Systems;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and post-market clinical studies relating to the use of our Systems;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technical leadership of our research and development teams;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third-party blocking intellectual property;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our products to the market with speed and on time with our projected timelines;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including from larger, well-capitalized and product-diverse competitors, corporate-owned ASCs, group purchasing organizations, and government payors;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mitigate impacts to our business resulting from the termination of the Merger Agreement; and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for procedures using our Systems or other future products from third-party payors, including government authorities.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Failure to maintain or increase market acceptance would limit our ability to generate revenue and would have a material adverse effect on our business,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on our ability to gain regulatory clearances and certifications, as well as our ability to meet production goals for our ALLY System.</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ALLY System, which has received clearance from the FDA, enables cataract surgeons to complete the robotic laser-assisted cataract surgery, or LACS, procedure seamlessly in a single, sterile environment. The ALLY System is available to cataract surgeons in all U.S. and EU jurisdictions and has also received regulatory clearance in India, Taiwan, South Korea, and certain other countries. In addition, our ability to meet production goals can also be impacted by supply chain interruptions. If we experience supply chain constraints, we may be unable to deliver ALLY Systems as planned.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success of our ALLY System or any other new product offering or product enhancements we pursue will depend on several factors, including our ability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and anticipate cataract surgeon and patient needs;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products and product enhancements in a timely manner;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competition based on our intellectual property rights;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infringing upon the intellectual property rights of third parties;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if required, the safety and efficacy of new products with data from preclinical studies and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clearances, certifications or approvals for expanded indications, new products or product modifications;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fully FDA (or other regulatory authority)-compliant with manufacturing and marketing of new devices or modified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training to potential users of these products;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adequate coverage and reimbursement for procedures performed with our ALLY System or any other products we may develop in the future;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effective and dedicated sales and marketing team.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not successful in expanding our product offering, our ability to increase our revenue may be impaired, which could have a material adverse effect on our business,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Payment for a standard cataract procedure is typically covered by Medicare, private insurance or other third-party payors. However, a cataract patient seeking a greater and more versatile visual outcome may desire an advanced cataract procedure involving a laser system such as ours. The patient is typically responsible for the additional costs associated with the use of these premium technologies in the physician’s practice, hospital outpatient surgical facilities, in-office surgical suites and ambulatory surgery centers. Due to this additional cost, patients may not elect to have such a procedure and our business may not grow as anticipated. Our future success depends in part upon patients achieving better visual outcomes from procedures using our Systems, or procedures involving similar laser systems that meets their expectations. If patients are not adequately satisfied with the results of such procedures, they or their surgeons may be less willing to recommend these procedures to other patients.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weak or uncertain economic conditions may cause individuals to be less willing to pay for advanced cataract procedures. Our Systems’ procedures are not covered by or reimbursable through government or other third-party payors. A decline in economic conditions in the United States or in international markets could result in a decline in demand for the procedures in which our Systems are used and could have a material adverse effect on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effectively grow our U.S. sales and marketing organization or maintain or grow an effective network of international distributors, our business prospects, results of operations and financial condition could be adversely affected.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generate future sales growth within the United States, we will need to expand the size and geographic scope of our U.S. direct sales organization. Accordingly, our future success will depend largely on our ability to train, retain and motivate skilled regional sales managers and direct sales representatives with significant technical knowledge of our Systems. Because of the competition for their services, we may not be able to retain such representatives on favorable or commercially reasonable terms, if at all. If we are unable to grow our global sales and marketing organization within the United States, we may not be able to increase our revenue, which would adversely affect our business, financial condition and results of operations.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rely exclusively on a network of independent distributors to generate sales and leases of our Systems as well as purchases of our consumables and licensed applications outside of the United States. For the three months ended March 31, 2026, one customer accounted for approximately 14% of our revenue. This customer concentration exposes us to a material adverse effect if any of these significant distributors were to significantly reduce purchases for any reason or favor competitors or new market participants. If a dispute arises with a distributor or if a distributor is terminated by us or goes out of business, it may take time to locate an alternative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jc w:val="both"/>
        <w:spacing w:after="0" w:line="253" w:lineRule="auto"/>
        <w:rPr>
          <w:sz w:val="20"/>
          <w:szCs w:val="20"/>
          <w:color w:val="auto"/>
        </w:rPr>
      </w:pPr>
      <w:r>
        <w:rPr>
          <w:rFonts w:ascii="Times New Roman" w:cs="Times New Roman" w:eastAsia="Times New Roman" w:hAnsi="Times New Roman"/>
          <w:sz w:val="18"/>
          <w:szCs w:val="18"/>
          <w:color w:val="auto"/>
        </w:rPr>
        <w:t>distributor, to seek appropriate regulatory approvals and to train new personnel to market our Systems upon receiving regulatory clearance or certification in the applicable region, as well as our ability to sell those Systems in the region formerly serviced by such terminated distributor could be harmed. In addition, our international distributors may be unable to successfully market and sell our products and may not devote sufficient time and resources to support the marketing, sales, education and training efforts that we believe are necessary to enable the products to develop, achieve or sustain market acceptance. Any of these factors could reduce our revenues from affected markets, increase our costs in those markets or damage our reputation. In addition, if an independent distributor were to depart and be retained by one of our competitors, we may be unable to prevent that distributor from helping competitors solicit business from our existing customers, which could further adversely affect us. As a result of our reliance on third-party distributors, we may be subject to disruptions and increased costs due to factors beyond our control, including labor strikes, third-party error and other issues. If the services of any of these third-party distributors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capital needs are uncertain, and we may need to raise additional funds in the future, and such funds may not be available on acceptable terms or at all.</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our revenues and expenses to increase in connection with our ongoing activities, particularly as we continue to execute on our business strategy, including investment in our sales and customer support teams. The primary factors determining our cash needs are the funding of operations, which we expect to continue to expand as the business grows, and enhancing our product offerings through the research and development, further regulatory clearances and launches of the ALLY System. Our future liquidity needs, and ability to address those needs, will largely be determined by the success of our commercial efforts and those of our distributors; the timing, scope and magnitude of our commercial and development activities; and the timing of further regulatory clearance or certification of our ALLY System. We have also experienced negative effects on our capital requirements from supply chain interruptions, and we expect that supply chain disruptions will negatively affect our capital requirements and the availability of funds to finance those requirements in the future. Tariffs have resulted in increased costs on various components within the ALLY System and PIDs. As we have not passed on these additional costs to our customers, we have experienced a negative impact on our gross margin, which may continue to the extent we take this approach in future periods. In addition, market conditions impacting financial institutions could impact our ability to access some or all of our cash, cash equivalents and marketable securities, and we may be unable to obtain alternative funding when and as needed and on acceptable terms, if at all.</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Quarterly Report, we expect our current cash and cash equivalents, together with cash generated from the future sale and lease of our products, to be sufficient to operate our business for at least one year from the date of issuance of the condensed financial statements included in this Quarterly Report. We may seek additional funds from public or private stock offerings, borrowings under credit facilities or other sources that we may not be able to maintain or obtain on acceptable or commercially reasonable terms, if at all. Our capital requirements will depend on many factors, including, but not limited to:</w:t>
      </w:r>
    </w:p>
    <w:p>
      <w:pPr>
        <w:spacing w:after="0" w:line="183"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the sale, lease or use of our Systems;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expanding our sales and marketing efforts;</w:t>
      </w:r>
    </w:p>
    <w:p>
      <w:pPr>
        <w:spacing w:after="0" w:line="225"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procuring, manufacturing and selling our Systems, including increased costs, uncertainties, and delays associated with global supply chain disruptions and inflationary pressures;</w:t>
      </w:r>
    </w:p>
    <w:p>
      <w:pPr>
        <w:spacing w:after="0" w:line="161"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commercializing the ALLY System, including increased costs associated with supply chain disruptions, inflationary pressures, the impact of increased tariffs or other trade barriers, sales in regions outside the U.S. or other new products or technologies;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cost of our clinical studies that we are currently conducting or may conduct in the future;</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obtaining and maintaining regulatory approval, certification or clearance of our products and planned or future products;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 recall that may occur;</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complying with state, federal and foreign laws and regulations;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and prosecuting patent applications and defending and enforcing our patent and other intellectual property rights;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 litigation or otherwise, any claims that we infringe third-party patent or other intellectual property rights;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enforcing or defending against non-competition claims;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timing of acquisitions and other strategic transactions;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increased capital expenditures;</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and unanticipated general and administrative expenses, including expenses related to operating as a public company and insurance expenses; and</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adverse market conditions or other macroeconomic factors.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Such capital may not be available on favorable terms, or at all. The existence of inflation in the economy has resulted in, and may continue to result in, higher interest rates and capital costs, which may impact our ability to obtain additional capital on favorable terms.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Furthermore, if we issue equity securities to raise additional capital, our existing stockholders may experience dilution, and the new equity securities may have rights, preferences and privileges senior to those of our existing stockholders. For example, in May 2023, we sold to NR-GRI Partners, LP, or NR-GRI, shares of Series A Redeemable Convertible Preferred Stock and warrants to purchase shares of our common stock, or Warrants, that collectively represented approximately 50.4% of our total outstanding shares of common stock based on our shares outstanding as of March 31, 2026, assuming full conversion of the Series A Redeemable Convertible Preferred Stock and full exercise of the Warrants for cash, pursuant to a Securities Purchase Agreement, or the SPA. So long as NR-GRI and its affiliates collectively beneficially own at least twenty percent of the securities issued pursuant to the SPA, including the Series A Redeemable Convertible Preferred Stock, we may not, without the consent of NR-GRI, liquidate, dissolve, or wind up our affairs or effect a merger or sale of the Company or other Fundamental Transaction (as defined in Note 11, </w:t>
      </w:r>
      <w:r>
        <w:rPr>
          <w:rFonts w:ascii="Times New Roman" w:cs="Times New Roman" w:eastAsia="Times New Roman" w:hAnsi="Times New Roman"/>
          <w:sz w:val="18"/>
          <w:szCs w:val="18"/>
          <w:i w:val="1"/>
          <w:iCs w:val="1"/>
          <w:color w:val="auto"/>
        </w:rPr>
        <w:t>Redeemable Convertible Preferred Stock</w:t>
      </w:r>
      <w:r>
        <w:rPr>
          <w:rFonts w:ascii="Times New Roman" w:cs="Times New Roman" w:eastAsia="Times New Roman" w:hAnsi="Times New Roman"/>
          <w:sz w:val="18"/>
          <w:szCs w:val="18"/>
          <w:color w:val="auto"/>
        </w:rPr>
        <w:t>, included elsewhere in this Quarterly Report); create, authorize, or issue shares of capital stock that are senior or pari passu to the Series A Redeemable Convertible Preferred Stock; complete an acquisition with consideration above $1.0 million; incur debt in excess of $1.0 million; change our line of business; or enter into certain related-party transactions. 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 Series A Redeemable Convertible Preferred Stock, and any other repurchase or redemption rights or liquidation preferences we may assign to holders of preferred stock in the future, could affect the residual value of the common stock.</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 If we cannot raise capital on acceptable terms, we may not be able to develop or enhance our products, execute our business plan, take advantage of future opportunities or respond to competitive pressures, changes in our supplier relationships or unanticipated customer requirements. Any of these events could adversely affect our ability to achieve our business and financial goals or to achieve or maintain profitability and could have a material adverse effect on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manufacture our Systems and provide the electronic license applications at our corporate headquarters in Orlando, Florida. This is also the location where we currently conduct substantially all of our research and development activities, customer and technical support, and management and administrative functions. If our facility suffers a crippling event, or a force majeure event such as an earthquake, hurricane, fire, flood or temporary shutdown due to a pandemic, epidemic or infectious disease, this could materially impact our ability to operate.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purchase custom and off-the-shelf components from a number of suppliers and subject them to stringent quality specifications and processes. Some of the components necessary for the assembly of our Systems and associated consumables are currently provided by single-sourced suppliers (the only approved supply source for us among other sources). If one or more of our suppliers cease to provide us with sufficient quantities of materials in a timely manner or on terms acceptable to us, including due to costs associated with increased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jc w:val="both"/>
        <w:spacing w:after="0" w:line="266" w:lineRule="auto"/>
        <w:rPr>
          <w:sz w:val="20"/>
          <w:szCs w:val="20"/>
          <w:color w:val="auto"/>
        </w:rPr>
      </w:pPr>
      <w:r>
        <w:rPr>
          <w:rFonts w:ascii="Times New Roman" w:cs="Times New Roman" w:eastAsia="Times New Roman" w:hAnsi="Times New Roman"/>
          <w:sz w:val="18"/>
          <w:szCs w:val="18"/>
          <w:color w:val="auto"/>
        </w:rPr>
        <w:t>tariffs or other trade barriers, we would have to seek alternative sources of supply. Because of factors such as the proprietary nature of our products, our quality control standards and regulatory requirements, we may experience delays in engaging additional or replacement suppliers for certain components. There may also be disruptions outside our control in the availability and pricing of various component parts needed for our ALLY System.</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a global semiconductor supply shortage has had, and is continuing to have, wide-ranging effects across multiple industries. According to certain market reports, both China and Taiwan are leading manufacturers of the world’s semiconductor supply. Conflict between China and Taiwan might lead to trade sanctions, technology disputes, or supply chain disruptions, which could, in particular, affect the semiconductor industry. If this were to occur, our ability to source an adequate supply of semiconductors would be further reduced, which would adversely affect our business. In addition, any further conflict between China and Taiwan could harm our operations globally, including the operations of our customers and suppliers.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seen significant disruptions in the supply of, timing of delivery of and fluctuations in pricing for various component parts needed for our products, including the integrated circuits used in our Systems, and expect these trends to continue. Our efforts to maintain an adequate supply of inventory may not be sufficient and we may be unable to source the necessary component parts on commercially acceptable terms to reflect in the price of our system. The long-term loss of these suppliers, or their long-term inability to provide us with an adequate supply of components or products on commercially reasonable terms, could potentially cause delay in the manufacture of our products, thereby impairing our ability to meet the demand of our customers and causing significant harm to our business. If it becomes necessary to identify and qualify a suitable second source to replace one of our key suppliers, that replacement supplier would not have access to our previous supplier’s proprietary processes and would therefore be required to develop its own, which could also result in delay. Any disruption of this nature or increased expense could harm our commercialization efforts and could have a material adverse effect on our business, financial condition and results of operations. If these supply chain shortages and disruptions continue or worsen, there is no guarantee that the Company will be able to meet customer demand for the ALLY System. In addition, pricing increases in component parts for our Systems resulting from inflationary pressures, the impact of increased tariffs and other trade barriers, and other macroeconomic conditions may necessitate an increase in the overall cost to customers, which in turn may have an adverse impact on customer demand.</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some of our suppliers and contract facilities are required to comply with regulatory requirements of the FDA (and other regulatory authorities). In particular, the FDA’s Quality Management System Regulation, or QMSR, which includes FDA’s current Good Manufacturing Practice requirements, or cGMPs, covers the procedures and documentation of the design, testing, production, control, quality assurance, inspection, complaint handling, recordkeeping, management review, labeling, packaging, sterilization, storage and shipping of our device products. The FDA audits compliance with these regulatory requirements through periodically announced and unannounced inspections of manufacturing and other facilities. If our manufacturing facilities or those of any of our suppliers or contract facilities are found to be in violation of applicable laws and regulations, the FDA could take enforcement action. Similar requirements must be complied with in foreign countries and foreign regulatory authorities could also take enforcement action. Additionally, in the event we must obtain a replacement supplier or contract facility, it may be difficult for us to identify and qualify a supplier or contract facility that complies with QMSR and cGMPs, which would adversely impact our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compete, and expect to compete in the future, against other companies, some of which have longer operating histories, more established products or greater resources than we do.</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industry is global, highly competitive and subject to rapid and profound technological, market and product-related changes. We face significant competition from large multinational medical device companies, as well as smaller, emerging players focused on product innovation.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primary competitors in providing surgical solutions for cataract patients are Alcon Inc.; Bausch + Lomb Corporation; Johnson &amp; Johnson; Carl Zeiss AG; Zeimer Ophthalmic Systems AG; and KERANOVA S.A. These competitors are focused on bringing new technologies to market and acquiring products and technologies that directly compete with our products or have potential product advantages that could render our products obsolete or noncompetitive. Bausch + Lomb announced, in November 2025, that they anticipate launching a second-generation femtosecond laser in the second half of 2026. The next-gen laser, SeeLyra™ is said to feature live optical coherence tomography guidance and soft docking. Although not all the features are known currently, this will be the first second-generation laser expected to compete with the ALLY System.</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our current and potential competitors are large publicly traded companies or divisions of publicly-traded companies and have several competitive advantages, including:</w:t>
      </w:r>
    </w:p>
    <w:p>
      <w:pPr>
        <w:spacing w:after="0" w:line="162"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and sales and marketing;</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operating histories; and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sales and marketing programs and distribution networks.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many of our competitors have their own intraocular lens, or IOLs, while we do not, which could put us at a competitive disadvantage. If we are unable to compete effectively in this environment, it could adversely affect our business.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successfully market, sell and lease our products in markets outside of the United States, we must address many international business risks with which we have limited experience.</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historically sold our products outside of the United States through a network of independent distributors and intend to increase our international presence in Europe and Asia, as well as other international markets. Our international business operations are subject to a number of risks, including:</w:t>
      </w:r>
    </w:p>
    <w:p>
      <w:pPr>
        <w:spacing w:after="0" w:line="162"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our international operations;</w:t>
      </w:r>
    </w:p>
    <w:p>
      <w:pPr>
        <w:spacing w:after="0" w:line="225"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as a result of more products and procedures receiving regulatory approval, certification or clearance or otherwise becoming free to market in international markets;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payment cycles and difficulties in collecting accounts receivable;</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export restrictions, and other trade barriers, trade regulations, and foreign tax laws;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certification and regulatory clearance or approval requirements;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developing effective marketing campaigns in unfamiliar international markets;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clearance and shipping delays;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abroad, terrorist attacks, and security concerns in general;</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preference for locally produced products;</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value-added tax systems, tax inefficiencies related to our corporate structure, and restrictions on the repatriation of earnings;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of complying with a wide variety of foreign laws and different legal standards; and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in June 2022, the Supreme Court of South Korea ruled that insurance benefits for cataract surgeries should only be provided within the applicable outpatient coverage limit if inpatient treatment is unnecessary. As a result, patients are experiencing a decrease in the maximum insurance coverage allowed for cataract surgeries, which in turn has significantly decreased overall demand for ophthalmic surgeries in the region. Following the Supreme Court’s decision, we have experienced reduced revenue in South Korea, and we expect this trend to continue so long as this decision remains in effect.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risks and uncertainties could negatively impact our ability to successfully market, sell and lease our products in markets outside of the United States. Furthermore, our ability to deal with these issues could be affected by applicable U.S. laws. Any such risks could have an adverse impact on our business, financial condition, results of operations, cash flows, or reputation.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credit risk of some of our customers, which could result in material losses.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Customers may lease our Systems or finance the system through the product utilization, and we believe there has been an increase in demand for these types of customer leasing in recent years, especially in the United States. We may experience loss from a customer’s failure to make payments according to the contractual lease terms or some other material decrease in the practice revenues and surgical procedure volume. Our exposure to the credit risks relating to our lease financing arrangements may increase if our customers are adversely affected by changes in healthcare laws, economic pressures or uncertainty, or other customer-specific factors. In addition, our credit risk may be highly concentrated, as we rely exclusively on a network of independent distributors to generate sales outside of the United States. Further, ongoing consolidation among distributors, retailers and healthcare provider organizations could increase the concentration of credit risk. The factors affecting our customers’ ability to make timely payments according to the contractual lease terms are out of our control, and as a result, exposes us to additional risks that may materially and adversely affect our business and results of operations. The occurrence of any such factors affecting our customers may cause delays in payments or, in some cases, defaults on payment obligations, which could result in material losses.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programs we have designed to monitor and mitigate the associated risk may not be successful. There can be no assurance that such programs will be effective in reducing credit risks relating to these lease financing arrangements. If the level of credit losses we experience in the future exceed our expectations, such losses could have a material adverse effect on our business, financial condition and results of operations or adversely affect our ability to sell such assets as part of our monetization strategy.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accurately forecast customer demand and our inventory levels.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generally do not maintain large volumes of finished goods and anticipating demand for our products may be challenging as cataract surgeon demand and adoption rates can be unpredictable. In addition, as use of our Systems is adopted by more cataract surgeons, we anticipate greater fluctuations in demand for our products, which makes demand forecasting more difficult. Our forecasts are based on management’s judgment and assumptions, each of which may introduce error into our estimates. If we underestimate customer demand or if insufficient manufacturing capacity is available, we would miss revenue opportunities and potentially lose market share and damage our customer relationships. We could underestimate the worldwide demand for the ALLY System and be unable to fulfill customer requests. Conversely, if we overestimate customer demand or otherwise experience impacts to our inventory levels, our excess or obsolete inventory may increase. For example, we have experienced reduced activity by our distributors following the announcement of the Merger, which has resulted in a decrease in our production levels, and expect further negative impact in connection with the termination of the Merger Agreement. Our results could be adversely impacted if our distributors do not resume their sales activity to previous levels, and a significant increase in excess or obsolete inventory would reduce our gross margin and adversely affect our financial results.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secure adequate coverage or reimbursement by government or other third-party payors for certain procedures using our ALLY System or our other future products, or changes in current coverage or reimbursement, could materially impact our revenue and future growth.</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Adequate coverage and reimbursement from third-party payors, including government programs such as Medicare and Medicaid, private insurance plans and managed care programs, for certain procedures using our ALLY System or other products we may develop in the future, if approved, is central to the acceptance and adoption of these products. Hospitals, healthcare facilities, physicians and other healthcare providers that may purchase and use our ALLY System generally rely on third-party payors to pay for a part of the costs and fees associated with certain procedures using our ALLY System. If third-party payors reduce their levels of payment, if our costs of production increase faster than increases in reimbursement levels or if third-party payors deny reimbursement for procedures using our ALLY System, our ALLY System may not be adopted or accepted by hospitals, healthcare facilities, physicians or other healthcare providers and the prices paid for a procedure using our ALLY System may decline, which could have a material adverse effect on our business, financial condition or results of operations.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Physicians are reimbursed separately for their professional time and effort to perform a cataract procedure that is covered by third-party payors. Such party payors regularly update reimbursement amounts and also from time to time revise the methodologies used to determine reimbursement amounts. This includes routine updates to payments to physicians, hospitals and ambulatory surgery centers for procedures during which our ALLY System would be used. These updates could directly impact the demand for our future products. For example, the Medicare Access and CHIP Reauthorization Act of 2015, or MACRA, provided for a 0.5% annual increase in payment rates under the Medicare Physician Fee Schedule, or PFS, through 2019, but no annual update from 2020 through 2025. MACRA also introduced a Quality Payment Program for Medicare physicians, nurses and other “eligible clinicians” (as defined in MACRA) that adjusts overall reimbursement under the PFS based on certain performance categories. While MACRA applies only to Medicare reimbursement, Medicaid and private payors often follow Medicare payment limitations in setting their own reimbursement rates, and any reduction in Medicare reimbursement may result in a similar reduction in payments from private payors, which may result in reduced demand for our ALLY System or any other products we may develop in the future. However, there is no uniform policy of coverage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5" w:name="page46"/>
    <w:bookmarkEnd w:id="45"/>
    <w:p>
      <w:pPr>
        <w:jc w:val="both"/>
        <w:spacing w:after="0" w:line="254" w:lineRule="auto"/>
        <w:rPr>
          <w:sz w:val="20"/>
          <w:szCs w:val="20"/>
          <w:color w:val="auto"/>
        </w:rPr>
      </w:pPr>
      <w:r>
        <w:rPr>
          <w:rFonts w:ascii="Times New Roman" w:cs="Times New Roman" w:eastAsia="Times New Roman" w:hAnsi="Times New Roman"/>
          <w:sz w:val="18"/>
          <w:szCs w:val="18"/>
          <w:color w:val="auto"/>
        </w:rPr>
        <w:t>and reimbursement among payors in the United States. Therefore, coverage and reimbursement for procedures can differ significantly from payor to payor. Many private payors require extensive documentation of a multi-step diagnosis before authorizing procedures using our products. Some private payors may apply their own coverage policies and criteria inconsistently, and physicians and other healthcare providers may not be able to receive approval and reimbursement for certain procedures using our ALLY System consistently. Any perception by physicians and other healthcare providers that the reimbursement for procedures using our ALLY System or other future products is inadequate to compensate them for the work required, including diagnosis, documentation, obtaining third-party payor approval for the procedure and other burdens on their office staff or that they may not be reimbursed at all for the procedures using our ALLY System or other future products, may negatively affect the adoption and use of our ALLY System or other future products and technologies, and the prices paid for such products may decline.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healthcare industry in the United States, and in our other operating regions, has experienced a trend toward cost containment as government and private insurers seek to control healthcare costs. Third-party payors are imposing lower payment rates and negotiating reduced contract rates with hospitals, other healthcare facilities, surgeons and other healthcare providers and being increasingly selective about the products, technologies and procedures they chose to cover and provide reimbursement for. Third-party payors may adopt policies in the future restricting access to products and technologies like ours or the procedures performed using such products. Therefore, we cannot be certain that any procedures performed with our ALLY System or other future products will be covered and reimbursed. There can be no guarantee that should we introduce new products and technologies, third-party payors will provide adequate coverage and reimbursement for those products or the procedures in which they are used. If third-party payors do not provide adequate coverage or reimbursement for such products, then our sales may be limited to circumstances where our products and procedures using our products are being largely or entirely self-paid by patients, as is currently the case with procedures using our Systems.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market acceptance of our products and technologies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In the EU, reimbursement is entirely regulated at member state level and varies significantly between countries, and member states are facing increased pressure to limit public healthcare spending. We may not obtain additional international coverage and reimbursement approvals in a timely manner, if at all. Our failure to receive such approvals would negatively impact future market acceptance of our ALLY System or any of other products we may develop in the future in the international markets in which those approvals are sought.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provide a limited warranty for our products.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 a limited warranty that our products are free of material defects and conform to specifications, and offer to repair, replace or refund the purchase price of defective products. As a result, we bear the risk of potential warranty claims on our products. In the event that we attempt to recover some or all of the expenses associated with a warranty claim against us from our suppliers or vendors, we may not be successful in claiming recovery under any warranty or indemnity provided to us by such suppliers or vendors and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suits brought against us could cause us to incur substantial liabilities, limit the selling or leasing of our existing products and interfere with commercialization of any products that we may develop.</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product offerings are defectively designed or manufactured, contain defective materials, or are used or deployed improperly, or if someone alleges any of the foregoing, whether or not such claims are meritorious, we may become subject to substantial and costly litigation. Any product liability claims brought against us, with or without merit, could divert management’s attention from our business, be expensive to defend, result in sizable damage awards against us, damage our reputation, increase our product liability insurance rates, prevent us from securing continuing coverage, or prevent or interfere with commercialization of our products. In addition, we may not have sufficient insurance coverage for all future claims. Product liability claims brought against us in excess of our insurance coverage would likely be paid out of cash reserves, harming our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We can give no assurance that the coverage under our product liability insurance in the United States will be available or adequate to satisfy any claims. Product liability insurance is expensive and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carry specific hazardous waste insurance coverage, and our insurance policies generally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and certifications could be suspended.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expect that operating as a public company will make it more difficult and more expensive for us to obtain and maintain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fluctuate significantly and may not fully reflect the underlying performance of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quarterly and annual results of operations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For example, we have historically experienced seasonal variations in the selling or leasing of our products and procedures involving our products, with our fourth quarter typically being the strongest and the first quarter being the slowest. We believe these seasonal changes are consistent across our industry. Other factors that may cause fluctuations in our quarterly and annual results include:</w:t>
      </w:r>
    </w:p>
    <w:p>
      <w:pPr>
        <w:spacing w:after="0" w:line="187"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demand for the more advanced, patient-pay procedures in which our Systems are used;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our Systems;</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an effective and dedicated sales organization in the United States and network of independent distributors outside the United States;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applicable to our products from competitor pricing;</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research and studies on our products or competitive products;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sales and leases of our Systems;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delivery of Systems, new product offerings, acquisitions, licenses or other significant events by us or our competitors;</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surgeons, hospitals and ASCs to defer acquisitions of Systems in anticipation of the introduction of new products or product enhancements by us or our competitors;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sampling by and additional training requirements for cataract surgeons upon the commercialization of a new product by us or one of our competitors;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approvals, clearances or certifications and legislative changes affecting the products we may offer or those of our competitors;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the manufacturing or distribution of our Systems;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of, component and raw material deliveries by our suppliers;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suppliers to timely provide us with an adequate supply of components;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industry and market developments; and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ability to obtain regulatory clearance, certification or approval for our product candidates.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you should not rely on our results in any past period as an indication of future results and you should anticipate that fluctuations in our quarterly and annual operating results may continue and could generate volatility in the price of our common stock. Quarterly or annual comparisons of our financial results should not be relied upon as an indication of our future performance.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anticipated growth effectively, or are unable to increase or maintain our manufacturing capacity, we may not be able to meet customer demand for our products and our business could suffer.</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experienced significant period-to-period growth in our business and we must continue to grow in order to meet our business and financial objectives. However, continued growth may create numerous challenges, including:</w:t>
      </w:r>
    </w:p>
    <w:p>
      <w:pPr>
        <w:spacing w:after="0" w:line="162"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increased responsibilities for our management team;</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on our operating, financial and reporting systems;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to anticipate and satisfy market demand;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manufacturing capacity requirements;</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strain on our ability to source a larger supply of components, including as a result of ongoing supply chain issues, in order to meet our required specifications on a timely basis;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an increasing number of relationships with our customers, suppliers and other third parties;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new international territories with unfamiliar regulations and business approaches; and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train and manage additional qualified personnel.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current and planned capacity may not be sufficient to meet our current business plans. There are uncertainties inherent in expanding our manufacturing capabilities, and we may not be able to sufficiently increase our capacity in a timely manner. For example, manufacturing and product quality issues may arise as we increase production rates at our manufacturing facility or launch new products. Also, we may not manufacture the right product mix to meet customer demand as we introduce new products. As a result, we may experience difficulties in meeting customer demand, in which case we could lose customers or be required to delay new product introductions, and demand for our products could decline. If we fail to manage any of the above challenges effectively, our business may be harmed.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choose to acquire new and complementary businesses, products or technologies, we may be unable to complete these acquisitions or to successfully integrate them in a cost-effective and non-disruptive manner.</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continually enhance and broaden our product offerings in response to changing customer demands, competitive pressures and advances in technologies. Accordingly, although we have no current commitments with respect to any acquisition or investment, we may in the future pursue the acquisition of, or joint ventures relating to, complementary businesses, products or technologies instead of developing them ourselves. We do not know if we will be able to successfully complete any future acquisitions or joint ventures, or whether we will be able to successfully integrate any acquired business, product or technology or retain any key employees related thereto. Integrating any business, product or technology we acquire could be expensive and time-consuming, disrupt our ongoing business and distract our management. If we are unable to integrate any acquired businesses, products or technologies effectively, our business will be adversely affected. In addition, any amortization or charges resulting from the costs of acquisitions could increase our expenses.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on our ability to retain members of our senior management and other key employees. If we are unable to retain or recruit qualified personnel for growth, our business results could suffer.</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benefited substantially from the leadership and performance of our senior management as well as certain key employees. Our success will depend on our ability to retain our current management and key employees, and to attract and retain qualified personnel in the future. Competition for senior management and key employees in our industry is intense, and we cannot guarantee that we will be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jc w:val="both"/>
        <w:spacing w:after="0" w:line="255" w:lineRule="auto"/>
        <w:rPr>
          <w:sz w:val="20"/>
          <w:szCs w:val="20"/>
          <w:color w:val="auto"/>
        </w:rPr>
      </w:pPr>
      <w:r>
        <w:rPr>
          <w:rFonts w:ascii="Times New Roman" w:cs="Times New Roman" w:eastAsia="Times New Roman" w:hAnsi="Times New Roman"/>
          <w:sz w:val="18"/>
          <w:szCs w:val="18"/>
          <w:color w:val="auto"/>
        </w:rPr>
        <w:t>able to retain our personnel or attract new, qualified personnel, or that we will be able to do so without incurring substantial additional costs. We have experienced increases in compensation levels in connection with our recruitment and retention efforts, which may increase further in the future. The loss of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competing for market share for our products, we also compete against our competitors for personnel, including qualified sales representatives that are necessary to grow our business. Universities and research institutions also compete with us for scientific personnel that are important to our research and development efforts. We also rely on consultants and advisors in our research, operations, clinical and commercial efforts to implement our business strategies. Our consultants and advisors may be employed by employers other than us and may have commitments under consulting or advisory contracts with other entities that may limit their availability to us. Our strategic plan requires us to continue growing our sales, marketing, clinical and operational infrastructure in order to generate, and meet, the demand for our products. If we fail to retain or attract these key personnel, we could fail to take advantage of the market for our products, adversely affecting our business, financial condition and results of operation.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the use of information technology. Cybersecurity risks – any technology failures causing a material disruption to operational technology or cyber-attacks on our systems affecting our ability to protect the integrity and security of confidential customer and employee information – could harm our reputation and/or could disrupt our operations and negatively impact our business.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efficient operation of our business depends on our information technology systems. We rely on our information technology systems to store and effectively manage sales and marketing data, accounting and financial functions, inventory management, product development tasks, clinical data, customer service and technical support functions, intellectual property, proprietary business information and personal information (collectively, Confidential Information). The future operation, success and growth of our business depends on streamlined processes made available through our uninhibited access to information technology systems, global communications, internet activity and other network processes. Like most companies, despite our current security measures, our information technology systems, and those of our third-party service providers, strategic partners and other contractors or consultants are vulnerable to information security breaches, acts of vandalism, social engineering/phishing, computer viruses and malware (such as ransomware), misconfigurations, “bugs” or other vulnerabilities, theft or loss of Confidential Information. Confidential Information might be improperly accessed due to a variety of events beyond our control, including, but not limited to, natural disasters, terrorist attacks, telecommunications failures, computer viruses, hackers and other security issues. In addition, a variety of our software systems are cloud-based data management applications, hosted by third-party service providers whose security and information technology systems are subject to similar risks. We have technology security initiatives in place to mitigate our risk to these vulnerabilities, but there can be no assurance that our or our third-party service providers’ cybersecurity risk management program and processes, including policies, controls or procedures, and other security measures, will be adequately designed, complied with, implemented or effective to ensure that our or their operations are not disrupted or that data security breaches do not occur. Furthermore, given the nature of complex systems, software and services like ours, and the scanning tools that we deploy across our networks and products, we regularly identify and track security vulnerabilities. We are unable to comprehensively apply patches or confirm that measures are in place to mitigate all such vulnerabilities, or that patches will be applied before vulnerabilities are exploited by a threat actor.</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Confidential Information.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Hackers and data thieves are increasingly sophisticated and operate large-scale and complex automated attacks which may remain undetected for an extended period. Even if identified, we may be unable to adequately investigate, remediate or recover from incidents or breaches due to attackers increasingly using tools and techniques – including artificial intelligence – that are designed to circumvent controls, to avoid detection, and to remove or obfuscate forensic evidence. We and certain of our service providers and customers are from time to time subject to cyberattacks, social engineering/phishing, and other security incidents. While to date no incidents have had a material impact on our operations or financial results, we cannot guarantee that material incidents will not occur in the future. Any information technology system failure, accident or security breach affecting us or third-party systems or Confidential Information could result in interruptions in our operations, damage to our reputation, the loss or misappropriation of Confidential Information, result 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jc w:val="both"/>
        <w:spacing w:after="0" w:line="252" w:lineRule="auto"/>
        <w:rPr>
          <w:sz w:val="20"/>
          <w:szCs w:val="20"/>
          <w:color w:val="auto"/>
        </w:rPr>
      </w:pPr>
      <w:r>
        <w:rPr>
          <w:rFonts w:ascii="Times New Roman" w:cs="Times New Roman" w:eastAsia="Times New Roman" w:hAnsi="Times New Roman"/>
          <w:sz w:val="18"/>
          <w:szCs w:val="18"/>
          <w:color w:val="auto"/>
        </w:rPr>
        <w:t>key personnel being unable to perform duties or communicate throughout the organization, significant costs associated with the investigation, data restoration and remediation, legal claims or proceedings (such as class actions), and potential notification of the breach to third-parties, including counterparties, governmental authorities, and data subjects, and have other adverse impacts on our business. For example, laws in the EU and the UK may require businesses to provide notice to individuals whose personal information has been disclosed as a result of a data security breach. We may also be contractually required to notify customers or other counterparties of a security incident, including a data security breach. Ransomware attacks, including those from organized criminal threat actors, nation-states, and nation-state supported actors, are becoming increasingly prevalent and severe, and if made against us could lead to significant interruptions in our operations, loss of Confidential Information and income, reputational loss, diversion of funds, and may also result in fines, litigation and unwanted media attention. Extortion payments may alleviate the negative impact of a ransomware attack, but we may be unwilling or unable to make such payments due to, for example, applicable laws or regulations prohibiting payments. Despite our existing security procedures and controls, compromises to our network could give rise to unwanted media attention, materially damage our customer relationships, decrease sales and leases of our products, increase overhead costs, harm our business, reputation, results of operations, cash flows and financial condition, result in regulatory investigations and enforcement actions, result in fines or litigation, and may increase the costs we incur to protect against such information security breaches, such as increased investment in technology, the costs of compliance with consumer protection laws and costs resulting from consumer fraud.</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costs of mitigating cybersecurity risks are significant and are likely to increase in the future.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carry cyber insurance, which may expose us to certain potential losses for damages or result in penalization with fines in an amount exceeding our resources.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actual or perceived failure to comply with data privacy and security laws and other obligations could have a material adverse effect on our business, results of operations and financial condition.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processes health-related and other personal information. When conducting clinical studies, we face risks associated with collecting trial participants’ information, especially health information, in a manner consistent with applicable laws and regulations. We also face risks inherent in handling large volumes of Confidential Information and in protecting the security of such information. Data breaches could result in a violation of applicable U.S. and international privacy, data protection and other laws, and subject us to individual or consumer class action litigation and governmental investigations and proceedings by federal, state and local regulatory entities in the United States and by international regulatory entities, resulting in exposure to material civil or criminal liability, or both. Further, our general liability insurance and corporate risk program may not cover all potential claims to which we are exposed and may not be adequate to indemnify us for all liability that may be imposed.</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be subject to state, federal and foreign laws relating to data privacy and security in the conduct of our business, including state breach notification laws, the Health Insurance Portability and Accountability Act, as amended by the Health Information Technology for Economic and Clinical Health Act of 2009 (collectively, “HIPAA”), the EU General Data Protection Regulation 2016/679 and applicable national supplementing laws (“EU GDPR”), and the UK General Data Protection Regulation and Data Protection Act 2018 (“UK GDPR”) (collectively, “GDPR”), and the California Consumer Privacy Act, as amended by the California Privacy Rights Act(collectively, “CCPA”). In the United States, HIPAA imposes, among other things, certain standards relating to the privacy, security, transmission and breach reporting of individually identifiable health information on covered entities, including healthcare providers and research institutions, from which we obtain clinical trial data, as well as their business associates that perform certain services that involve creating, receiving, maintaining or transmitting such information for or on behalf of such covered entities, and their covered subcontractors. Depending on the facts and circumstances, we could be subject to regulatory investigation and enforcement action, including significant penalties, if we violate HIPAA. Certain states have also adopted comparable privacy and security laws and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jc w:val="both"/>
        <w:spacing w:after="0" w:line="253" w:lineRule="auto"/>
        <w:rPr>
          <w:sz w:val="20"/>
          <w:szCs w:val="20"/>
          <w:color w:val="auto"/>
        </w:rPr>
      </w:pPr>
      <w:r>
        <w:rPr>
          <w:rFonts w:ascii="Times New Roman" w:cs="Times New Roman" w:eastAsia="Times New Roman" w:hAnsi="Times New Roman"/>
          <w:sz w:val="18"/>
          <w:szCs w:val="18"/>
          <w:color w:val="auto"/>
        </w:rPr>
        <w:t>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CCPA requires covered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Similar laws have been passed in other states, and continue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the FTC and many state Attorneys General continue to enforce federal and state consumer protection laws against companies for online collection, use, dissemination and security practices that appear to be unfair or deceptive. The FTC has authority to initiate enforcement actions against entities that make deceptive statements about privacy and data sharing in privacy policies, fail to limit third-party use of personal information, fail to implement policies to protect health information or engage in other unfair practices that harm customers.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 Attorneys General to regulate the collection, use, storage, and disclosure of personal health-related and other information, through websites or otherwise, and to regulate the presentation of website content.</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2024, the National Security Division of the U.S. Department of Justice (DOJ) issued a new rule – referred to as the “Data Security Program” (DSP) – 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sensitive personal data or any amount of government-related data. The DSP is new, complex and has yet to be enforced, and as such, there is a risk that our interpretation of its applicability, scope, and requirements is incorrect, incomplete, or misapplied. Compliance with the DSP may require us to invest heavily in data security and compliance measures, such as implementing and complying with the Cybersecurity and Infrastructure Security Agency’s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Finally, non-compliance with the DSP could result in significant civil or criminal penalties, which could materially adversely affect our business, results of operations, and financial condition.</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GDPR comprehensively regulates our use of personal data of individuals from the European Economic Area, or EEA and/or the UK, or in the context of our activities within the EEA and/or the UK, including a principle of accountability and the obligation to demonstrate that appropriate legal bases are in place to justify data processing activities. Additionally, the GDPR regulates cross-border transfers of personal data out of the EEA and the UK. In addition, some of the personal data we process in respect of clinical trial participants is special category or sensitive personal data under the GDPR, and subject to additional compliance obligations and local law derogations. We may be subject to diverging requirements under EU Member State laws and UK law, such as whether consent can be used as the legal basis for processing and the roles, responsibilities, and liabilities as between CROs and sponsors. As these laws develop, we may need to make operational changes to adapt to these diverging rules, which could increase our costs and adversely affect our business, including laws relating to transfer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states that reliance on the standard contractual clauses, or SCCs, a standard form of contract approved by the European Commission as an adequate personal data transfer mechanism, alone may not necessarily be sufficient in all circumstances and that transfers must be assessed on a case-by-case basis.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rely on the SCCs to transfer personal data outside the EEA and the UK, including to the United States, with respect to both intragroup and third-party transfers. We expect the existing legal complexity and uncertainty regarding international personal data transfers to continue. As the regulatory guidance and enforcement landscape in relation to data transfers continue to develop, we could suffer additional costs, complaints and/or regulatory investigations or fines; we may have to stop using certain tools and vendors and make other operational changes; we may have to implement alternative data transfer mechanisms under the GDPR and/ or take additional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jc w:val="both"/>
        <w:spacing w:after="0" w:line="282" w:lineRule="auto"/>
        <w:rPr>
          <w:sz w:val="20"/>
          <w:szCs w:val="20"/>
          <w:color w:val="auto"/>
        </w:rPr>
      </w:pPr>
      <w:r>
        <w:rPr>
          <w:rFonts w:ascii="Times New Roman" w:cs="Times New Roman" w:eastAsia="Times New Roman" w:hAnsi="Times New Roman"/>
          <w:sz w:val="18"/>
          <w:szCs w:val="18"/>
          <w:color w:val="auto"/>
        </w:rPr>
        <w:t>compliance and operational measures; and/or it could otherwise adversely affect the manner in which we operate our business and could adversely affect our business, operations, and financial condition.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comply with the GDPR could result in penalties for noncompliance. Penalties for certain breaches are up to the greater of EUR 20 million/GBP 17.5 million or 4% of our global annual turnover. Since we are subject to the supervision of relevant data protection authorities under multiple legal regimes (including under both the EU GDPR and the UK GDPR), we could be fined under those regimes independently in respect of the same breach. In addition to fines, a breach of the GDPR may result in regulatory investigations, reputational damage, orders to cease/change our data processing activities, enforcement notices, assessment notices (for a compulsory audit) and/ or civil claims (including class actions).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we continue to expand into other foreign countries and jurisdictions, we may be subject to additional laws and regulations that may affect how we conduct business. We expect that there will continue to be new laws, regulations and industry standards concerning privacy, data protection and information security proposed and enacted in various jurisdictions. For example, Washington State enacted the “My Health My Data Act,” which broadly defines “consumer health data”, creates a private right of action to allow individuals to sue for violations of the law, imposes stringent consent requirements and grants consumers certain rights with respect to their health data, including to request deletion of their information. Consumer health data is defined to include personal information that is linked or reasonably linkable to a consumer and that identifies a consumer’s past, present, or future physical or mental health status; consumer health data also includes information that is derived or extrapolated from non-health information, such as algorithms and machine learning. Other states, including Connecticut and Nevada, have also passed consumer health data laws, and given the increased focus on the use of health data by entities that are not subject to HIPAA, additional states are expected to pass consumer health privacy laws.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Furthermore, these laws impose substantial requirements that require the expenditure of significant funds and employee time to comply, and additional states and countries are enacting new data privacy and security laws, which will require future expansion of our compliance efforts. We also rely on third parties in relation to the operation of our business, a number of which host or otherwise process personal data on our behalf. In some instances, these third parties have experienced immaterial failures to protect data privacy. There can be no assurances that the privacy and security-related measures and safeguards we have put in place in relation to these third parties will be effective to protect us and/or the relevant personal information from the risks associated with the third-party processing, storage, and transmission of such data. Any violation of data or security laws, or of our relevant measures and safeguards, by our third-party processors could have a material adverse effect on our business, result in applicable fines and penalties, damage our reputation, and/ or result in civil claims. We will need to expend additional resources and make significant investments to comply with data privacy and security laws. Our failure to comply with our posted privacy policies or with any federal, state, or international privacy and security laws, regulations, industry standards or other legal obligations relating to data privacy and information security or any failure to prevent security breaches of such data could result in significant liability under applicable laws, cause disruption to our business, harm our reputation, have a material adverse effect on our business, and may result in claims, complaints, liabilities, proceedings or actions against us by governmental entities or others, or may require us to change our operations. Any such claims, complaints, proceedings or actions could force us to incur significant expenses in defense of such proceedings or actions, distract our management, increase our costs of doing business, and result in the imposition of monetary penalties.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Performance issues, service interruptions or price increases by our shipping carriers could adversely affect our business and harm our reputation and ability to provide our products on a timely basis.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Reliable shipping is essential to our operations. We rely on providers of transport services for reliable and secure point-to-point transport of our products to our customers and for tracking of these shipments. Should a carrier encounter delivery performance issues such as loss, damage or destruction of any of our products, it could be costly to replace such products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deliver our products (or any other products we commercialize in the future) on a timely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on our books may lead to significant impairment charges.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carry a significant amount of intangible assets on our balance sheet, partially due to the value of the LENSAR brand name, but also intangible assets associated with our technologies, acquired research and development, currently marketed products, and marketing know-how. As a result, we have incurred and may incur significant impairment charges if the fair value of the intangible assets would be less than their carrying value on our balance sheet at any point in time.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regularly review our long-lived intangible and tangible assets, including identifiable intangible assets, for impairment. Intangible assets with an indefinite useful life (such as the LENSAR brand name), acquired research projects not ready for use, and acquired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development projects not yet ready for use are subject to impairment review. We review other long-lived assets for impairment when there is an indication that an impairment may have occurred.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operations are subject to extensive government regulation and oversight both in the United States and abroad, and our failure to comply with applicable requirements could harm our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are regulated as medical devices. We and our products are subject to extensive regulation in the United States and elsewhere, including by the FDA and its foreign counterparts. The FDA and foreign regulatory agencies regulate, among other things, with respect to medical devices: design, development and manufacturing; testing, labeling, content and language of instructions for use and storage; clinical studies; product safety; establishment registration and device listing; marketing, sales and distribution; pre-market clearance, certification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or certification studies; and product import and export.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 In addition, the FDA or other regulatory agencies may change their policies, adopt additional regulations, revise existing regulations, or take other actions that may prevent or delay approval or clearance of our products under development or impact our ability to modify our currently approved or cleared products on a timely basis. We may be found non-compliant as a result of future changes in. or interpretations of, regulations by the FDA or other regulatory agencies.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foreign regulatory authorities and notified bodies enforce their regulatory requirements through, among other means, periodic unannounced inspections and audits. We do not know whether we will be found compliant in connection with any future FDA (or foreign regulatory authorities) inspections or notified bodies’ audits.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certifications or approvals; withdrawals or suspensions of current approvals or certifications, resulting in prohibitions on sales of our products; and in the most serious cases, criminal penalties.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receive, or may be delayed in receiving, the necessary clearances, certifications or approvals for our future products, or modifications to our current products, and failure to timely obtain additional clearances, certifications or approvals for our ALLY System and future products or modifications to our current products would adversely affect our ability to grow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before we can market a new medical device, or a new use of, new claim for or significant modification to an existing product, we must first receive either clearance under Section 510(k) of the Federal Food, Drug, and Cosmetic Act, or the FDCA, or approval of a pre-market approval application, or PMA,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To date, our products have received marketing authorization pursuant to the 510(k) clearance process.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Modifications to products that are approved through a PMA application generally require FDA approval. Similarly, certain modifications made to products cleared through a 510(k) may require a new 510(k) clearance. Both the PMA approval and the 510(k) clearance process can be expensive, lengthy and uncertain.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we have obtained clearance of our Systems through the 510(k) clearance process. Any modification to these Systems that has not been previously cleared may require us to submit a new 510(k) premarket notification and obtain clearance, or submit a PMA and obtain FDA approval, prior to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510(k)-cleared products in the past and have determined based on our review of the applicable FDA regulations and guidance that in certain instances new 510(k) clearances or PMA approvals were not required. We may make modifications or add additional features to our products in the future that we believe do not require a new 510(k) clearance or approval of a PMA.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ALLY System, which has received clearance from the FDA and certification in the EU, enables cataract surgeons to complete the laser-assisted procedure seamlessly in a single, sterile environment. The ALLY System is available to all cataract surgeons in the U.S. and EU jurisdictions and has also received regulatory clearance in India, Taiwan, South Korea, as well as certain other countries.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foreign regulatory authorities or notified bodies can delay, limit or deny clearance, certification or approval of a device for many reasons, including:</w:t>
      </w:r>
    </w:p>
    <w:p>
      <w:pPr>
        <w:spacing w:after="0" w:line="162" w:lineRule="exact"/>
        <w:rPr>
          <w:sz w:val="20"/>
          <w:szCs w:val="20"/>
          <w:color w:val="auto"/>
        </w:rPr>
      </w:pPr>
    </w:p>
    <w:p>
      <w:pPr>
        <w:ind w:left="380" w:hanging="372"/>
        <w:spacing w:after="0" w:line="282"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foreign regulatory authority or notified body that our products are safe or effective for their intended uses;</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or the applicable foreign regulatory authority or notified body with the design or implementation of our clinical trials or the interpretation of data from pre-clinical studies or clinical trials;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our clinical trials;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certification or approval, where required;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 and</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or certification policies or regulations of the FDA or applicable foreign regulatory authority or notified body to change significantly in a manner rendering our clinical data or regulatory filings insufficient for clearance, certification or approval.</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Subject to the transitional provisions and in order to sell our products in EU member states, our products must comply with the general safety and performance requirements of the EU Medical Devices Regulation, which repeals and replaces the EU Medical Devices Directive. Compliance with these requirements is a prerequisite to be able to affix the European Conformity, or CE mark, to our products, without which they cannot be sold or marketed in the EU.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where applicable,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A conformity assessment procedure generally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The aforementioned EU rules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are generally applicable in the EEA which consists of the 27 EU member states plus Norway, Liechtenstein and Iceland. If we fail to comply with applicable laws and regulations, we would be unable to affix the CE mark to our products, which would prevent us from selling them within the EU and these three countries.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EU, the EU Medical Devices Regulation became effective on May 26, 2021. In accordance with its recently extended transitional provisions, both (i) devices lawfully placed on the market pursuant to the EU Medical Devices Directive prior to May 26, 2021 and (ii) legacy devices lawfully placed on the market after May 26, 2021 in accordance with the transitional provisions of the EU Medical Devices Regulation may generally continue to be made available on the market or put into service, provided that the requirements of the transitional provisions are fulfilled. In particular, no substantial change must be made to the device as such a modification would trigger the obligation to obtain a new certification under the EU Medical Devices Regulation and therefore to have a notified body conducting a new conformity assessment of the devices. Once our devices are certified under the EU Medical Devices Regulation, we must inform the notified body that carried out the conformity assessment of the medical devices that we market or sell in the EU and the EEA of any planned substantial changes to our quality system or substantial changes to our medical devices that could affect compliance with the general safety and performance requirements laid down in Annex I to the EU Medical Devices Regulation or cause a substantial change to the intended use for which the device has been CE marked. The notified body will then assess the planned changes and verify whether they affect the products’ ongoing conformity with the EU Medical Devices Regulation. If the assessment is favorable, the notified body will issue a new certificate of conformity or an addendum to the existing certificate attesting compliance with the general safety and performance requirements and quality system requirements laid down in the Annexes to the EU Medical Devices Regulation. The notified body may disagree with our proposed changes and product introductions or modifications could be delayed or canceled, which could adversely affect our ability to grow our business.</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16, 2025, an amendment to the Medical Devices Regulations 2002, or UK Medical Devices Regulations, became applicable which is intended to clarify and strengthen the post-market surveillance requirements for medical devices in Great Britain. It also intends to bring the UK regulatory framework for medical devices, which is based on the EU Medical Devices Directive, into closer alignment with the EU Medical Devices Regulation. In addition, the MHRA launched a consultation from November 14, 2024 to January 5, 2025 on proposals to update the pre-market requirements for medical devices in Great Britain. On July 22, 2025, the MHRA published a response to the consultation confirming that it will incorporate the results of this consultation into new UK legislation on pre-market requirements for medical devices in Great Britain. A draft of the new legislation is expected this year. Under the UK Medical Devices Regulations, in order to be lawfully placed on the Great Britain market, class I (non-sterile, non-measuring or non-re-useable) medical devices need to be “UKCA” self-certified, and other medical devices need to be “UKCA” certified by a UK approved body. However, certain medical devices in compliance with: (1) the EU Medical Devices Directive can continue to be placed on the Great Britain market until the sooner of certificate expiration or June 30, 2028; or (2) the EU Medical Devices Regulation can continue to be placed on the Great Britain market until June 30, 2030. The MHRA launched a consultation from February 16, 2026 to April 10, 2026 regarding the indefinite recognition of EU Medical Devices Regulation-compliant medical devices in Great Britain. The outcome of this consultation is currently pending. Medical devices also need to bear a physical UKCA mark in order to be lawfully placed on the Great Britain market. However, the MHRA has confirmed in its response to the consultation on pre-market requirements for medical devices in Great Britain that it intends to remove the requirement for a medical device and its labeling (for example packaging and instructions for use) in Great Britain to bear a physical UKCA mark. Instead of requiring a medical device and its labeling to bear a UKCA mark, manufacturers would be required to assign a unique design identification, (“UDI”), to a medical device and register the UDI in a publicly accessible database before the medical device is placed on the Great Britain market. If this change is implemented, we may no longer be required to affix the physical UKCA mark to our medical devices, but we may need to assign and affix a UDI, and register the UDI in a publicly accessible database.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post-marketing regulatory requirements could subject us to enforcement actions, including substantial penalties, and might require us to recall or withdraw a product from the market.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ongoing and pervasive regulatory requirements governing, among other things, the manufacture, marketing, advertising, medical device reporting, sale, promotion, import, export, registration, and listing of devices. The regulations to which we are subject are complex and have become more stringent over time. Regulatory changes could result in restrictions on our ability to continue or expand our operations, higher than anticipated costs, or lower than anticipated sales. Even after we have obtained the proper regulatory approval, certification or clearance to market a device,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or notified bodies, which may include any of the following sanctions:</w:t>
      </w:r>
    </w:p>
    <w:p>
      <w:pPr>
        <w:spacing w:after="0" w:line="189" w:lineRule="exact"/>
        <w:rPr>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or warning letters;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injunctions, consent decrees and civil penalties;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termination of distribution, administrative detention, or seizure of our products;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refusal to grant our requests for future clearances, certifications or approvals (including foreign regulatory approvals) of new products, new intended uses, or modifications to existing products;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or suspensions of our current 510(k) clearances or certifications, resulting in prohibitions on sales of our products;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refusal to issue certificates to foreign governments needed to export products for sale in other countries; and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sanctions could result in higher than anticipated costs or lower than anticipated sales and have a material adverse effect on our reputation, business, financial condition and results of operations.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FDA and foreign regulatory authorities may change their clearance or certification policies, adopt additional regulations or revise existing regulations, or take other actions, which may prevent or delay clearance, certification or approval of our future products under development or impact our ability to modify our currently cleared or certified products on a timely basis. Such policy or regulatory changes could impose additional requirements upon us that could delay our ability to obtain new clearances, certifications or approvals, increase the costs of compliance or restrict our ability to maintain our clearances of our current products. For more information, see “—Legislative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must be manufactured in accordance with federal, state and foreign regulations, and we or any of our suppliers could be forced to recall products or terminate production if we fail to comply with these regulations.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methods used in, and the facilities used for, the manufacture of our products must comply with the FDA’s QMSR,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QMSR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third-party manufacturers may not take the necessary steps to comply with applicable regulations, which could cause delays in the delivery of our products. In addition, failure to comply with applicable FDA (or other regulatory authorities) requirements or later discovery of previously unknown problems with our products or manufacturing processes could result in, among other things: warning letters or untitled letters; fines, injunctions or civil penalties; suspension or withdrawal of approvals or certifications; seizures or recalls of our products; total or partial suspension of production or distribution; administrative or judicially imposed sanctions; the FDA’s (or foreign regulatory authorities’ or notified bodies’) refusal to grant pending or future clearances, certifications or approvals for our products; clinical holds; refusal to permit the import or export of our products; and criminal prosecution of us or our employees.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misuse or off-label use of our LLS or ALLY System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Systems are ophthalmic surgical lasers indicated for the creation of anterior capsulotomies, use in patients undergoing surgery requiring laser-assisted fragmentation of the cataractous lens, and for creating cuts/incisions in the cornea. We train our marketing personnel and direct sales force to not promote our devices for uses outside of the FDA-approved indications for use, known as “off-label uses.” We cannot, however, prevent a physician from using our devices off-label, when in the physician’s independent professional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jc w:val="both"/>
        <w:spacing w:after="0" w:line="266" w:lineRule="auto"/>
        <w:rPr>
          <w:sz w:val="20"/>
          <w:szCs w:val="20"/>
          <w:color w:val="auto"/>
        </w:rPr>
      </w:pPr>
      <w:r>
        <w:rPr>
          <w:rFonts w:ascii="Times New Roman" w:cs="Times New Roman" w:eastAsia="Times New Roman" w:hAnsi="Times New Roman"/>
          <w:sz w:val="18"/>
          <w:szCs w:val="18"/>
          <w:color w:val="auto"/>
        </w:rPr>
        <w:t>medical judgment he or she deems it appropriate. There may be increased risk of injury to patients if physicians attempt to use our devices off-label. Furthermore, the use of our devices for indications other than those approved by the FDA or a foreign regulatory authority or certified by a notified body may not effectively treat such conditions, which could harm our reputation in the marketplace among physicians and patients.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FDA or any foreign regulatory authority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Product liability claims could divert management’s attention from our core business, be expensive to defend and result in sizeable damage awards against us that may not be covered by insurance.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may cause or contribute to adverse medical events or be subject to failures or malfunctions that we are required to report to the FDA (or similar foreign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the FDA’s medical device reporting regulations and similar foreign regulations, which require us to report to the FDA (or similar foreign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similar foreign authorities) could take action, including warning letters, untitled letters, administrative actions, criminal prosecution, imposition of civil monetary penalties, revocation of our device clearance, certification or approval, seizure of our products or delay in clearance, certification or approval of future products.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and foreign regulatory authorities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Depending on the corrective action we take to redress a product’s deficiencies or defects, the FDA (or foreign regulatory authorities) may require, or we may decide, that we will need to obtain new clearances, certifications or approvals for the device before we may market or distribute the corrected device. Seeking such clearances, certifications or approvals may delay our ability to replace the recalled devices in a timely manner. Moreover, if we do not adequately address problems associated with our devices, we may face additional regulatory enforcement action, including warning letters from the FDA (or foreign regulatory authorities), product seizure, injunctions, administrative penalties or civil or criminal fines.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Companies are required to maintain certain records of recalls and corrections, even if they are not reportable to the FDA (or similar foreign authorities). We may initiate voluntary withdrawals or corrections for our products in the future that we determine do not require notification of the FDA (or similar foreign authorities). If the FDA (or similar foreign authorities)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and maintain international regulatory registrations, clearances, certifications or approvals for our products, we will be unable to market and sell our products outside of the United States.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Sales of our products outside of the United States are subject to foreign regulatory requirements that vary widely from country to country. In addition, the FDA regulates exports of medical devices from the United States. While the regulations of some countries may not impose barriers to marketing and selling our products or only require notification, others require that we obtain the clearance, certification or approval of a specified regulatory body. Complying with foreign regulatory requirements, including obtaining registrations, clearances, certifications or approvals, can be expensive and time-consuming, and we may not receive regulatory clearances, certifications or approvals in each country in which we plan to market our products or we may be unable to do so on a timely basis. The time required to obtain registrations, clearances, certifications or approvals, if required by other countries, may be longer than that required for FDA clearance or approval, and requirements for such registrations, clearances, certifications or approvals may significantly differ from FDA requirements. If we modify our products, we may need to apply for additional regulatory clearances, certifications or approvals before we are permitted to sell the modified product. In addition, we may not continue to meet the quality and safety standards required to maintain the authorizations (approvals or certifications) that we have received. If we are unable to maintain our authorizations or certifications in a particular country, we will no longer be able to sell the applicable product in that country.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Regulatory clearance or approval by the FDA does not ensure registration, clearance, certification or approval by regulatory authorities or notified bodies in other countries, and registration, clearance, certification or approval by one or more foreign regulatory authorities or notified bodies does not ensure registration, clearance, certification or approval by regulatory authorities or notified bodies in other foreign countries or by the FDA. However, a failure or delay in obtaining registration or regulatory clearance, certification or approval in one country may have a negative effect on the regulatory process in others.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clinical trial process is lengthy and expensive with uncertain outcomes. Results of earlier studies may not be predictive of future clinical trial results, or the safety or efficacy profile for such products.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testing is difficult to design and implement, can take many years, can be expensive and carries uncertain outcomes. We intend to conduct additional clinical trials and to generate clinical data that will help us demonstrate the benefits of our system compared to manual cataract surgery conducted without a laser system, or with competing laser systems.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or notified bodies may require us, to conduct additional clinical and non-clinical testing in addition to those we have planned.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initiation and completion of any of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w:t>
      </w:r>
    </w:p>
    <w:p>
      <w:pPr>
        <w:spacing w:after="0" w:line="176" w:lineRule="exact"/>
        <w:rPr>
          <w:sz w:val="20"/>
          <w:szCs w:val="20"/>
          <w:color w:val="auto"/>
        </w:rPr>
      </w:pPr>
    </w:p>
    <w:p>
      <w:pPr>
        <w:jc w:val="both"/>
        <w:ind w:left="380" w:hanging="372"/>
        <w:spacing w:after="0" w:line="266"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submit an Investigational Device Exemption, or IDE, application to FDA, which must become effective prior to commencing certain human clinical trials of medical devices, and FDA may reject our IDE application and notify us that we may not begin clinical trials, and similar risks may apply in foreign jurisdictions;</w:t>
      </w:r>
    </w:p>
    <w:p>
      <w:pPr>
        <w:spacing w:after="0" w:line="17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and other comparable foreign regulatory authorities may disagree as to the design or implementation of our clinical trials;</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or IRBs, or other reviewing bodies may not authorize us or our investigators to commence a clinical trial, or to conduct or continue a clinical trial at a prospective or specific trial site;</w:t>
      </w:r>
    </w:p>
    <w:p>
      <w:pPr>
        <w:spacing w:after="0" w:line="161"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may produce negative or inconclusive results, and we may decide, or regulators or notified bodies may require us, to conduct additional clinical trials or abandon product development programs;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8" w:name="page59"/>
    <w:bookmarkEnd w:id="58"/>
    <w:p>
      <w:pPr>
        <w:jc w:val="both"/>
        <w:ind w:left="380" w:hanging="372"/>
        <w:spacing w:after="0" w:line="266"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those manufacturing products or conducting clinical trials on our behalf, may fail to comply with regulatory requirements or meet their contractual obligations to us in a timely manner, or at all;</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have to suspend or terminate clinical trials for various reasons, including a finding that the subjects are being exposed to unacceptable health risks;</w:t>
      </w:r>
    </w:p>
    <w:p>
      <w:pPr>
        <w:spacing w:after="0" w:line="161"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amend clinical trial protocols or conduct additional studies to reflect changes in regulatory requirements or guidance, which we may be required to submit to an IRB (or other reviewing bodies), regulatory authorities, or both, for re-examination;</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other reviewing bodies, or other parties may require or recommend that we or our investigators suspend or terminate clinical research for various reasons, including safety signals or noncompliance with regulatory requirements;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may be greater than we anticipate;</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may not adhere to the clinical protocol or may drop out of a clinical trial;</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recruit a sufficient number of clinical trial sites;</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or certification policies or regulations of FDA or applicable foreign regulatory agencies may change in a manner rendering our clinical data insufficient for certification or approval; and</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may have undesirable side effects or other unexpected characteristics.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these occurrences may significantly harm our business, financial condition and prospects. In addition, disruptions related to public health crises may increase the likelihood that we encounter such difficulties or delays in initiating, enrolling, conducting or completing our planned and ongoing clinical trials. Many of the factors that cause, or lead to, a delay in the commencement or completion of clinical trials may also ultimately lead to the denial of regulatory approval or certification of our product candidates.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approved for the indications we are investigating. For example, patients may be discouraged from enrolling in our clinical trials if the trial protocol requires them to undergo extensive post-treatment procedures or follow-up to assess the safety and efficacy of a product candidate, or they may be persuaded to participate in contemporaneous clinical trials of a competitor’s product candidate. In addition, patients participating in our clinical trials may drop out before completion of the trial or experience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Clinical trials must be conducted in accordance with the laws and regulations of the FDA and other applicable regulatory authorities’ legal requirements, regulations or guidelines, and are subject to oversight by these governmental agencies and IRBs, or other reviewing bodies, at the medical institutions where the clinical trials are conducted. In addition, clinical trials must be conducted with supplies of our devices produced under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jc w:val="both"/>
        <w:spacing w:after="0" w:line="266" w:lineRule="auto"/>
        <w:rPr>
          <w:sz w:val="20"/>
          <w:szCs w:val="20"/>
          <w:color w:val="auto"/>
        </w:rPr>
      </w:pPr>
      <w:r>
        <w:rPr>
          <w:rFonts w:ascii="Times New Roman" w:cs="Times New Roman" w:eastAsia="Times New Roman" w:hAnsi="Times New Roman"/>
          <w:sz w:val="18"/>
          <w:szCs w:val="18"/>
          <w:color w:val="auto"/>
        </w:rPr>
        <w:t>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our future products are cleared or approved in the United States, commercialization of our products in foreign countries would require clearance, certification or approval by regulatory authorities or notified bodies in those countries. Clearance, certification or approval procedures vary among jurisdictions and can involve requirements and administrative review periods different from, and greater than, those in the United States, including additional preclinical studies or clinical trials. Any of these occurrences could have an adverse effect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regulation of medical devices.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FDA regulations and guidance are often revised or reinterpreted by the FDA in ways that may significantly affect our business and our products. For example, on February 2, 2026, the FDA’s final rule implementing the FDA’s Quality Management System Regulation, or QMSR, became effective. The QMSR, which replaced the FDA’s former Quality System Regulation, or QSR, sets forth the FDA’s cGMP requirements for medical devices, and among other things, incorporates by reference certain elements of the quality management system requirements of ISO 13485:2016. Although the FDA has stated that the standards contained in ISO 13485:2016 are substantially similar to those set forth in the QSR, and although our quality management system is designed to comply with ISO:13485, the FDA has indicated that ISO:13485 certification alone will not ensure compliance under the QMSR, nor will ISO certification exempt manufacturers from FDA inspection. The QMSR also includes certain compliance obligations, such as those relating to unique device identification, product traceability, and maintenance of complaint and service records, that align more closely with the FDA’s existing medical device requirements than with ISO standards. Accordingly, it remains unclear the extent to which the QMSR may impose additional or different regulatory requirements on us that could increase the costs of compliance or otherwise negatively affect our business. Any new statutes, regulations or revisions or reinterpretations of existing regulations may impose additional costs or lengthen review times of any future products or make it more difficult to obtain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 The FDA’s and other regulatory authorities’ policies may change and additional government regulations may be enacted that could prevent, limit or delay regulatory clearance or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regulatory landscape related to medical devices in the EU recently evolved, and continues to undergo legislative changes. On May 26, 2021, the EU Medical Devices Regulation became applicable, and repealed and replaced the EU Medical Devices Directive and the Active Implantable Medical Devices Directive.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The EU Medical Devices Regulation, among other things, is intended to establish a uniform, transparent, predictable and sustainable regulatory framework across the EU for medical devices and ensure a high level of safety and health while supporting innovation. These requirements are in active implementation and may change as the European Commission adopts additional implementing acts and considers targeted revisions to related medical device rules. In addition, on December 16, 2025, the European Commission published a targeted revision proposal of the MDR to address structural issues, certification delays, and burdens on Small and medium-sized enterprises (“SMEs”). The proposal will enter the ordinary legislative procedure and is not expected to be adopted before 2027.</w:t>
      </w:r>
    </w:p>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modifications brought by this new Regulation may have an effect on the way we intend to develop our business in the EU and EEA. For example, as a result of the transition towards the new regime, notified body review times have lengthened, and product introductions or modifications could be delayed, which could adversely affect our ability to grow our business in a timely manner.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and notified bodies caused by funding shortages, staffing limitations,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ability of the FDA, foreign regulatory agencies and notified bodies to review and clear, certify or approve new products can be affected by a variety of factors, including government budget and funding levels, statutory, regulatory, and policy changes, the FDA’s, foreign regulatory agencies’ and notified bodies’ ability to hire and retain key personnel and accept the payment of user fees, and other events that may otherwise affect the FDA’s, foreign regulatory agencies’ and notified bodies’ ability to perform routine functions. Average review times at the FDA, foreign regulatory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foreign regulatory agencies and notified bodies may also slow the time necessary for new medical devices or modifications to cleared, certified or approved medical devices to be reviewed and cleared, certified or approved by necessary government agencies (or other notified bodies), which would adversely affect our business. For example, over the last several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their activities.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there were a prolonged government shutdown in response to a health pandemic or otherwise, or if global health concerns, funding shortages or staffing limitations prevent the FDA or other regulatory authorities or notified bodies from conducting their regular inspections, audits, reviews, or other regulatory activities, it could significantly impact the ability of the FDA, or other regulatory authorities or notified bodies, to timely review and process our regulatory submissions, which could have a material adverse effect on our business.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EU, notified bodies must be officially designated to certify products and services in accordance with the EU Medical Devices Regulation. Their designation process, which is significantly stricter under the new Regulation, has experienced considerable delays following the COVID-19 pandemic. Despite an increase in designations, the current number of notified bodies designated under the new Regulation remains significantly lower than the number of notified bodies designated under the previous regime. The current designated notified bodies are therefore facing a backlog of requests as a consequence of which review times have lengthened. This situation may impact the way we are conducting our business in the EU and the EEA and the ability of our notified body to timely review and process our regulatory submissions and perform its audits.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healthcare legislation may increase the difficulty and cost for us to commercialize our ALLY System or other products we may develop in the future and may affect the prices we may set.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the EU and other jurisdictions, there have been and continue to be a number of legislative initiatives and judicial challenges to contain healthcare costs. For example, in March 2010, the Patient Protection and Affordable Care Act, as amended by the Health Care and Education Reconciliation Act, or collectively the ACA, was passed, which substantially changed the way healthcare is financed by both governmental and private insurers, and significantly impacted the United States medical device industry.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as well as other efforts to challenge, repeal or replace the ACA that may impact our business or financial condition. On June 17, 2021, the U.S. Supreme Court dismissed the most recent judicial challenge to the ACA without specifically ruling on the constitutionality of the ACA.</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other legislative changes have been proposed and adopted since the ACA was enacted. For example, the Budget Control Act of 2011, among other things, included reductions to Medicare payments to providers. Additionally, the American Taxpayer Relief Act of 2012, among other things, reduced Medicare payments to several providers, including hospitals, and increased the statute of limitations period for the government to recover overpayments to providers from three to five years. More recently, the One Big Beautiful Bill Act (the “OBBBA”) was signed into law in July 2025, which also included significant reforms to Medicaid, including an estimated $1 trillion in reduced federal Medicaid spending from 2025 through 2034, the imposition of work requirements for certain adult enrollees, more frequent eligibility redeterminations, and increased cost-sharing for beneficiaries. These changes are expected to reduce overall Medicaid enrollment and access to care. Although the effect on our business is currently unknown, any decrease in the number of insured patients or reimbursement levels for our products could adversely affect our revenue and commercial prospects.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additional U.S. federal healthcare reform measures will be adopted in the future, any of which could limit the amounts that the U.S. federal government will pay for healthcare products and services, which could result in reduced demand for our products or additional pricing pressures and could seriously harm our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1" w:name="page62"/>
    <w:bookmarkEnd w:id="61"/>
    <w:p>
      <w:pPr>
        <w:jc w:val="both"/>
        <w:spacing w:after="0" w:line="254" w:lineRule="auto"/>
        <w:rPr>
          <w:sz w:val="20"/>
          <w:szCs w:val="20"/>
          <w:color w:val="auto"/>
        </w:rPr>
      </w:pPr>
      <w:r>
        <w:rPr>
          <w:rFonts w:ascii="Times New Roman" w:cs="Times New Roman" w:eastAsia="Times New Roman" w:hAnsi="Times New Roman"/>
          <w:sz w:val="18"/>
          <w:szCs w:val="18"/>
          <w:color w:val="auto"/>
        </w:rPr>
        <w:t>For EU member states, in December 2021, the EU Regulation No 2021/2282 on Health Technology Assessment, or HTA, amending Directive 2011/24/EU, was adopted. The Regulation entered into force in January 2022 and has been applicable since January 2025, with phased implementation based on the type of product, for example, certain high-risk medical devices as of 2026. The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we may not be able to achieve or sustain profitability or successfully market our ALLY System or any other products we may develop and obtain clearance for in the future.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certain federal, state and foreign laws pertaining to healthcare fraud and abuse, including anti-kickback, self-referral, false claims and fraud laws, and any violations by us of such laws could result in fines or other penalties.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none of the procedures using our products are currently covered by any state, federal or foreign government healthcare programs or other third-party payors, applicable agencies and regulators may interpret that our commercial, research and other financial relationships with healthcare providers, institutions and GPOs are nonetheless subject to various federal, state and foreign laws intended to prevent healthcare fraud and abuse, including the following:</w:t>
      </w:r>
    </w:p>
    <w:p>
      <w:pPr>
        <w:spacing w:after="0" w:line="180" w:lineRule="exact"/>
        <w:rPr>
          <w:sz w:val="20"/>
          <w:szCs w:val="20"/>
          <w:color w:val="auto"/>
        </w:rPr>
      </w:pPr>
    </w:p>
    <w:p>
      <w:pPr>
        <w:jc w:val="both"/>
        <w:ind w:left="380" w:hanging="372"/>
        <w:spacing w:after="0" w:line="258"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Remuneration has been broadly defined to include anything of value, including cash, improper discounts and free or reduced price items and services. In addition, a person or entity does not need to have actual knowledge of the statute or specific intent to violate it in order to have committed a violation;</w:t>
      </w:r>
    </w:p>
    <w:p>
      <w:pPr>
        <w:spacing w:after="0" w:line="183"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that provide coding and billing advice to customers. The federal False Claims Act has been used to prosecute persons submitting claims for payment that are inaccurate or fraudulent, that are for services not provided as claimed or for services that are not medically necessary. In addition, the government may assert that a claim including items and services resulting from a violation of the federal Anti-Kickback Statute constitutes a false or fraudulent claim for purposes of the False Claims Act. The federal False Claims Act also includes a whistleblower provision that allows individuals to bring actions on behalf of the federal government and share a portion of the recovery of successful claims;</w:t>
      </w:r>
    </w:p>
    <w:p>
      <w:pPr>
        <w:spacing w:after="0" w:line="188"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75" w:lineRule="exact"/>
        <w:rPr>
          <w:rFonts w:ascii="Times New Roman" w:cs="Times New Roman" w:eastAsia="Times New Roman" w:hAnsi="Times New Roman"/>
          <w:sz w:val="18"/>
          <w:szCs w:val="18"/>
          <w:color w:val="auto"/>
        </w:rPr>
      </w:pPr>
    </w:p>
    <w:p>
      <w:pPr>
        <w:jc w:val="both"/>
        <w:ind w:left="380" w:right="20" w:hanging="372"/>
        <w:spacing w:after="0" w:line="266"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also created federal criminal laws that prohibit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and its implementing regulations, which require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providers such as physician assistants and nurse practitioners, and teaching hospitals, as well as ownership and investment interests held by the physicians described above and their immediate family members;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jc w:val="both"/>
        <w:ind w:left="380" w:hanging="372"/>
        <w:spacing w:after="0" w:line="258"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including state anti-kickback and false claims laws, which apply to items and services reimbursed by any third-party payor, including private insurers and self-pay patients; state laws that require device manufacturers to comply with the industry’s voluntary compliance guidelines and the relevant compliance guidance promulgated by the U.S. federal government, or otherwise restrict payments that may be made to healthcare providers and other potential referral sources; and state laws and regulations that require manufacturers to track gifts and other remuneration and items of value provided to healthcare professionals and entities; and</w:t>
      </w:r>
    </w:p>
    <w:p>
      <w:pPr>
        <w:spacing w:after="0" w:line="18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 and other foreign law equivalents of each of the laws, including reporting requirements detailing interactions with and payments to healthcare providers.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disgorgement, individual imprisonment, contractual damages, reputational harm, diminished profits and the curtailment or restructuring of our operations.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and similar laws and any violations by us of such laws could result in fines or other penalties.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majority of our revenue is derived from operations outside of the United States and is subject to requirements under the U.S. Treasury Department’s Office of Foreign Assets Control, anti-corruption, anti-bribery and similar laws, such as the Foreign Corrupt Practices Act, or FCPA, the U.K. Bribery Act 2010, and other anti-corruption, anti-bribery and anti-money laundering laws in countries in which we conduct activities. The FCPA prohibits, among other things, improper payments or offers of payments to foreign governments and their officials for the purpose of obtaining or retaining business. Recently, the U.S. Department of Justice has increased its enforcement activities with respect to the FCPA.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safeguards to discourage improper payments or offers of payments by our employees, consultants, sales agents or distributors may be ineffective. Any violations of the FCPA and similar laws may result in severe criminal or civil sanctions, or other liabilities or proceedings against us, and would likely harm our reputation, business, financial condition and result of operations.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consultants, vendors, distributors and contract research organizations may engage in misconduct or other improper activities, including noncompliance with regulatory standards and requirements.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consultants, vendors, distributors and contractor research organizations, or CROs, may engage in fraudulent or other illegal activity. While we have policies and procedures in place prohibiting such activity, misconduct by these parties could include among other infractions or violations intentional, reckless or negligent conduct or unauthorized activity that violates: (i) FDA (and foreign regulatory authorities’) regulations, including those laws that require the reporting of true, complete and accurate information to the FDA (or foreign regulatory authorities); (ii) manufacturing standards; (iii) federal, state and foreign healthcare fraud and abuse laws and regulations;</w:t>
      </w:r>
    </w:p>
    <w:p>
      <w:pPr>
        <w:spacing w:after="0" w:line="3" w:lineRule="exact"/>
        <w:rPr>
          <w:sz w:val="20"/>
          <w:szCs w:val="20"/>
          <w:color w:val="auto"/>
        </w:rPr>
      </w:pPr>
    </w:p>
    <w:p>
      <w:pPr>
        <w:jc w:val="both"/>
        <w:ind w:firstLine="8"/>
        <w:spacing w:after="0" w:line="251" w:lineRule="auto"/>
        <w:tabs>
          <w:tab w:leader="none" w:pos="30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true, complete and accurate reporting of financial information or data; or (v) other commercial or regulatory laws or requirements.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monetary fines, contractual damages, reputational harm, diminished profits and future earnings, and curtailment of our operations, any of which could adversely affect our ability to operate our business and our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on our ability to obtain, maintain, and protect our intellectual property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our success in obtaining and maintaining issued patents, trademarks and other intellectual property rights in the United States and elsewhere and protecting our proprietary technology. If we do not adequately protect our intellectual property and proprietary technology, competitors may be able to use our technologies we have acquired in the marketplace and erode or negate any competitive advantage we may have, which could harm our business and ability to achieve profitability.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a combination of contractual provisions, confidentiality procedures and patent, copyright, trademark, trade secret and other intellectual property laws to protect the proprietary aspects of our products, brands, technologies and data. These legal measures afford only limited protection, and competitors or others may gain access to or use our intellectual property and proprietary information. Our success will depend, in part, on preserving our trade secrets, maintaining the security of our data and know-how and obtaining and maintaining other intellectual property rights. We may not be able to obtain or maintain intellectual property or other proprietary rights necessary to our business or in a form that provides us with a competitive advantage.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efforts to enter into confidentiality agreements with our employees, consultants, clients and other vendors who have access to our confidential information, our trade secrets, data and know-how may not prevent unauthorized use, misappropriation, or disclosure to unauthorized parties, and such information could otherwise become known or be independently discovered by third parties. Our intellectual property, including trademarks, could be challenged, invalidated, infringed, or circumvented by third parties, and our trademarks could also be diluted, declared generic or found to be infringing on other marks. If any of the foregoing occurs,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obtain and maintain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may not provide sufficient protection in the future to prevent the infringement, use, violation or misappropriation of our trademarks, data, technology, and other intellectual property and services, and may not provide an adequate remedy if our intellectual property rights are infringed, misappropriated or otherwise violated.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in part, on our ability to obtain, maintain, expand, enforce, and defend the scope of our intellectual property portfolio or other proprietary rights, including the amount and timing of any payments we may be required to make in connection with the filing, licensing, defending, and enforcement of any patents or other intellectual property rights. The process of applying for and obtaining a patent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proprietary rights at all in such jurisdictions. We may not be successful in protecting our proprietary rights, and unauthorized parties may be able to obtain and use information that we regard as proprietary.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own numerous issued patents and pending patent applications. As of March 31, 2026, we owned approximately 76 U.S. patents, 26 pending U.S. patent applications, 220 issued foreign patents, and 83 pending foreign and Patent Cooperation Treaty applications. The patent positions of medical device companies, including our patent position, may involve complex legal and factual questions, and therefore, the scope, validity, and enforceability of any patent claims that we may obtain cannot be predicted with certainty.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Though an issued patent is presumed valid and enforceable, its issuance is not conclusive as to its validity or its enforceability and it may not provide us with adequate proprietary protection or competitive advantages against competitors with similar products. Patents (or some of the claims therein), if issued, may be challenged, deemed unenforceable, invalidated, or circumvented. Proceedings challenging our patents could result in either loss of the patent, or denial of the patent application or loss or reduction in the scope of one or more of the claims of the patent or patent application. In addition, such proceedings may be costly. Thus, any patents that we may own may not provide any protection against competitors. Furthermore, an adverse decision may result in a third party receiving a patent right sought by us, which in turn could affect our ability to commercialize our products.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Competitors could purchase our products and attempt to replicate or reverse engineer some or all of the competitive advantages we derive from our development efforts, willfully infringe our intellectual property rights, design around our patents, or develop and obtain patent protection for more effective technologies, designs, or methods. We may be unable to prevent the unauthorized disclosure or use of our technical knowledge or trade secrets by consultants, suppliers, vendors, former employees, and current employees. Further, the laws of some foreign countries do not protect our proprietary rights to the same extent as the laws of the United States, including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protection of surgical and medical methods, and we may encounter significant problems in protecting our proprietary rights in these countries.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(or some of the claims therein)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products are invalidated or found unenforceable, or if a court found that valid, enforceable patents held by third parties covered one or more of our products, our competitive position could be harmed or we could be required to incur significant expenses to enforce or defend our 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225"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sufficient to protect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our products on a substantial scale, if approved, before our relevant patents expire;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will ultimately be found to be valid and enforceable;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products that are separately patentable;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upon the patents of others.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we are able to obtain patent protection, such patent protection may be of insufficient scope to achieve our business objectives. Issued patents may be challenged, narrowed, invalidated, or circumvented. Decisions by courts and governmental patent agencies may introduce uncertainty in the enforceability or scope of patents owned by or licensed to us. Furthermore, the issuance of a patent does not give us the right to practice the patented invention. Third parties may have blocking patents that could prevent us from marketing our own products and practicing our own technology. Alternatively, third parties may seek approval or certification to market their own products similar to or otherwise competitive with our products. In these circumstances, we may need to defend or assert our patents, including by filing lawsuits alleging patent infringement. In any of these types of proceedings, a court or agency with jurisdiction may find our patents invalid, unenforceable, or not infringed; competitors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 Patent and Trademark Office, or USPTO, and various foreign governmental patent agencies require compliance with a number of procedural, documentary, fee-payment,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Even if a lapse is cured, thus reviving the patent or application, there is a risk that the revival can be challenged by third parties in administrative proceedings and litigation, and that the revival can be overruled. Non-compliance events that could result in abandonment or lapse of a patent or patent application include failure to respond to official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jc w:val="both"/>
        <w:spacing w:after="0" w:line="266" w:lineRule="auto"/>
        <w:rPr>
          <w:sz w:val="20"/>
          <w:szCs w:val="20"/>
          <w:color w:val="auto"/>
        </w:rPr>
      </w:pPr>
      <w:r>
        <w:rPr>
          <w:rFonts w:ascii="Times New Roman" w:cs="Times New Roman" w:eastAsia="Times New Roman" w:hAnsi="Times New Roman"/>
          <w:sz w:val="18"/>
          <w:szCs w:val="18"/>
          <w:color w:val="auto"/>
        </w:rPr>
        <w:t>actions within prescribed time limits, non-payment of fees, and failure to properly legalize and submit formal documents. If we fail to maintain the patents and patent applications covering our products, we may not be able to stop a competitor from marketing products that are the same as or similar to our products, which would have a material adverse effect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existing and future products.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Future changes to existing patent law could lead to uncertainties and increased costs surrounding the prosecution, enforcement, and defense of our patents and applications. Furthermore, U.S. and foreign courts have made, and will likely continue to make, changes in how the patent laws in their respective jurisdictions are interpreted. In several recent patent cases, the U.S. Supreme Court has narrowed the scope of patent protection available or weakened the rights of patent owners in certain situations. We cannot predict future changes in the interpretation of patent laws and regulations or changes to patent laws and regulations that might be enacted into law by U.S. and foreign legislative bodies and patent offices. Those changes may materially affect our ability to obtain additional patent protection in the future, the value of our patents, and our ability to enforce our patents.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license and maintain rights to use third-party technology on reasonable terms, we may not be able to successfully commercialize our products. Our licensed or acquired technology may lose value or utility over time.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past, we have licensed the right to use technology from third parties and may choose or need to do so in the future, including to develop or commercialize new products or services. We may also need to negotiate licenses to practice certain intellectual property rights such as patents or patent applications before or after introducing a commercial product, and we may not be able to obtain necessary licenses to such intellectual property rights. If we are unable to enter into the necessary licenses on acceptable terms or at all, if any necessary licenses are subsequently terminated, if the licensors fail to abide by the terms of the licenses or fail to prevent infringement by third parties, or if the licensed patents or other rights are found to be invalid or unenforceable, our business may suffer. In addition, any technology licensed or acquired by us may lose value or utility, including as a result of a change in the industry, in our business objectives, others’ technology, a dispute with the licensor, or circumstances outside our control. In return for the use of a third party’s technology or intellectual property rights, we may agree to pay the licensor royalties based on sales of our products or services. If we are unable to negotiate reasonable royalties or if we have to pay royalties on technology that becomes less useful for us or ceases to provide value to us, our profit margin will be reduced and we may suffer losses.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a party to intellectual property litigation or administrative proceedings that could be costly and could interfere with our ability to sell and market our products.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or export our products or to use our technologies or product names.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These matters can be time consuming and costly to defend in litigation,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 party’s patent or trademark or of misappropriating a third party’s trade secret or such indemnification may be insufficient to fully cover the expenses incurred.</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patent applications are confidential for a period of time after filing, we cannot be certain that we were the first to file any patent application related to our products. Because of the confidential nature of patent applications, we do not know at any given time what patent applications are pending that may later issue as a patent and be asserted by a third party against us. Competitors may also contest our patents, if issued, by showing the patent examiner that the invention was not original, was not novel, or was invalid or unenforceable for other reasons. In litigation or administrative proceedings, a competitor could claim that our patents, if issued, are not valid for a number of reasons. If such competitor prevails, we could lose our rights to those challenged patents or have the scope of those rights narrowed.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patent applications or other intellectual property, as a result of the work they performed on our behalf. Although we have a general requirement that our employees, consultants, and any other partners or collaborators who have access to our proprietary know-how, information or technology assign to us, or grant us similar rights to, their inventions, this may not fully protect us from intellectual property claims. Additionally, we cannot be certain that we have executed such agreements with all parties who may have contributed to our intellectual property, that our agreements with such parties will be upheld in the face of a potential challenge, that such agreements will adequately protect us, or that such agreements will not be breached, nor can we be certain that we will have an adequate remedy for any of the foregoing.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lawsuits relating to intellectual property rights could subject us to significant liability for damages and invalidate our proprietary rights. Any potential intellectual property litigation also could force us to do one or more of the following:</w:t>
      </w:r>
    </w:p>
    <w:p>
      <w:pPr>
        <w:spacing w:after="0" w:line="162"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making, selling, or using products or technologies that allegedly infringe the asserted intellectual property;</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intellectual property to others or to collect royalty payments based upon successful protection and assertion of our intellectual property rights against others;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or royalties to the party whose intellectual property rights we may be found to be infringing;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attorney’s fees and costs of litigation to the party whose intellectual property rights we may be found to be infringing;</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or technologies that contain the allegedly infringing intellectual property, which could be costly and disruptive, and may be infeasible;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 or from third parties who may attempt to license rights that they do not have.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litigation or claim against us, even those without merit or those where we prevail, may cause us to incur substantial costs, and could place a significant strain on our financial resources, divert the attention of management from our core business, and harm our reputation. If we are found to have infringed the intellectual property rights of third parties, we could be required to pay substantial damages, including third-party lost profits, the disgorgement of our profits, or substantial royalties (all of which may be increased, including three times the awarded damages, if we are found to have willfully infringed third-party patents or trademarks or to have misappropriated trade secrets)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Although patent, trademark, trade secret, and other intellectual property disputes in the medical device area are often settled through licensing or similar arrangements, costs associated with such arrangements may be substantial and could include ongoing royalties. If we do not obtain necessary licenses, we may not be able to redesign our products to avoid infringement. We could encounter delays in product introductions while we attempt to develop alternative methods or products, and these alternative methods or products may be less competitive, which could adversely affect our competitive business position. If we fail to obtain any required licenses or fail to make any necessary changes to our products or technologies, we may have to withdraw existing products from the market or may be unable to commercialize one or more of our products.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generally indemnify our customers with respect to our products’ infringement of the proprietary rights of third parties. If third parties assert infringement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partes review, post-grant review, derivation proceedings,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competitors may infringe our issued patents or other intellectual property. To counter infringement or unauthorized use, we may be required to file infringement claims or initiate other proceedings to protect or enforce our patents or other intellectual property rights, which could be expensive, time-consuming, and unsuccessful. Any claims we assert against perceived infringers could provoke these parties to assert counterclaims against us alleging that we infringed their intellectual property. In addition, in a patent or other intellectual property infringement proceeding, a court may decide that a patent or other intellectual property of ours is invalid or unenforceable, in whole or in part, construe the patent’s claims or other intellectual property narrowly, or refuse to stop the other party from using the technology at issue on the grounds that our patents or other intellectual property do not cover the technology in question. Furthermore, even if our patents or other intellectual property are found to be valid and infringed, a court may refuse to grant injunctive relief against the infringer and instead grant us monetary damages or ongoing royalties. Such monetary compensation may be insufficient to adequately offset the damage to our business caused by the infringer’s competition in the market. An adverse result in any litigation proceeding could put one or more of our patents or other intellectual property at risk of being invalidated or interpreted narrowly, which could adversely affect our competitive business position,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other proprietary information, our business and competitive position may be harmed.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also rely on protection of trade secrets, know-how, and other proprietary information that is not patentable or that we elect not to patent. However, trade secrets can be difficult to protect and some courts are less willing to protect trade secrets to the extent we deem necessary to adequately enforce our rights. To maintain the confidentiality of our trade secrets and proprietary information, we rely heavily on confidentiality provisions contained in the contracts executed by our employees, consultants, collaborators, and others upon the commencement of their relationship with us. We cannot guarantee that we have entered into such agreements with each party that may have or have had access to our trade secrets or proprietary technology and processes. Also, despite the existence of these confidentiality restrictions or our efforts to monitor how our trade secrets are used or disclosed, we may not be able to prevent the unauthorized disclosure or use of our technical knowledge or other trade secrets by such third parties. These contracts may not provide meaningful protection for our trade secrets, know-how, or other proprietary information in the event the unauthorized use, misappropriation, or disclosure of such trade secrets, know-how, or other proprietary information is outside the scope of the provisions of the contracts. There can be no assurance that such third parties will not breach their agreements with us, that we will become aware of such breaches, that we will have adequate remedies for any breach, or that our trade secrets will not otherwise become known or independently developed by competitors.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 To the extent our intellectual property or other proprietary information protection is insufficient, we would be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it is possible that others will independently develop the same or similar technology or products or otherwise work around our 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or products similar to ours or competing technologies or products, our competitive market position could be materially and adversely affected.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 individuals, organizations and systems which comprise our security measures, agreements and security protections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company may attempt to commercialize competing products utilizing our proprietary design, trademarks or trade names in foreign countries where we do not have any patents or patent applications and where legal recourse may be limited. This may have a significant commercial impact on our foreign business operations.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Filing, prosecuting, and defending patents or trademarks on our current and future products in all countries throughout the world would be prohibitively expensive. The requirements for patentability and trademark protection may differ in certain countries, particularly in developing countries. The laws of some foreign countries do not protect intellectual property rights including the protection of surgical and medical methods, to the same extent as laws in the United States. Consequently, we may not be able to prevent third parties from utilizing our inventions and trademarks in all countries outside the United States. Competitors may use our technologies or trademarks in jurisdictions where we have not obtained patent or trademark protection to develop or market their own products and further, may export otherwise infringing products to territories where we do have patent and trademark protection, but enforcement against infringing activities is inadequate. These products or trademarks may compete with our products or trademarks, and our patents, trademarks or other intellectual property rights may not be effective or sufficient to prevent them from competing. Proceedings to enforce our patent and trademarks rights in foreign jurisdictions could result in substantial costs and divert our efforts and attention from other aspects of our business, could put our patents, patent applications, trademarks, and trademark applications in those jurisdictions, as well as elsewhere, at risk of being invalidated or interpreted narrowly and our patent or trademark applications at risk, and could provoke third parties to assert claims against us. We may not prevail in any lawsuits that we initiate and the damages or other remedies awarded, if any, may not be commercially meaningful.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employees and consultants were previously employed at or engaged by other medical device or other biotechnology companies, including our competitors or potential competitors. Some of these employees, consultants, and contractors may have executed proprietary rights, non-disclosure, and non-competition agreements in connection with such previous employment. Our efforts to ensure that our employees and consultants do not use the intellectual property, proprietary information, know-how, or trade secrets of others in their work for us may not be successful, and we may be subject to claims that we or these individuals have, inadvertently or otherwise, misappropriated the intellectual property or disclosed the alleged trade secrets or other proprietary information of these former employers or competitors.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of third parties to meet their contractual, regulatory, and other obligations could adversely affect our business.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rely on suppliers, vendors, outsourcing partners, consultants, alliance partners and other third parties to research, develop, manufacture and commercialize our products and manage certain parts of our business. Using these third parties poses a number of risks, such as:</w:t>
      </w:r>
    </w:p>
    <w:p>
      <w:pPr>
        <w:spacing w:after="0" w:line="162"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not perform to our standards or legal requirements;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9" w:name="page70"/>
    <w:bookmarkEnd w:id="69"/>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not produce reliable results or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not perform in a timely manner;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not maintain the confidentiality of our proprietary information;</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ownership of rights to technology developed with our partners, and those disputes may be resolved against us;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could cause delays in, or termination of, the research, development or commercialization of our products or result in litigation or arbitration.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materially affect our business.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and our business may be adversely affected.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trademarks, service marks, trade names and brand names to distinguish our products from the products of our competitors, and have registered or applied to register many of these trademarks. It is possible that some of our trademark applications may be rejected. Although we are given an opportunity to respond, we may be unable to overcome such rejections. In addition, in proceedings before the USPTO and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At times, competitors may adopt trade names or trademarks similar to ours, thereby impeding our ability to build brand identity and possibly leading to market confusion. Additionally,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financial condition, and results of operations may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Artificial Intelligence Technologies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technologies in our business, and the deployment, use, and maintenance of these technologies involve significant technological and legal risks.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develop and use artificial intelligence, or AI, machine learning, and automated decision-making technologies, including proprietary AI and machine learning algorithms and models, (collectively “AI Technologies”), throughout our business, and are making significant investments in this area.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example, we use AI Technologies in our ALLY System to register and analyze patients’ eyes and determine eye surface and cataract density, which helps optimize laser patterns and energy settings in cataract procedures, with the goal of minimizing the overall energy delivered in the eye for quicker visual recovery and better patient outcomes.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increased investment will be required in the future to continuously improve our use of AI Technologies. As with many technological innovations, there are significant risks involved in developing, maintaining, and deploying these technologies,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There can be no assurance that the usage of or our investments in such technologies will always enhance our products or services or be beneficial to our business, including our efficiency or profitability.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if the models underlying our AI Technologies are, for example: incorrectly designed or implemented; trained or reliant on incomplete, inadequate, inaccurate, biased, or otherwise poor quality data, or on data to which we do not have sufficient rights or in relation to which we and/or providers of such data have not implemented sufficient legal compliance measures; used without sufficient oversight and governance to ensure their responsible use; and/or adversely impacted by unforeseen defects, technical challenges, cybersecurity threats, data privacy concerns, or material performance issues, the performance of our products, services, and business, as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jc w:val="both"/>
        <w:spacing w:after="0" w:line="282" w:lineRule="auto"/>
        <w:rPr>
          <w:sz w:val="20"/>
          <w:szCs w:val="20"/>
          <w:color w:val="auto"/>
        </w:rPr>
      </w:pPr>
      <w:r>
        <w:rPr>
          <w:rFonts w:ascii="Times New Roman" w:cs="Times New Roman" w:eastAsia="Times New Roman" w:hAnsi="Times New Roman"/>
          <w:sz w:val="18"/>
          <w:szCs w:val="18"/>
          <w:color w:val="auto"/>
        </w:rPr>
        <w:t>well as our reputation and the reputations of our customers, could suffer, or we could incur liability resulting from the violation of laws or contracts to which we are a party or civil claims.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 varying stages of development in relation to our products and internal business processes involving AI Technologies. The continuous development, maintenance and operation of our AI Technologies is expensive and complex and may involve unforeseen difficulties including, without limitation, material performance problems, undetected defects, or errors. For instance, the models underlying AI Technologies can experience decay (also known as “model drift”) in which their performance and accuracy decrease over time without further human intervention to correct such decay. We may be unsuccessful in our ongoing development and maintenance of these technologies in the face of novel and evolving technical, reputational and market factors. Further, our ability to continue to develop or use such technologies may be dependent on access to specific third-party software, services, and infrastructure, such as processing hardware, and we cannot control the availability or pricing of such third-party software and infrastructure, especially in a highly competitive environment.</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not be able to obtain sufficient intellectual property protection for our AI Technologies to prevent competitors from implementing the same or similar technology in their businesses, and other individuals may apply for or obtain intellectual property protection which could limit our ability to use technology that we are currently developing.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If we fail to obtain protection for the intellectual property rights concerning our AI Technologies or products that incorporate AI Technologies, or later have our intellectual property rights invalidated or otherwise diminished, our competitors may be able to take advantage of our research and development efforts to develop competing products which could adversely affect our business, reputation, and financial condition.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long history of development of AI Technologies, other parties may have (or in the future may obtain) patents or other proprietary rights that would prevent, limit, or interfere with our ability to make or use our proprietary AI Technologies.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framework governing the use of AI Technologies is rapidly evolving, and we cannot predict how future legislation and regulation will impact our ability to offer products or services that we develop which leverage AI Technologies.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regulatory framework for AI Technologies is rapidly evolving. Already, certain existing legal regimes (e.g., relating to data privacy) regulate certain aspects of AI Technologies, and many federal, state, and foreign government bodies and agencies have enacted or are currently considering additional laws and regulations governing AI Technologies. Additionally, existing laws and regulations may be enjoined in judicial proceedings from being enforced, or may be interpreted or enforced in ways that would affect the operation of our AI Technologies, or could be rescinded or amended as new administrations take differing approaches to evolving AI Technologies. As a result, implementation standards and enforcement practices are likely to remain uncertain for the foreseeable future, and we cannot predict the impact future laws, regulations, or standards, or the market perception of their requirements may have on our business or how we will respond to these laws or regulations. Failure to appropriately respond to this evolving landscape may result in reputational, competitive and business harm as well as litigation and regulatory action and fines, penalties and expenses related thereto.</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the regulatory framework for AI Technologies faces significant uncertainty. At the federal level, Congress has yet to enact meaningful AI legislation. Instead, federal policy on AI has been shaped by a series of executive orders that have shifted priorities and requirements substantially depending on the administration in power. In the absence of federal AI legislation, states have filled the void by enacting laws regulating different aspects of AI Technologies. For example, California has enacted laws and regulations related to AI safety protocols, reporting and transparency, among other AI-related topics. In addition, Colorado’s Artificial Intelligence Act will require developers and deployers of “high-risk” AI systems to implement certain safeguards against algorithmic discrimination (among other requirements), Utah’s Artificial Intelligence Policy Act establishes disclosure requirements and accountability measures for the use of generative AI in certain consumer interaction, and the Texas Responsible Artificial Intelligence Governance Act prohibits the development and deployment of AI systems for certain purposes while establishing a regulatory sandbox. Moreover, state AI laws such as Colorado’s Artificial Intelligence Act and various comprehensive state privacy laws, including the California Consumer Privacy Act (“CCPA”), regulate the use of automated decision-making technology that results in legal or similarly significant effects on individuals, and provide rights to individuals with respect to that automated decision making. Many states have also enacted sector-specific AI laws, including related to the use of AI for health-related purposes.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Numerous other states have enacted, passed, or are considering AI-focused legislation, creating a patchwork of regulations and a complex compliance challenge. However, the durability of these laws and the potential of additional state-level legislative activity faces uncertainty following President Trump’s December 2025 Executive Order “Ensuring a National Policy Framework for Artificial Intelligence.” This Executive Order establishes a federal policy favoring a uniform national AI regulatory framework designed to promote innovation and U.S. global competitiveness. The order directs federal agencies to identify, challenge, and potentially pre-empt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jc w:val="both"/>
        <w:spacing w:after="0" w:line="256" w:lineRule="auto"/>
        <w:rPr>
          <w:sz w:val="20"/>
          <w:szCs w:val="20"/>
          <w:color w:val="auto"/>
        </w:rPr>
      </w:pPr>
      <w:r>
        <w:rPr>
          <w:rFonts w:ascii="Times New Roman" w:cs="Times New Roman" w:eastAsia="Times New Roman" w:hAnsi="Times New Roman"/>
          <w:sz w:val="18"/>
          <w:szCs w:val="18"/>
          <w:color w:val="auto"/>
        </w:rPr>
        <w:t>state and local AI laws that are viewed as inconsistent with or burdensome to this national approach. It remains to be seen how agencies will effectuate this directive, and how states will approach AI legislation moving forward. Any or all of the foregoing regulatory developments could affect our use of AI and our ability to provide, improve or commercialize our services, require changes to our operations and processes, and materially adversely affect our business, results of operations, and financial condition. Further, any failure or perceived failure by us to comply with existing or newly enacted laws, regulations and other requirements relating to AI Technologies could result in legal claims or proceedings (including class actions), regulatory investigations or enforcement actions.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Europe, on August 1, 2024, the EU Artificial Intelligence Act, or the EU AI Act, entered into force, and establishes a comprehensive, risk-based governance framework for AI in the EU market. The majority of the substantive requirements are expected to apply from August 2, 2026. Although the European Commission has proposed an extension to December 2, 2027, such extension is not yet finalized or effective. The EU AI Act applies to companies that develop, use and/or provide AI in the EU and depending on the AI use case includes requirements around transparency, conformity assessments and monitoring, risk assessments, human oversight, security, accuracy, general purpose AI and foundation models, and fines for breach of up to 7% of worldwide annual turnover. In addition, the revised EU Product Liability Directive came into force in December 2024, to be implemented into EU member state national law by December 2026. This Directive extends the EU’s existing strict product liability regime to AI Technologies and AI-enabled products, and facilitates civil claims in respect of harm caused by AI. Once fully applicable, the EU AI Act and the EU Product Liability Directive will have a material impact on the way AI is regulated in the EU. Further, in Europe we are subject to the GDPR, which regulates our use of personal data for automated decision making that results in a legal or similarly significant effect on an individual, and provides rights to individuals in respect of that automated decision making. Recent case law from the Court of Justice of the European Union, or the CJEU, has taken an expansive view of the scope of the GDPR’s requirements around automated decision making and introduced uncertainty in the interpretation of these rules. Specifically, the CJEU has expanded the scope for automated decision making under the GDPR by finding that automated decision-making activities can fall within the GDPR’s restrictions on those activities even if the required legal or similarly significant effect for the individual is carried out by a third party. The EU AI Act, and developing interpretation and application of the GDPR in respect of automated decision making, together with developing guidance and/or decisions in this area, may affect our use of AI Technologies and our ability to provide, improve or commercialize our services, require additional compliance measures and changes to our operations and processes, and result in increased compliance costs and potential increases in civil claims against us, and could adversely affect our business, operations and financial condition.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possible that further new laws and regulations will be adopted in the United States and in other non-U.S. jurisdictions, or that existing laws and regulations, including competition, antitrust, data privacy and consumer protection laws, may be interpreted or enforced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or to adjust our business plans based on changes to how such laws are enforced, including adapting to loosened regulation to remain competitive, could be significant and would increase our operating expenses (such as by imposing additional reporting obligations regarding our use of AI Technologies). Such an increase in operating expenses could adversely affect our business, financial condition and results of operations. In addition, if we fail or are perceived to fail to comply with these laws and regulations, we may face lawsuits (including class actions), investigations, enforcement actions, negative reputational impacts, and other penalties that materially impact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large number of shares eligible for public sale could depress the market price of our common stock.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Members of our management and our board of directors hold or beneficially own a significant portion of our common stock and may sell their shares of our common stock to the extent not restricted by contract or under securities laws. We have filed registration statements registering shares that we may issue under our equity compensation plan and employee stock purchase plan. In addition, we have filed a resale registration statement registering shares of our common stock issuable upon conversion of our Series A Redeemable Convertible Preferred Stock and exercise of outstanding Warrants. The total number of shares of common stock offered under the resale registration statement represented approximately 50.4% of our total outstanding shares of common stock based on our shares outstanding as of March 31, 2026, assuming full conversion of the Series A Redeemable Convertible Preferred Stock and full exercise of the Warrants for cash. We may file additional registration statements relating to shares or awards held by our management and board of directors in the future. The market price of our common stock could decline as a result of sales of a large number of shares of our common stock in the market, and such declines may be significant. The perception that these sales could occur may also depress the market price of our common stock. A decline in the price of shares of our common stock might impede our ability to raise capital through the issuance of additional shares of our common stock or other equity securities.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jc w:val="both"/>
        <w:spacing w:after="0" w:line="266" w:lineRule="auto"/>
        <w:rPr>
          <w:sz w:val="20"/>
          <w:szCs w:val="20"/>
          <w:color w:val="auto"/>
        </w:rPr>
      </w:pPr>
      <w:r>
        <w:rPr>
          <w:rFonts w:ascii="Times New Roman" w:cs="Times New Roman" w:eastAsia="Times New Roman" w:hAnsi="Times New Roman"/>
          <w:sz w:val="18"/>
          <w:szCs w:val="18"/>
          <w:color w:val="auto"/>
        </w:rPr>
        <w:t>We also may issue our shares of common stock from time to time as consideration for future acquisitions and investments. If any such acquisition or investment is significant, the number of shares that we may issue may in turn be significant. In addition, we may also grant registration rights covering those shares in connection with any such acquisitions and investments</w:t>
      </w:r>
      <w:r>
        <w:rPr>
          <w:rFonts w:ascii="Times New Roman" w:cs="Times New Roman" w:eastAsia="Times New Roman" w:hAnsi="Times New Roman"/>
          <w:sz w:val="18"/>
          <w:szCs w:val="18"/>
          <w:b w:val="1"/>
          <w:bCs w:val="1"/>
          <w:color w:val="auto"/>
        </w:rPr>
        <w: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we cannot be certain if the reduced disclosure requirements applicable to us will make our common stock less attractive to investors.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some investors find our common stock less attractive as a result, there may be a less active trading market for our common stock and our stock price may decline or become more volatile.</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issued shares of redeemable convertible preferred stock, and may in the future issue additional shares of preferred stock, with terms that could dilute the voting power or reduce the value of our common stock.</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without the approval of our stockholders, one or more series of preferred stock having such designation, powers, privileges, preferences, including preferences over our common stock respecting dividends and distributions, terms of redemption and relative participation, optional, or other rights, if any, of the shares of each such series of preferred stock and any qualifications, limitations or restrictions thereof, as our board of directors may determine. The terms of one or more series of preferred stock could dilute the voting power or reduce the value of our common stock. For example, the repurchase or redemption rights or liquidation preferences we could assign to holders of preferred stock could affect the residual value of the common stock.</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SPA, we issued an aggregate of 20,000 shares of a newly established series of preferred stock designated as “Series A Convertible Preferred Stock, par value $0.01 per share,” which have a stated value of $1,000 per share and are convertible into shares of common stock. Holders of shares of Series A Redeemable Convertible Preferred Stock are entitled to vote on an as-converted basis with holders of shares of common stock. In addition, so long as NR-GRI and its affiliates collectively beneficially own at least twenty percent of the securities issued pursuant to the SPA, including the Series A Redeemable Convertible Preferred Stock, we may not, without the consent of NR-GRI, liquidate, dissolve, or wind up our affairs or effect a merger or sale of the Company or other Fundamental Transaction (as defined in Note 11, </w:t>
      </w:r>
      <w:r>
        <w:rPr>
          <w:rFonts w:ascii="Times New Roman" w:cs="Times New Roman" w:eastAsia="Times New Roman" w:hAnsi="Times New Roman"/>
          <w:sz w:val="18"/>
          <w:szCs w:val="18"/>
          <w:i w:val="1"/>
          <w:iCs w:val="1"/>
          <w:color w:val="auto"/>
        </w:rPr>
        <w:t>Redeemable Convertible Preferred Stock</w:t>
      </w:r>
      <w:r>
        <w:rPr>
          <w:rFonts w:ascii="Times New Roman" w:cs="Times New Roman" w:eastAsia="Times New Roman" w:hAnsi="Times New Roman"/>
          <w:sz w:val="18"/>
          <w:szCs w:val="18"/>
          <w:color w:val="auto"/>
        </w:rPr>
        <w:t>, included elsewhere in this Quarterly Report); create, authorize, or issue shares of capital stock that are senior or pari passu to the Series A Redeemable Convertible Preferred Stock; complete an acquisition with consideration above $1.0 million; incur debt in excess of $1.0 million; change our line of business; or enter into certain related-party transactions.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 Series A Redeemable Convertible Preferred Stock, and any other repurchase or redemption rights or liquidation preferences we may assign to holders of preferred stock in the future, could affect the residual value of the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 Run and its affiliates’ ownership may limit or preclude other stockholders’ ability to influence corporate matters.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North Run Capital, LP, or North Run, and its affiliates held 45.2% of the voting power of our capital stock based on shares outstanding as of March 31, 2026, in addition North Run may acquire additional shares of common stock and voting power upon exercise of the Warrants. For as long as North Run and its affiliates hold a significant amount of our Series A Redeemable Convertible Preferred Stock and common stock, they will be able to exert significant control over us. This concentrated control may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stockholders may believe are in their best interest. North Run and its affiliates may also determine to sell substantial amounts of our securities in one or more transactions, including to one or several private parties in negotiated transactions. In that case, those buyers may subsequently be able to exert significant control over us.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and accordingly, stockholders must rely on stock appreciation for any return on their investment.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anticipate paying cash dividends in the foreseeable future. As a result, only appreciation of the price of our common stock, which may never occur, will provide a return to stockholders. Investors seeking cash dividends should not invest in our common stock.</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charter documents and Delaware law could discourage takeover attempts and lead to management entrenchment and, therefore, may depress the trading price of our common stock.</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have the effect of delaying or preventing changes in control or changes in our management without the consent of our board of directors, including, among other things:</w:t>
      </w:r>
    </w:p>
    <w:p>
      <w:pPr>
        <w:spacing w:after="0" w:line="162" w:lineRule="exact"/>
        <w:rPr>
          <w:sz w:val="20"/>
          <w:szCs w:val="20"/>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removal of directors;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chairperson of our board of directors, the chief executive officer, the president (in absence of a chief executive officer) or our board of directors, which may delay the ability of our stockholders to force consideration of a proposal or to take action, including the removal of directors;</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holders of at least two-thirds of the shares entitled to vote at an election of directors is required to adopt, amend or repeal our bylaws or repeal the provisions of our amended and restated certificate of incorporation regarding the election and removal of directors;</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by majority vote, to amend the amended and restated bylaws, which may allow our board of directors to take additional actions to prevent a hostile acquisition and inhibit the ability of an acquirer from amending the amended and restated bylaws to facilitate a hostile acquisition; and</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provisions may not be successful in protecting our stockholders from coercive or harmful takeover tactics by requiring potential acquirers to negotiate with our board of directors and by providing our board of directors with adequate time to assess any acquisition proposal. These provisions in our amended and restated certificate of incorporation and amended and restated bylaws may discourage, delay or prevent a transaction involving a change in control that is in the best interest of our stockholders. Even in the absence of a takeover attempt, the existence of these provisions may adversely affect the prevailing market price of our common stock if they are viewed as discouraging future takeover attempts.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certain anti-takeover provisions under the Delaware General Corporation Law, or DGCL. Under the DGCL, a corporation may not, in general, engage in a business combination with any holder of 15% or more of its capital stock unless the holder has held the stock for three years or, among other things, our board of directors has approved the transaction.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4" w:name="page75"/>
    <w:bookmarkEnd w:id="7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certain courts as the sole and exclusive forums for certain litigation that may be initiated by our stockholders, which could limit our stockholders’ ability to obtain a favorable judicial forum for disputes with us.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fiduciary duty owed by any of our directors, officers or other employees or our stockholders; (iii) any action asserting a claim arising pursuant to any provision of the DGCL or our amended and restated certificate of incorporation or amended and restated bylaws; or (iv) any action asserting a claim governed by the internal affairs doctrine. Additionally, our amended and restated certificate of incorporation provides that the federal district courts of the United States of America will be the exclusive forum for the resolution of any complaint asserting a cause of action against us or any of our directors, officers, employees or agents and arising under the Securities Act. Our amended and restated certificate of incorporation further provides that any person or entity purchasing or acquiring any interest in shares of our capital stock shall be deemed to have notice of and to have consented to the provisions described above. This forum selection provision in our amended and restated certificate of incorporation may limit our stockholders’ ability to obtain a favorable judicial forum for disputes with us. This exclusive forum provision will not apply to suits brought to enforce a duty or liability created by the Exchange Act or any other claim for which the federal courts have exclusive jurisdiction.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liquid and orderly market for our common stock may not be sustained, and the trading price of our common stock is likely to be volatile.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active trading market for our common stock may not be sustained, which could depress the market price of our common stock and could affect your ability to sell your shares. The trading price of our common stock is likely to be highly volatile and could be subject to wide fluctuations in response to various factors, some of which are beyond our control. In addition to the factors discussed in this “Risk Factors” section of this Quarterly Report, these factors include:</w:t>
      </w:r>
    </w:p>
    <w:p>
      <w:pPr>
        <w:spacing w:after="0" w:line="180"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shift in our investor base;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condition and operating performance;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similar companies;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by us or our competitors;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or failure of our business strategy;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as needed;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performance of the equity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publicly owned and available for trading;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 or governmental investigations;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affecting our business, including tax legislation;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or dispositions;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securities analysts or our ability to meet earnings guidance;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changes in recommendations or withdrawal of research coverage by securities analysts;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5" w:name="page76"/>
    <w:bookmarkEnd w:id="75"/>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volumes of sales of our shares of common stock by existing stockholders;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our common stock;</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us and our industry; and</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markets or general economic conditions, including the effects of recession or slow economic growth in the U.S. and abroad, interest rates, tariff and other trade barriers, fuel prices, international currency fluctuations, corruption, political instability, acts of war, including the ongoing war between Russia and Ukraine and the conflicts in the Middle East, acts of terrorism, natural disasters and public health crises or pandemics.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medical device companies in particular, have experienced extreme price and volume fluctuations that have often been unrelated or disproportionate to the operating performance of those companies. This could limit or prevent investors from readily selling their shares of common stock and may otherwise negatively affect the liquidity of our common stock. Securities class action litigation has often been instituted against companies following periods of volatility in the overall market and in the market price of a company’s securities and suits have been initiated against us to date. This type of litigation could result in very substantial costs, divert our management’s attention and resources, and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develop and maintain proper and effective internal control over financial reporting and will be subject to other requirements that will be burdensome and costly.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are required to file with the SEC annual, quarterly and current reports that are specified in Section 13 of the Exchange Act. We are required to prepare financial statements that are fully compliant with all SEC reporting requirements on a timely basis. In addition, we are subject to other reporting and corporate governance requirements, including the requirements of the Nasdaq Stock Market, or Nasdaq, and certain provisions of the Sarbanes-Oxley Act and the regulations promulgated thereunder, which impose significant compliance obligations upon us.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to continue to devote significant resources and time to comply with the internal control over financial reporting requirements of the Sarbanes-Oxley Act, including costs associated with auditing and legal fees and accounting and administrative staff. In addition, Section 404(a) under the Sarbanes-Oxley Act requires that we assess the effectiveness of our controls over financial reporting. Our future compliance with the annual internal control report requirement will depend on the effectiveness of our financial reporting and data systems and controls across our operating subsidiaries. We cannot be certain that these measures will ensure that we design, implement and maintain adequate controls over our financial processes and reporting in the future. Any failure to implement required new or improved controls, or difficulties encountered in their implementation or operation, could harm our operating results, cause us to fail to meet our financial reporting obligations, or cause us to suffer adverse regulatory consequences or violate applicable stock exchange listing rules. Inadequate internal controls could also cause investors to lose confidence in our reported financial information, which could have a negative effect on the trading price of our stock and our access to capital.</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as long as we remain a non-accelerated filer, we will not be required to comply with Section 404(b) of the Sarbanes-Oxley Act, which would require our independent auditors to issue an opinion on their audit of our internal control over financial reporting, until the later of the year following our first annual report required to be filed with the SEC and the date we and cease to be a non-accelerated filer. If, once we are required to comply with Section 404(b) under the Sarbanes-Oxley Act, our independent registered public accounting firm cannot provide an unqualified attestation report on the effectiveness of our internal control over financial reporting, investor confidence and, in turn, the market price of our common stock, could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The design of our disclosure controls and procedures can only provide reasonable assurance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jc w:val="both"/>
        <w:spacing w:after="0" w:line="282" w:lineRule="auto"/>
        <w:rPr>
          <w:sz w:val="20"/>
          <w:szCs w:val="20"/>
          <w:color w:val="auto"/>
        </w:rPr>
      </w:pPr>
      <w:r>
        <w:rPr>
          <w:rFonts w:ascii="Times New Roman" w:cs="Times New Roman" w:eastAsia="Times New Roman" w:hAnsi="Times New Roman"/>
          <w:sz w:val="18"/>
          <w:szCs w:val="18"/>
          <w:color w:val="auto"/>
        </w:rPr>
        <w:t>more people or by an unauthorized override of the controls. Accordingly, because of the inherent limitations in our control system, misstatements due to error or fraud may occur and not be detected.</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inaccurate or unfavorable research about our business, our stock price and trading volume could decline.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one or more of the analysts who cover us were to downgrade our stock or publish inaccurate or unfavorable research about our business, our stock price would likely decline. If one or more of these analysts were to cease coverage of us or fail to publish reports on us regularly, demand for our stock could decrease, which might cause our stock price and trading volume to decline and may also impair our ability to expand our business with existing customers and attract new customers.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Scrutiny and stakeholder expectations regarding environmental, social, and governance matters may cause us to incur expenses and liabilities or otherwise adversely impact our business, financial condition, or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Companies across industries may face scrutiny from a variety of stakeholders related to their environmental, social, and governance, or ESG, practices. Expectations regarding voluntary ESG initiatives and disclosures may result in increased costs (including but not limited to increased costs related to compliance, stakeholder engagement, contracting and insurance), changes in demand for certain offerings, enhanced compliance or disclosure obligations, or other adverse impacts to our business, financial condition, or results of operations.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For example, certain statements in our voluntary disclosures may be based on assumptions, estimates, hypothetical expectations, or third-party information. Additionally, expectations around the Company’s management of ESG matters continues to evolve, in many instances due to factors that are out of our control. In addition, we may commit to certain initiatives or goals and we may not ultimately be able to achieve such commitments or goals due to factors that are within or outside of our control. Moreover, actions or statements that we may take based on based on expectations, assumptions, or third-party information that we currently believe to be reasonable may subsequently be determined to be erroneous or be subject to misinterpretation. Even if this is not the case, our current actions may subsequently be determined to be insufficient by various stakeholders, and we may be subject to investor or regulator engagement on our ESG initiatives and disclosures, even if such initiatives are currently voluntary.</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new ESG rules and regulations have been adopted and may continue to be introduced in various states and other jurisdictions. Our failure to comply with any applicable rules or regulations could lead to penalties and adversely impact our reputation, customer attraction and retention, access to capital and employee retention.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to offset future taxable income may be subject to certain limitations.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we had net operating loss, or NOL, carryforwards of $52.6 million for U.S. federal income tax purposes and $36.1 million for state income tax purposes, which may be available to offset our future taxable income, if any. Our federal NOL carryforwards are not subject to expiration, but may generally only be used to offset 80% of future taxable income in a given year. Certain of our state NOL carryforwards begin to expire in 2028. Our state NOL carryforwards could expire unused, to the extent subject to expiration, and be unavailable to offset future taxable income.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Sections 382 and 383 of the Code, a corporation that undergoes an “ownership change” is subject to limitations on its ability to use its pre-change NOL and tax credit carryforwards to offset future taxable income and income taxes, respectively. For these purposes, an ownership change generally occurs where the aggregate change in stock ownership of one or more stockholders or groups of stockholders owning at least 5% of a corporation’s stock exceeds 50 percentage points (by value) over a rolling three-year period. Similar rules may apply under state tax laws. We completed an ownership change analysis pursuant to Section 382 of the Code through our taxable year ended December 31, 2023, and determined we experienced an ownership change on May 18, 2023 in connection with the Private Placement of Series A Redeemable Convertible Preferred Stock. Our ability to utilize our NOL carryforwards and other tax attributes to offset future taxable income or income taxes is limited as a result of such ownership change. We may experience ownership changes in the future as a result of future transactions in our stock, some of which may be outside our control. If we undergo ownership changes in the future, our ability to use our NOL carryforwards and other tax attributes could be further limited.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29" w:lineRule="exact"/>
        <w:rPr>
          <w:sz w:val="20"/>
          <w:szCs w:val="20"/>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jc w:val="both"/>
        <w:ind w:firstLine="8"/>
        <w:spacing w:after="0" w:line="266" w:lineRule="auto"/>
        <w:tabs>
          <w:tab w:leader="none" w:pos="2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no directors or “officers” (as defined in Rule 16a-1(f) under the Exchange Act) of the Company adopted, modified or terminated a “Rule 10b5-1 trading arrangement” and/or “non-Rule 10b5-1 trading arrangement,” as each term is defined in Item 408 of Regulation S-K.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740" w:type="dxa"/>
            <w:vAlign w:val="bottom"/>
            <w:gridSpan w:val="17"/>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515"/>
        </w:trPr>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0" w:type="dxa"/>
            <w:vAlign w:val="bottom"/>
          </w:tcPr>
          <w:p>
            <w:pPr>
              <w:spacing w:after="0"/>
              <w:rPr>
                <w:sz w:val="24"/>
                <w:szCs w:val="24"/>
                <w:color w:val="auto"/>
              </w:rPr>
            </w:pPr>
          </w:p>
        </w:tc>
        <w:tc>
          <w:tcPr>
            <w:tcW w:w="4360" w:type="dxa"/>
            <w:vAlign w:val="bottom"/>
            <w:gridSpan w:val="1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6"/>
                <w:szCs w:val="16"/>
                <w:color w:val="auto"/>
              </w:rPr>
            </w:pPr>
          </w:p>
        </w:tc>
        <w:tc>
          <w:tcPr>
            <w:tcW w:w="4360" w:type="dxa"/>
            <w:vAlign w:val="bottom"/>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64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2.1+</w:t>
            </w:r>
          </w:p>
        </w:tc>
        <w:tc>
          <w:tcPr>
            <w:tcW w:w="380" w:type="dxa"/>
            <w:vAlign w:val="bottom"/>
          </w:tcPr>
          <w:p>
            <w:pPr>
              <w:spacing w:after="0"/>
              <w:rPr>
                <w:sz w:val="23"/>
                <w:szCs w:val="23"/>
                <w:color w:val="auto"/>
              </w:rPr>
            </w:pPr>
          </w:p>
        </w:tc>
        <w:tc>
          <w:tcPr>
            <w:tcW w:w="4360" w:type="dxa"/>
            <w:vAlign w:val="bottom"/>
            <w:gridSpan w:val="16"/>
          </w:tcPr>
          <w:p>
            <w:pPr>
              <w:spacing w:after="0"/>
              <w:rPr>
                <w:rFonts w:ascii="Times New Roman" w:cs="Times New Roman" w:eastAsia="Times New Roman" w:hAnsi="Times New Roman"/>
                <w:sz w:val="16"/>
                <w:szCs w:val="16"/>
                <w:color w:val="0000FF"/>
              </w:rPr>
            </w:pPr>
            <w:hyperlink r:id="rId278">
              <w:r>
                <w:rPr>
                  <w:rFonts w:ascii="Times New Roman" w:cs="Times New Roman" w:eastAsia="Times New Roman" w:hAnsi="Times New Roman"/>
                  <w:sz w:val="16"/>
                  <w:szCs w:val="16"/>
                  <w:color w:val="0000FF"/>
                </w:rPr>
                <w:t>Separation and Distribution Agreement between PDL BioPharma,</w:t>
              </w:r>
            </w:hyperlink>
          </w:p>
        </w:tc>
        <w:tc>
          <w:tcPr>
            <w:tcW w:w="0" w:type="dxa"/>
            <w:vAlign w:val="bottom"/>
          </w:tcPr>
          <w:p>
            <w:pPr>
              <w:spacing w:after="0"/>
              <w:rPr>
                <w:sz w:val="1"/>
                <w:szCs w:val="1"/>
                <w:color w:val="auto"/>
              </w:rPr>
            </w:pPr>
          </w:p>
        </w:tc>
      </w:tr>
      <w:tr>
        <w:trPr>
          <w:trHeight w:val="20"/>
        </w:trPr>
        <w:tc>
          <w:tcPr>
            <w:tcW w:w="64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4360" w:type="dxa"/>
            <w:vAlign w:val="bottom"/>
            <w:gridSpan w:val="16"/>
            <w:vMerge w:val="restart"/>
          </w:tcPr>
          <w:p>
            <w:pPr>
              <w:spacing w:after="0" w:line="183" w:lineRule="exact"/>
              <w:rPr>
                <w:rFonts w:ascii="Times New Roman" w:cs="Times New Roman" w:eastAsia="Times New Roman" w:hAnsi="Times New Roman"/>
                <w:sz w:val="16"/>
                <w:szCs w:val="16"/>
                <w:color w:val="0000FF"/>
              </w:rPr>
            </w:pPr>
            <w:hyperlink r:id="rId278">
              <w:r>
                <w:rPr>
                  <w:rFonts w:ascii="Times New Roman" w:cs="Times New Roman" w:eastAsia="Times New Roman" w:hAnsi="Times New Roman"/>
                  <w:sz w:val="16"/>
                  <w:szCs w:val="16"/>
                  <w:color w:val="0000FF"/>
                </w:rPr>
                <w:t>Inc. and LENSAR, Inc.</w:t>
              </w:r>
            </w:hyperlink>
          </w:p>
        </w:tc>
        <w:tc>
          <w:tcPr>
            <w:tcW w:w="0" w:type="dxa"/>
            <w:vAlign w:val="bottom"/>
          </w:tcPr>
          <w:p>
            <w:pPr>
              <w:spacing w:after="0"/>
              <w:rPr>
                <w:sz w:val="1"/>
                <w:szCs w:val="1"/>
                <w:color w:val="auto"/>
              </w:rPr>
            </w:pPr>
          </w:p>
        </w:tc>
      </w:tr>
      <w:tr>
        <w:trPr>
          <w:trHeight w:val="73"/>
        </w:trPr>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360" w:type="dxa"/>
            <w:vAlign w:val="bottom"/>
            <w:gridSpan w:val="1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3.1</w:t>
            </w:r>
          </w:p>
        </w:tc>
        <w:tc>
          <w:tcPr>
            <w:tcW w:w="380" w:type="dxa"/>
            <w:vAlign w:val="bottom"/>
          </w:tcPr>
          <w:p>
            <w:pPr>
              <w:spacing w:after="0"/>
              <w:rPr>
                <w:sz w:val="15"/>
                <w:szCs w:val="15"/>
                <w:color w:val="auto"/>
              </w:rPr>
            </w:pPr>
          </w:p>
        </w:tc>
        <w:tc>
          <w:tcPr>
            <w:tcW w:w="4360" w:type="dxa"/>
            <w:vAlign w:val="bottom"/>
            <w:gridSpan w:val="16"/>
          </w:tcPr>
          <w:p>
            <w:pPr>
              <w:spacing w:after="0" w:line="183" w:lineRule="exact"/>
              <w:rPr>
                <w:rFonts w:ascii="Times New Roman" w:cs="Times New Roman" w:eastAsia="Times New Roman" w:hAnsi="Times New Roman"/>
                <w:sz w:val="16"/>
                <w:szCs w:val="16"/>
                <w:color w:val="0000FF"/>
              </w:rPr>
            </w:pPr>
            <w:hyperlink r:id="rId279">
              <w:r>
                <w:rPr>
                  <w:rFonts w:ascii="Times New Roman" w:cs="Times New Roman" w:eastAsia="Times New Roman" w:hAnsi="Times New Roman"/>
                  <w:sz w:val="16"/>
                  <w:szCs w:val="16"/>
                  <w:color w:val="0000FF"/>
                </w:rPr>
                <w:t>Amended and Restated Certificate of Incorporation of LENSAR,</w:t>
              </w:r>
            </w:hyperlink>
          </w:p>
        </w:tc>
        <w:tc>
          <w:tcPr>
            <w:tcW w:w="0" w:type="dxa"/>
            <w:vAlign w:val="bottom"/>
          </w:tcPr>
          <w:p>
            <w:pPr>
              <w:spacing w:after="0"/>
              <w:rPr>
                <w:sz w:val="1"/>
                <w:szCs w:val="1"/>
                <w:color w:val="auto"/>
              </w:rPr>
            </w:pPr>
          </w:p>
        </w:tc>
      </w:tr>
      <w:tr>
        <w:trPr>
          <w:trHeight w:val="20"/>
        </w:trPr>
        <w:tc>
          <w:tcPr>
            <w:tcW w:w="64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4360" w:type="dxa"/>
            <w:vAlign w:val="bottom"/>
            <w:gridSpan w:val="16"/>
            <w:vMerge w:val="restart"/>
          </w:tcPr>
          <w:p>
            <w:pPr>
              <w:spacing w:after="0" w:line="183" w:lineRule="exact"/>
              <w:rPr>
                <w:rFonts w:ascii="Times New Roman" w:cs="Times New Roman" w:eastAsia="Times New Roman" w:hAnsi="Times New Roman"/>
                <w:sz w:val="16"/>
                <w:szCs w:val="16"/>
                <w:color w:val="0000FF"/>
              </w:rPr>
            </w:pPr>
            <w:hyperlink r:id="rId279">
              <w:r>
                <w:rPr>
                  <w:rFonts w:ascii="Times New Roman" w:cs="Times New Roman" w:eastAsia="Times New Roman" w:hAnsi="Times New Roman"/>
                  <w:sz w:val="16"/>
                  <w:szCs w:val="16"/>
                  <w:color w:val="0000FF"/>
                </w:rPr>
                <w:t>Inc.</w:t>
              </w:r>
            </w:hyperlink>
          </w:p>
        </w:tc>
        <w:tc>
          <w:tcPr>
            <w:tcW w:w="0" w:type="dxa"/>
            <w:vAlign w:val="bottom"/>
          </w:tcPr>
          <w:p>
            <w:pPr>
              <w:spacing w:after="0"/>
              <w:rPr>
                <w:sz w:val="1"/>
                <w:szCs w:val="1"/>
                <w:color w:val="auto"/>
              </w:rPr>
            </w:pPr>
          </w:p>
        </w:tc>
      </w:tr>
      <w:tr>
        <w:trPr>
          <w:trHeight w:val="73"/>
        </w:trPr>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360" w:type="dxa"/>
            <w:vAlign w:val="bottom"/>
            <w:gridSpan w:val="1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3.2</w:t>
            </w:r>
          </w:p>
        </w:tc>
        <w:tc>
          <w:tcPr>
            <w:tcW w:w="380" w:type="dxa"/>
            <w:vAlign w:val="bottom"/>
          </w:tcPr>
          <w:p>
            <w:pPr>
              <w:spacing w:after="0"/>
              <w:rPr>
                <w:sz w:val="24"/>
                <w:szCs w:val="24"/>
                <w:color w:val="auto"/>
              </w:rPr>
            </w:pPr>
          </w:p>
        </w:tc>
        <w:tc>
          <w:tcPr>
            <w:tcW w:w="4360" w:type="dxa"/>
            <w:vAlign w:val="bottom"/>
            <w:gridSpan w:val="16"/>
          </w:tcPr>
          <w:p>
            <w:pPr>
              <w:spacing w:after="0"/>
              <w:rPr>
                <w:rFonts w:ascii="Times New Roman" w:cs="Times New Roman" w:eastAsia="Times New Roman" w:hAnsi="Times New Roman"/>
                <w:sz w:val="16"/>
                <w:szCs w:val="16"/>
                <w:color w:val="0000FF"/>
              </w:rPr>
            </w:pPr>
            <w:hyperlink r:id="rId280">
              <w:r>
                <w:rPr>
                  <w:rFonts w:ascii="Times New Roman" w:cs="Times New Roman" w:eastAsia="Times New Roman" w:hAnsi="Times New Roman"/>
                  <w:sz w:val="16"/>
                  <w:szCs w:val="16"/>
                  <w:color w:val="0000FF"/>
                </w:rPr>
                <w:t>Amended and Restated Bylaws of LENSAR, Inc.</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3.3</w:t>
            </w:r>
          </w:p>
        </w:tc>
        <w:tc>
          <w:tcPr>
            <w:tcW w:w="380" w:type="dxa"/>
            <w:vAlign w:val="bottom"/>
          </w:tcPr>
          <w:p>
            <w:pPr>
              <w:spacing w:after="0"/>
              <w:rPr>
                <w:sz w:val="24"/>
                <w:szCs w:val="24"/>
                <w:color w:val="auto"/>
              </w:rPr>
            </w:pPr>
          </w:p>
        </w:tc>
        <w:tc>
          <w:tcPr>
            <w:tcW w:w="4360" w:type="dxa"/>
            <w:vAlign w:val="bottom"/>
            <w:gridSpan w:val="16"/>
          </w:tcPr>
          <w:p>
            <w:pPr>
              <w:spacing w:after="0"/>
              <w:rPr>
                <w:rFonts w:ascii="Times New Roman" w:cs="Times New Roman" w:eastAsia="Times New Roman" w:hAnsi="Times New Roman"/>
                <w:sz w:val="16"/>
                <w:szCs w:val="16"/>
                <w:color w:val="0000FF"/>
              </w:rPr>
            </w:pPr>
            <w:hyperlink r:id="rId281">
              <w:r>
                <w:rPr>
                  <w:rFonts w:ascii="Times New Roman" w:cs="Times New Roman" w:eastAsia="Times New Roman" w:hAnsi="Times New Roman"/>
                  <w:sz w:val="16"/>
                  <w:szCs w:val="16"/>
                  <w:color w:val="0000FF"/>
                </w:rPr>
                <w:t>Certificate of Designations, Preferences and Rights of Series A</w:t>
              </w:r>
            </w:hyperlink>
          </w:p>
        </w:tc>
        <w:tc>
          <w:tcPr>
            <w:tcW w:w="0" w:type="dxa"/>
            <w:vAlign w:val="bottom"/>
          </w:tcPr>
          <w:p>
            <w:pPr>
              <w:spacing w:after="0"/>
              <w:rPr>
                <w:sz w:val="1"/>
                <w:szCs w:val="1"/>
                <w:color w:val="auto"/>
              </w:rPr>
            </w:pPr>
          </w:p>
        </w:tc>
      </w:tr>
      <w:tr>
        <w:trPr>
          <w:trHeight w:val="20"/>
        </w:trPr>
        <w:tc>
          <w:tcPr>
            <w:tcW w:w="64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4360" w:type="dxa"/>
            <w:vAlign w:val="bottom"/>
            <w:gridSpan w:val="16"/>
            <w:vMerge w:val="restart"/>
          </w:tcPr>
          <w:p>
            <w:pPr>
              <w:spacing w:after="0" w:line="183" w:lineRule="exact"/>
              <w:rPr>
                <w:rFonts w:ascii="Times New Roman" w:cs="Times New Roman" w:eastAsia="Times New Roman" w:hAnsi="Times New Roman"/>
                <w:sz w:val="16"/>
                <w:szCs w:val="16"/>
                <w:color w:val="0000FF"/>
              </w:rPr>
            </w:pPr>
            <w:hyperlink r:id="rId281">
              <w:r>
                <w:rPr>
                  <w:rFonts w:ascii="Times New Roman" w:cs="Times New Roman" w:eastAsia="Times New Roman" w:hAnsi="Times New Roman"/>
                  <w:sz w:val="16"/>
                  <w:szCs w:val="16"/>
                  <w:color w:val="0000FF"/>
                </w:rPr>
                <w:t>Convertible Preferred Stock filed May 18, 2023</w:t>
              </w:r>
            </w:hyperlink>
          </w:p>
        </w:tc>
        <w:tc>
          <w:tcPr>
            <w:tcW w:w="0" w:type="dxa"/>
            <w:vAlign w:val="bottom"/>
          </w:tcPr>
          <w:p>
            <w:pPr>
              <w:spacing w:after="0"/>
              <w:rPr>
                <w:sz w:val="1"/>
                <w:szCs w:val="1"/>
                <w:color w:val="auto"/>
              </w:rPr>
            </w:pPr>
          </w:p>
        </w:tc>
      </w:tr>
      <w:tr>
        <w:trPr>
          <w:trHeight w:val="73"/>
        </w:trPr>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360" w:type="dxa"/>
            <w:vAlign w:val="bottom"/>
            <w:gridSpan w:val="1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4.1</w:t>
            </w:r>
          </w:p>
        </w:tc>
        <w:tc>
          <w:tcPr>
            <w:tcW w:w="380" w:type="dxa"/>
            <w:vAlign w:val="bottom"/>
          </w:tcPr>
          <w:p>
            <w:pPr>
              <w:spacing w:after="0"/>
              <w:rPr>
                <w:sz w:val="24"/>
                <w:szCs w:val="24"/>
                <w:color w:val="auto"/>
              </w:rPr>
            </w:pPr>
          </w:p>
        </w:tc>
        <w:tc>
          <w:tcPr>
            <w:tcW w:w="4360" w:type="dxa"/>
            <w:vAlign w:val="bottom"/>
            <w:gridSpan w:val="16"/>
          </w:tcPr>
          <w:p>
            <w:pPr>
              <w:spacing w:after="0"/>
              <w:rPr>
                <w:rFonts w:ascii="Times New Roman" w:cs="Times New Roman" w:eastAsia="Times New Roman" w:hAnsi="Times New Roman"/>
                <w:sz w:val="16"/>
                <w:szCs w:val="16"/>
                <w:color w:val="0000FF"/>
              </w:rPr>
            </w:pPr>
            <w:hyperlink r:id="rId282">
              <w:r>
                <w:rPr>
                  <w:rFonts w:ascii="Times New Roman" w:cs="Times New Roman" w:eastAsia="Times New Roman" w:hAnsi="Times New Roman"/>
                  <w:sz w:val="16"/>
                  <w:szCs w:val="16"/>
                  <w:color w:val="0000FF"/>
                </w:rPr>
                <w:t>Form of Certificate of Common Stock</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4.2</w:t>
            </w:r>
          </w:p>
        </w:tc>
        <w:tc>
          <w:tcPr>
            <w:tcW w:w="380" w:type="dxa"/>
            <w:vAlign w:val="bottom"/>
          </w:tcPr>
          <w:p>
            <w:pPr>
              <w:spacing w:after="0"/>
              <w:rPr>
                <w:sz w:val="24"/>
                <w:szCs w:val="24"/>
                <w:color w:val="auto"/>
              </w:rPr>
            </w:pPr>
          </w:p>
        </w:tc>
        <w:tc>
          <w:tcPr>
            <w:tcW w:w="4360" w:type="dxa"/>
            <w:vAlign w:val="bottom"/>
            <w:gridSpan w:val="16"/>
          </w:tcPr>
          <w:p>
            <w:pPr>
              <w:spacing w:after="0"/>
              <w:rPr>
                <w:rFonts w:ascii="Times New Roman" w:cs="Times New Roman" w:eastAsia="Times New Roman" w:hAnsi="Times New Roman"/>
                <w:sz w:val="16"/>
                <w:szCs w:val="16"/>
                <w:color w:val="0000FF"/>
              </w:rPr>
            </w:pPr>
            <w:hyperlink r:id="rId283">
              <w:r>
                <w:rPr>
                  <w:rFonts w:ascii="Times New Roman" w:cs="Times New Roman" w:eastAsia="Times New Roman" w:hAnsi="Times New Roman"/>
                  <w:sz w:val="16"/>
                  <w:szCs w:val="16"/>
                  <w:color w:val="0000FF"/>
                </w:rPr>
                <w:t>Registration Rights Agreement, dated May 12, 2023, between</w:t>
              </w:r>
            </w:hyperlink>
          </w:p>
        </w:tc>
        <w:tc>
          <w:tcPr>
            <w:tcW w:w="0" w:type="dxa"/>
            <w:vAlign w:val="bottom"/>
          </w:tcPr>
          <w:p>
            <w:pPr>
              <w:spacing w:after="0"/>
              <w:rPr>
                <w:sz w:val="1"/>
                <w:szCs w:val="1"/>
                <w:color w:val="auto"/>
              </w:rPr>
            </w:pPr>
          </w:p>
        </w:tc>
      </w:tr>
      <w:tr>
        <w:trPr>
          <w:trHeight w:val="20"/>
        </w:trPr>
        <w:tc>
          <w:tcPr>
            <w:tcW w:w="64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4360" w:type="dxa"/>
            <w:vAlign w:val="bottom"/>
            <w:gridSpan w:val="16"/>
            <w:vMerge w:val="restart"/>
          </w:tcPr>
          <w:p>
            <w:pPr>
              <w:spacing w:after="0" w:line="183" w:lineRule="exact"/>
              <w:rPr>
                <w:rFonts w:ascii="Times New Roman" w:cs="Times New Roman" w:eastAsia="Times New Roman" w:hAnsi="Times New Roman"/>
                <w:sz w:val="16"/>
                <w:szCs w:val="16"/>
                <w:color w:val="0000FF"/>
              </w:rPr>
            </w:pPr>
            <w:hyperlink r:id="rId283">
              <w:r>
                <w:rPr>
                  <w:rFonts w:ascii="Times New Roman" w:cs="Times New Roman" w:eastAsia="Times New Roman" w:hAnsi="Times New Roman"/>
                  <w:sz w:val="16"/>
                  <w:szCs w:val="16"/>
                  <w:color w:val="0000FF"/>
                </w:rPr>
                <w:t>LENSAR, Inc, and NR-GRI Partners, LP</w:t>
              </w:r>
            </w:hyperlink>
          </w:p>
        </w:tc>
        <w:tc>
          <w:tcPr>
            <w:tcW w:w="0" w:type="dxa"/>
            <w:vAlign w:val="bottom"/>
          </w:tcPr>
          <w:p>
            <w:pPr>
              <w:spacing w:after="0"/>
              <w:rPr>
                <w:sz w:val="1"/>
                <w:szCs w:val="1"/>
                <w:color w:val="auto"/>
              </w:rPr>
            </w:pPr>
          </w:p>
        </w:tc>
      </w:tr>
      <w:tr>
        <w:trPr>
          <w:trHeight w:val="73"/>
        </w:trPr>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360" w:type="dxa"/>
            <w:vAlign w:val="bottom"/>
            <w:gridSpan w:val="1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40" w:type="dxa"/>
            <w:vAlign w:val="bottom"/>
            <w:tcBorders>
              <w:right w:val="single" w:sz="8" w:color="0000EE"/>
            </w:tcBorders>
            <w:gridSpan w:val="2"/>
            <w:shd w:val="clear" w:color="auto" w:fill="0000FF"/>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4.3</w:t>
            </w:r>
          </w:p>
        </w:tc>
        <w:tc>
          <w:tcPr>
            <w:tcW w:w="380" w:type="dxa"/>
            <w:vAlign w:val="bottom"/>
          </w:tcPr>
          <w:p>
            <w:pPr>
              <w:spacing w:after="0"/>
              <w:rPr>
                <w:sz w:val="24"/>
                <w:szCs w:val="24"/>
                <w:color w:val="auto"/>
              </w:rPr>
            </w:pPr>
          </w:p>
        </w:tc>
        <w:tc>
          <w:tcPr>
            <w:tcW w:w="4360" w:type="dxa"/>
            <w:vAlign w:val="bottom"/>
            <w:gridSpan w:val="16"/>
          </w:tcPr>
          <w:p>
            <w:pPr>
              <w:spacing w:after="0"/>
              <w:rPr>
                <w:rFonts w:ascii="Times New Roman" w:cs="Times New Roman" w:eastAsia="Times New Roman" w:hAnsi="Times New Roman"/>
                <w:sz w:val="16"/>
                <w:szCs w:val="16"/>
                <w:color w:val="0000FF"/>
              </w:rPr>
            </w:pPr>
            <w:hyperlink r:id="rId284">
              <w:r>
                <w:rPr>
                  <w:rFonts w:ascii="Times New Roman" w:cs="Times New Roman" w:eastAsia="Times New Roman" w:hAnsi="Times New Roman"/>
                  <w:sz w:val="16"/>
                  <w:szCs w:val="16"/>
                  <w:color w:val="0000FF"/>
                </w:rPr>
                <w:t>Class A Common Stock Purchase Warrant, dated May 18, 2023</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2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4.4</w:t>
            </w:r>
          </w:p>
        </w:tc>
        <w:tc>
          <w:tcPr>
            <w:tcW w:w="380" w:type="dxa"/>
            <w:vAlign w:val="bottom"/>
          </w:tcPr>
          <w:p>
            <w:pPr>
              <w:spacing w:after="0"/>
              <w:rPr>
                <w:sz w:val="24"/>
                <w:szCs w:val="24"/>
                <w:color w:val="auto"/>
              </w:rPr>
            </w:pPr>
          </w:p>
        </w:tc>
        <w:tc>
          <w:tcPr>
            <w:tcW w:w="4360" w:type="dxa"/>
            <w:vAlign w:val="bottom"/>
            <w:gridSpan w:val="16"/>
          </w:tcPr>
          <w:p>
            <w:pPr>
              <w:spacing w:after="0"/>
              <w:rPr>
                <w:rFonts w:ascii="Times New Roman" w:cs="Times New Roman" w:eastAsia="Times New Roman" w:hAnsi="Times New Roman"/>
                <w:sz w:val="16"/>
                <w:szCs w:val="16"/>
                <w:color w:val="0000FF"/>
              </w:rPr>
            </w:pPr>
            <w:hyperlink r:id="rId285">
              <w:r>
                <w:rPr>
                  <w:rFonts w:ascii="Times New Roman" w:cs="Times New Roman" w:eastAsia="Times New Roman" w:hAnsi="Times New Roman"/>
                  <w:sz w:val="16"/>
                  <w:szCs w:val="16"/>
                  <w:color w:val="0000FF"/>
                </w:rPr>
                <w:t>Class B Common Stock Purchase Warrant, dated May 18, 2023</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2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60" w:type="dxa"/>
            <w:vAlign w:val="bottom"/>
            <w:gridSpan w:val="16"/>
          </w:tcPr>
          <w:p>
            <w:pPr>
              <w:spacing w:after="0"/>
              <w:rPr>
                <w:rFonts w:ascii="Times New Roman" w:cs="Times New Roman" w:eastAsia="Times New Roman" w:hAnsi="Times New Roman"/>
                <w:sz w:val="16"/>
                <w:szCs w:val="16"/>
                <w:color w:val="0000FF"/>
              </w:rPr>
            </w:pPr>
            <w:hyperlink r:id="rId286">
              <w:r>
                <w:rPr>
                  <w:rFonts w:ascii="Times New Roman" w:cs="Times New Roman" w:eastAsia="Times New Roman" w:hAnsi="Times New Roman"/>
                  <w:sz w:val="16"/>
                  <w:szCs w:val="16"/>
                  <w:color w:val="0000FF"/>
                </w:rPr>
                <w:t>Termination and Mutual Release Agreement, dated March 16,</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20" w:type="dxa"/>
            <w:vAlign w:val="bottom"/>
            <w:gridSpan w:val="6"/>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jc w:val="right"/>
              <w:ind w:right="260"/>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380" w:type="dxa"/>
            <w:vAlign w:val="bottom"/>
          </w:tcPr>
          <w:p>
            <w:pPr>
              <w:spacing w:after="0"/>
              <w:rPr>
                <w:sz w:val="15"/>
                <w:szCs w:val="15"/>
                <w:color w:val="auto"/>
              </w:rPr>
            </w:pPr>
          </w:p>
        </w:tc>
        <w:tc>
          <w:tcPr>
            <w:tcW w:w="4360" w:type="dxa"/>
            <w:vAlign w:val="bottom"/>
            <w:gridSpan w:val="16"/>
          </w:tcPr>
          <w:p>
            <w:pPr>
              <w:spacing w:after="0" w:line="183" w:lineRule="exact"/>
              <w:rPr>
                <w:rFonts w:ascii="Times New Roman" w:cs="Times New Roman" w:eastAsia="Times New Roman" w:hAnsi="Times New Roman"/>
                <w:sz w:val="16"/>
                <w:szCs w:val="16"/>
                <w:color w:val="0000FF"/>
              </w:rPr>
            </w:pPr>
            <w:hyperlink r:id="rId286">
              <w:r>
                <w:rPr>
                  <w:rFonts w:ascii="Times New Roman" w:cs="Times New Roman" w:eastAsia="Times New Roman" w:hAnsi="Times New Roman"/>
                  <w:sz w:val="16"/>
                  <w:szCs w:val="16"/>
                  <w:color w:val="0000FF"/>
                </w:rPr>
                <w:t>2026, by and among Alcon Research LLC, VMI Option Merger</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34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360" w:type="dxa"/>
            <w:vAlign w:val="bottom"/>
            <w:gridSpan w:val="16"/>
          </w:tcPr>
          <w:p>
            <w:pPr>
              <w:spacing w:after="0" w:line="183" w:lineRule="exact"/>
              <w:rPr>
                <w:rFonts w:ascii="Times New Roman" w:cs="Times New Roman" w:eastAsia="Times New Roman" w:hAnsi="Times New Roman"/>
                <w:sz w:val="16"/>
                <w:szCs w:val="16"/>
                <w:color w:val="0000FF"/>
              </w:rPr>
            </w:pPr>
            <w:hyperlink r:id="rId286">
              <w:r>
                <w:rPr>
                  <w:rFonts w:ascii="Times New Roman" w:cs="Times New Roman" w:eastAsia="Times New Roman" w:hAnsi="Times New Roman"/>
                  <w:sz w:val="16"/>
                  <w:szCs w:val="16"/>
                  <w:color w:val="0000FF"/>
                </w:rPr>
                <w:t>Sub, Inc. and LENSAR, Inc.</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36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6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 13a-</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gridSpan w:val="11"/>
            <w:shd w:val="clear" w:color="auto" w:fill="0000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jc w:val="right"/>
              <w:ind w:right="260"/>
              <w:spacing w:after="0" w:line="183" w:lineRule="exact"/>
              <w:rPr>
                <w:sz w:val="20"/>
                <w:szCs w:val="20"/>
                <w:color w:val="auto"/>
              </w:rPr>
            </w:pPr>
            <w:r>
              <w:rPr>
                <w:rFonts w:ascii="Times New Roman" w:cs="Times New Roman" w:eastAsia="Times New Roman" w:hAnsi="Times New Roman"/>
                <w:sz w:val="16"/>
                <w:szCs w:val="16"/>
                <w:color w:val="auto"/>
                <w:w w:val="99"/>
              </w:rPr>
              <w:t>31.1</w:t>
            </w:r>
          </w:p>
        </w:tc>
        <w:tc>
          <w:tcPr>
            <w:tcW w:w="380" w:type="dxa"/>
            <w:vAlign w:val="bottom"/>
          </w:tcPr>
          <w:p>
            <w:pPr>
              <w:spacing w:after="0"/>
              <w:rPr>
                <w:sz w:val="15"/>
                <w:szCs w:val="15"/>
                <w:color w:val="auto"/>
              </w:rPr>
            </w:pPr>
          </w:p>
        </w:tc>
        <w:tc>
          <w:tcPr>
            <w:tcW w:w="436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14(a) or Rule 15d-14(a) of the Securities Exchange Act of 1934, as</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gridSpan w:val="11"/>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36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amended</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8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6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 13a-</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2980" w:type="dxa"/>
            <w:vAlign w:val="bottom"/>
            <w:gridSpan w:val="11"/>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jc w:val="right"/>
              <w:ind w:right="260"/>
              <w:spacing w:after="0" w:line="183" w:lineRule="exact"/>
              <w:rPr>
                <w:sz w:val="20"/>
                <w:szCs w:val="20"/>
                <w:color w:val="auto"/>
              </w:rPr>
            </w:pPr>
            <w:r>
              <w:rPr>
                <w:rFonts w:ascii="Times New Roman" w:cs="Times New Roman" w:eastAsia="Times New Roman" w:hAnsi="Times New Roman"/>
                <w:sz w:val="16"/>
                <w:szCs w:val="16"/>
                <w:color w:val="auto"/>
                <w:w w:val="99"/>
              </w:rPr>
              <w:t>31.2</w:t>
            </w:r>
          </w:p>
        </w:tc>
        <w:tc>
          <w:tcPr>
            <w:tcW w:w="380" w:type="dxa"/>
            <w:vAlign w:val="bottom"/>
          </w:tcPr>
          <w:p>
            <w:pPr>
              <w:spacing w:after="0"/>
              <w:rPr>
                <w:sz w:val="15"/>
                <w:szCs w:val="15"/>
                <w:color w:val="auto"/>
              </w:rPr>
            </w:pPr>
          </w:p>
        </w:tc>
        <w:tc>
          <w:tcPr>
            <w:tcW w:w="436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14(a) or Rule 15d-14(a) of the Securities Exchange Act of 1934, as</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2980" w:type="dxa"/>
            <w:vAlign w:val="bottom"/>
            <w:gridSpan w:val="11"/>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36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amended</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8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6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18 U.S.C.</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2980" w:type="dxa"/>
            <w:vAlign w:val="bottom"/>
            <w:gridSpan w:val="11"/>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jc w:val="right"/>
              <w:ind w:right="260"/>
              <w:spacing w:after="0" w:line="183" w:lineRule="exact"/>
              <w:rPr>
                <w:sz w:val="20"/>
                <w:szCs w:val="20"/>
                <w:color w:val="auto"/>
              </w:rPr>
            </w:pPr>
            <w:r>
              <w:rPr>
                <w:rFonts w:ascii="Times New Roman" w:cs="Times New Roman" w:eastAsia="Times New Roman" w:hAnsi="Times New Roman"/>
                <w:sz w:val="16"/>
                <w:szCs w:val="16"/>
                <w:color w:val="auto"/>
                <w:w w:val="99"/>
              </w:rPr>
              <w:t>32.1</w:t>
            </w:r>
          </w:p>
        </w:tc>
        <w:tc>
          <w:tcPr>
            <w:tcW w:w="380" w:type="dxa"/>
            <w:vAlign w:val="bottom"/>
          </w:tcPr>
          <w:p>
            <w:pPr>
              <w:spacing w:after="0"/>
              <w:rPr>
                <w:sz w:val="15"/>
                <w:szCs w:val="15"/>
                <w:color w:val="auto"/>
              </w:rPr>
            </w:pPr>
          </w:p>
        </w:tc>
        <w:tc>
          <w:tcPr>
            <w:tcW w:w="436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Section 1350, as adopted pursuant to Section 906 of the Sarbanes-</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2980" w:type="dxa"/>
            <w:vAlign w:val="bottom"/>
            <w:gridSpan w:val="11"/>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36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Oxley Act of 2002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EE"/>
            </w:tcBorders>
            <w:gridSpan w:val="3"/>
            <w:shd w:val="clear" w:color="auto" w:fill="0000FF"/>
          </w:tcPr>
          <w:p>
            <w:pPr>
              <w:spacing w:after="0" w:line="20" w:lineRule="exact"/>
              <w:rPr>
                <w:sz w:val="1"/>
                <w:szCs w:val="1"/>
                <w:color w:val="auto"/>
              </w:rPr>
            </w:pPr>
          </w:p>
        </w:tc>
        <w:tc>
          <w:tcPr>
            <w:tcW w:w="2980" w:type="dxa"/>
            <w:vAlign w:val="bottom"/>
            <w:gridSpan w:val="1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6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18 U.S.C.</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80" w:type="dxa"/>
            <w:vAlign w:val="bottom"/>
            <w:gridSpan w:val="14"/>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jc w:val="right"/>
              <w:ind w:right="260"/>
              <w:spacing w:after="0" w:line="183" w:lineRule="exact"/>
              <w:rPr>
                <w:sz w:val="20"/>
                <w:szCs w:val="20"/>
                <w:color w:val="auto"/>
              </w:rPr>
            </w:pPr>
            <w:r>
              <w:rPr>
                <w:rFonts w:ascii="Times New Roman" w:cs="Times New Roman" w:eastAsia="Times New Roman" w:hAnsi="Times New Roman"/>
                <w:sz w:val="16"/>
                <w:szCs w:val="16"/>
                <w:color w:val="auto"/>
                <w:w w:val="99"/>
              </w:rPr>
              <w:t>32.2</w:t>
            </w:r>
          </w:p>
        </w:tc>
        <w:tc>
          <w:tcPr>
            <w:tcW w:w="380" w:type="dxa"/>
            <w:vAlign w:val="bottom"/>
          </w:tcPr>
          <w:p>
            <w:pPr>
              <w:spacing w:after="0"/>
              <w:rPr>
                <w:sz w:val="15"/>
                <w:szCs w:val="15"/>
                <w:color w:val="auto"/>
              </w:rPr>
            </w:pPr>
          </w:p>
        </w:tc>
        <w:tc>
          <w:tcPr>
            <w:tcW w:w="436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Section 1350, as adopted pursuant to Section 906 of the Sarbanes-</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260" w:type="dxa"/>
            <w:vAlign w:val="bottom"/>
            <w:gridSpan w:val="1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36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Oxley Act of 2002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EE"/>
            </w:tcBorders>
            <w:gridSpan w:val="3"/>
            <w:shd w:val="clear" w:color="auto" w:fill="0000FF"/>
          </w:tcPr>
          <w:p>
            <w:pPr>
              <w:spacing w:after="0" w:line="20" w:lineRule="exact"/>
              <w:rPr>
                <w:sz w:val="1"/>
                <w:szCs w:val="1"/>
                <w:color w:val="auto"/>
              </w:rPr>
            </w:pPr>
          </w:p>
        </w:tc>
        <w:tc>
          <w:tcPr>
            <w:tcW w:w="31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6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380" w:type="dxa"/>
            <w:vAlign w:val="bottom"/>
          </w:tcPr>
          <w:p>
            <w:pPr>
              <w:spacing w:after="0"/>
              <w:rPr>
                <w:sz w:val="17"/>
                <w:szCs w:val="17"/>
                <w:color w:val="auto"/>
              </w:rPr>
            </w:pPr>
          </w:p>
        </w:tc>
        <w:tc>
          <w:tcPr>
            <w:tcW w:w="436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appear in the Interactive Data file because its XBRL tags are</w:t>
            </w: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6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embedded within the Inline XBRL document</w:t>
            </w:r>
          </w:p>
        </w:tc>
        <w:tc>
          <w:tcPr>
            <w:tcW w:w="0" w:type="dxa"/>
            <w:vAlign w:val="bottom"/>
          </w:tcPr>
          <w:p>
            <w:pPr>
              <w:spacing w:after="0"/>
              <w:rPr>
                <w:sz w:val="1"/>
                <w:szCs w:val="1"/>
                <w:color w:val="auto"/>
              </w:rPr>
            </w:pPr>
          </w:p>
        </w:tc>
      </w:tr>
    </w:tbl>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101.SCH</w:t>
            </w:r>
          </w:p>
        </w:tc>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Schema With Embedded</w:t>
            </w:r>
          </w:p>
        </w:tc>
        <w:tc>
          <w:tcPr>
            <w:tcW w:w="0" w:type="dxa"/>
            <w:vAlign w:val="bottom"/>
          </w:tcPr>
          <w:p>
            <w:pPr>
              <w:spacing w:after="0"/>
              <w:rPr>
                <w:sz w:val="1"/>
                <w:szCs w:val="1"/>
                <w:color w:val="auto"/>
              </w:rPr>
            </w:pPr>
          </w:p>
        </w:tc>
      </w:tr>
      <w:tr>
        <w:trPr>
          <w:trHeight w:val="102"/>
        </w:trPr>
        <w:tc>
          <w:tcPr>
            <w:tcW w:w="800" w:type="dxa"/>
            <w:vAlign w:val="bottom"/>
            <w:vMerge w:val="continue"/>
          </w:tcPr>
          <w:p>
            <w:pPr>
              <w:spacing w:after="0"/>
              <w:rPr>
                <w:sz w:val="8"/>
                <w:szCs w:val="8"/>
                <w:color w:val="auto"/>
              </w:rPr>
            </w:pPr>
          </w:p>
        </w:tc>
        <w:tc>
          <w:tcPr>
            <w:tcW w:w="412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Linkbase Documents</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4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1000" w:right="20" w:hanging="992"/>
        <w:spacing w:after="0" w:line="183" w:lineRule="auto"/>
        <w:tabs>
          <w:tab w:leader="none" w:pos="1000" w:val="left"/>
        </w:tabs>
        <w:numPr>
          <w:ilvl w:val="0"/>
          <w:numId w:val="42"/>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6"/>
          <w:szCs w:val="16"/>
          <w:color w:val="auto"/>
        </w:rPr>
        <w:t>Cover Page Interactive Data File (as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8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48"/>
        </w:trPr>
        <w:tc>
          <w:tcPr>
            <w:tcW w:w="92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6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8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0"/>
        </w:trPr>
        <w:tc>
          <w:tcPr>
            <w:tcW w:w="9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88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96"/>
        </w:trPr>
        <w:tc>
          <w:tcPr>
            <w:tcW w:w="92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Form 8-K</w:t>
            </w:r>
          </w:p>
        </w:tc>
        <w:tc>
          <w:tcPr>
            <w:tcW w:w="11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10/2/2020</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2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Form 8-K</w:t>
            </w:r>
          </w:p>
        </w:tc>
        <w:tc>
          <w:tcPr>
            <w:tcW w:w="11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10/2/2020</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rPr>
              <w:t>Form 10-Q</w:t>
            </w:r>
          </w:p>
        </w:tc>
        <w:tc>
          <w:tcPr>
            <w:tcW w:w="11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11/07/2024</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Form 8-K</w:t>
            </w:r>
          </w:p>
        </w:tc>
        <w:tc>
          <w:tcPr>
            <w:tcW w:w="11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5/18/2023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w w:val="98"/>
              </w:rPr>
              <w:t>Form 10/A</w:t>
            </w:r>
          </w:p>
        </w:tc>
        <w:tc>
          <w:tcPr>
            <w:tcW w:w="11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9/14/2020</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Form 8-K</w:t>
            </w:r>
          </w:p>
        </w:tc>
        <w:tc>
          <w:tcPr>
            <w:tcW w:w="11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5/15/2023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Form 8-K</w:t>
            </w:r>
          </w:p>
        </w:tc>
        <w:tc>
          <w:tcPr>
            <w:tcW w:w="11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5/18/2023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Form 8-K</w:t>
            </w:r>
          </w:p>
        </w:tc>
        <w:tc>
          <w:tcPr>
            <w:tcW w:w="11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5/18/2023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2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Form 8-K</w:t>
            </w:r>
          </w:p>
        </w:tc>
        <w:tc>
          <w:tcPr>
            <w:tcW w:w="11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3/17/2026</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4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4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w:t>
      </w:r>
    </w:p>
    <w:p>
      <w:pPr>
        <w:spacing w:after="0" w:line="3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w:t>
      </w:r>
    </w:p>
    <w:p>
      <w:pPr>
        <w:spacing w:after="0" w:line="333" w:lineRule="exact"/>
        <w:rPr>
          <w:sz w:val="20"/>
          <w:szCs w:val="20"/>
          <w:color w:val="auto"/>
        </w:rPr>
      </w:pPr>
    </w:p>
    <w:p>
      <w:pPr>
        <w:sectPr>
          <w:pgSz w:w="11900" w:h="16838" w:orient="portrait"/>
          <w:cols w:equalWidth="0" w:num="2">
            <w:col w:w="5380" w:space="200"/>
            <w:col w:w="5320"/>
          </w:cols>
          <w:pgMar w:left="320" w:top="981" w:right="679" w:bottom="1440" w:gutter="0" w:footer="0" w:header="0"/>
        </w:sectPr>
      </w:pP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2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981" w:right="679" w:bottom="1440"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8020" w:type="dxa"/>
            <w:vAlign w:val="bottom"/>
            <w:gridSpan w:val="2"/>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rPr>
              <w:t>LENSAR, Inc.</w:t>
            </w: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802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By: /s/ Nicholas T. Curtis</w:t>
            </w:r>
          </w:p>
        </w:tc>
      </w:tr>
      <w:tr>
        <w:trPr>
          <w:trHeight w:val="191"/>
        </w:trPr>
        <w:tc>
          <w:tcPr>
            <w:tcW w:w="32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Nicholas T. Curtis</w:t>
            </w:r>
          </w:p>
        </w:tc>
      </w:tr>
      <w:tr>
        <w:trPr>
          <w:trHeight w:val="216"/>
        </w:trPr>
        <w:tc>
          <w:tcPr>
            <w:tcW w:w="3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2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3980" w:type="dxa"/>
            <w:vAlign w:val="bottom"/>
          </w:tcPr>
          <w:p>
            <w:pPr>
              <w:spacing w:after="0"/>
              <w:rPr>
                <w:sz w:val="24"/>
                <w:szCs w:val="24"/>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R. Staab, II</w:t>
            </w:r>
          </w:p>
        </w:tc>
      </w:tr>
      <w:tr>
        <w:trPr>
          <w:trHeight w:val="191"/>
        </w:trPr>
        <w:tc>
          <w:tcPr>
            <w:tcW w:w="32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R. Staab, II</w:t>
            </w:r>
          </w:p>
        </w:tc>
      </w:tr>
      <w:tr>
        <w:trPr>
          <w:trHeight w:val="216"/>
        </w:trPr>
        <w:tc>
          <w:tcPr>
            <w:tcW w:w="3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2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3980" w:type="dxa"/>
            <w:vAlign w:val="bottom"/>
          </w:tcPr>
          <w:p>
            <w:pPr>
              <w:spacing w:after="0"/>
              <w:rPr>
                <w:sz w:val="24"/>
                <w:szCs w:val="24"/>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Kendra W. Wong</w:t>
            </w:r>
          </w:p>
        </w:tc>
      </w:tr>
      <w:tr>
        <w:trPr>
          <w:trHeight w:val="191"/>
        </w:trPr>
        <w:tc>
          <w:tcPr>
            <w:tcW w:w="32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Kendra W. Wong</w:t>
            </w:r>
          </w:p>
        </w:tc>
      </w:tr>
      <w:tr>
        <w:trPr>
          <w:trHeight w:val="216"/>
        </w:trPr>
        <w:tc>
          <w:tcPr>
            <w:tcW w:w="3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34"/>
        </w:trPr>
        <w:tc>
          <w:tcPr>
            <w:tcW w:w="32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648"/>
        </w:trPr>
        <w:tc>
          <w:tcPr>
            <w:tcW w:w="3220" w:type="dxa"/>
            <w:vAlign w:val="bottom"/>
          </w:tcPr>
          <w:p>
            <w:pPr>
              <w:spacing w:after="0"/>
              <w:rPr>
                <w:sz w:val="24"/>
                <w:szCs w:val="24"/>
                <w:color w:val="auto"/>
              </w:rPr>
            </w:pPr>
          </w:p>
        </w:tc>
        <w:tc>
          <w:tcPr>
            <w:tcW w:w="398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75</w:t>
            </w:r>
          </w:p>
        </w:tc>
        <w:tc>
          <w:tcPr>
            <w:tcW w:w="4040" w:type="dxa"/>
            <w:vAlign w:val="bottom"/>
          </w:tcPr>
          <w:p>
            <w:pPr>
              <w:spacing w:after="0"/>
              <w:rPr>
                <w:sz w:val="24"/>
                <w:szCs w:val="24"/>
                <w:color w:val="auto"/>
              </w:rPr>
            </w:pPr>
          </w:p>
        </w:tc>
      </w:tr>
      <w:tr>
        <w:trPr>
          <w:trHeight w:val="763"/>
        </w:trPr>
        <w:tc>
          <w:tcPr>
            <w:tcW w:w="322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Nicholas T. Curtis, certify that:</w:t>
      </w:r>
    </w:p>
    <w:p>
      <w:pPr>
        <w:spacing w:after="0" w:line="225"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LENSAR,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60" w:val="left"/>
          <w:tab w:leader="none" w:pos="784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Nicholas T.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0">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Nicholas T. Curtis</w:t>
      </w:r>
    </w:p>
    <w:p>
      <w:pPr>
        <w:spacing w:after="0" w:line="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R. Staab, II, certify that:</w:t>
      </w:r>
    </w:p>
    <w:p>
      <w:pPr>
        <w:spacing w:after="0" w:line="225"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LENSAR,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60" w:val="left"/>
          <w:tab w:leader="none" w:pos="778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R. Staab,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Thomas R. Staab, II</w:t>
      </w:r>
    </w:p>
    <w:p>
      <w:pPr>
        <w:spacing w:after="0" w:line="9"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LENSAR, Inc. (the “Company”) for the quarterly period ended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784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Nicholas T.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Nicholas T. Curtis</w:t>
      </w:r>
    </w:p>
    <w:p>
      <w:pPr>
        <w:spacing w:after="0" w:line="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LENSAR, Inc. (the “Company”) for the quarterly period ended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778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R. Staab,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Thomas R. Staab, II</w:t>
      </w:r>
    </w:p>
    <w:p>
      <w:pPr>
        <w:spacing w:after="0" w:line="9"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3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4" w:name="page85"/>
    <w:bookmarkEnd w:id="8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1)"/>
      <w:numFmt w:val="lowerRoman"/>
      <w:start w:val="4"/>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lowerLetter"/>
      <w:start w:val="1"/>
    </w:lvl>
  </w:abstractNum>
  <w:abstractNum w:abstractNumId="41">
    <w:nsid w:val="725A06FB"/>
    <w:multiLevelType w:val="hybridMultilevel"/>
    <w:lvl w:ilvl="0">
      <w:lvlJc w:val="left"/>
      <w:lvlText w:val="%1"/>
      <w:numFmt w:val="decimal"/>
      <w:start w:val="104"/>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87" Type="http://schemas.openxmlformats.org/officeDocument/2006/relationships/image" Target="media/image271.png"/><Relationship Id="rId288" Type="http://schemas.openxmlformats.org/officeDocument/2006/relationships/image" Target="media/image272.png"/><Relationship Id="rId289" Type="http://schemas.openxmlformats.org/officeDocument/2006/relationships/image" Target="media/image273.png"/><Relationship Id="rId290" Type="http://schemas.openxmlformats.org/officeDocument/2006/relationships/image" Target="media/image274.png"/><Relationship Id="rId291" Type="http://schemas.openxmlformats.org/officeDocument/2006/relationships/image" Target="media/image275.png"/><Relationship Id="rId292" Type="http://schemas.openxmlformats.org/officeDocument/2006/relationships/image" Target="media/image276.png"/><Relationship Id="rId293" Type="http://schemas.openxmlformats.org/officeDocument/2006/relationships/image" Target="media/image277.png"/><Relationship Id="rId294" Type="http://schemas.openxmlformats.org/officeDocument/2006/relationships/image" Target="media/image278.png"/><Relationship Id="rId295" Type="http://schemas.openxmlformats.org/officeDocument/2006/relationships/image" Target="media/image279.png"/><Relationship Id="rId296" Type="http://schemas.openxmlformats.org/officeDocument/2006/relationships/image" Target="media/image280.png"/><Relationship Id="rId297" Type="http://schemas.openxmlformats.org/officeDocument/2006/relationships/image" Target="media/image281.png"/><Relationship Id="rId278" Type="http://schemas.openxmlformats.org/officeDocument/2006/relationships/hyperlink" Target="https://www.sec.gov/Archives/edgar/data/1320350/000119312520262511/d98252dex21.htm" TargetMode="External"/><Relationship Id="rId279" Type="http://schemas.openxmlformats.org/officeDocument/2006/relationships/hyperlink" Target="https://www.sec.gov/Archives/edgar/data/1320350/000119312520262511/d98252dex31.htm" TargetMode="External"/><Relationship Id="rId280" Type="http://schemas.openxmlformats.org/officeDocument/2006/relationships/hyperlink" Target="https://www.sec.gov/Archives/edgar/data/1320350/000095017024123534/lnsr-ex3_2.htm" TargetMode="External"/><Relationship Id="rId281" Type="http://schemas.openxmlformats.org/officeDocument/2006/relationships/hyperlink" Target="https://www.sec.gov/Archives/edgar/data/1320350/000119312523148214/d487803dex31.htm" TargetMode="External"/><Relationship Id="rId282" Type="http://schemas.openxmlformats.org/officeDocument/2006/relationships/hyperlink" Target="https://www.sec.gov/Archives/edgar/data/1320350/000119312520245277/d945311dex41.htm" TargetMode="External"/><Relationship Id="rId283" Type="http://schemas.openxmlformats.org/officeDocument/2006/relationships/hyperlink" Target="https://www.sec.gov/Archives/edgar/data/1320350/000119312523144213/d510326dex102.htm" TargetMode="External"/><Relationship Id="rId284" Type="http://schemas.openxmlformats.org/officeDocument/2006/relationships/hyperlink" Target="https://www.sec.gov/Archives/edgar/data/1320350/000119312523148214/d487803dex41.htm" TargetMode="External"/><Relationship Id="rId285" Type="http://schemas.openxmlformats.org/officeDocument/2006/relationships/hyperlink" Target="https://www.sec.gov/Archives/edgar/data/1320350/000119312523148214/d487803dex42.htm" TargetMode="External"/><Relationship Id="rId286" Type="http://schemas.openxmlformats.org/officeDocument/2006/relationships/hyperlink" Target="https://www.sec.gov/Archives/edgar/data/1320350/000119312526109458/d2724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2026-05-08T15:16:09Z</dcterms:created>
  <dcterms:modified xsi:type="dcterms:W3CDTF">2026-05-08T15:16:09Z</dcterms:modified>
</cp:coreProperties>
</file>