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lnsr-20260804.htm"/>
      <w:bookmarkStart w:id="1" w:name="kslnsr20260804"/>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LENSAR,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5"/>
        <w:gridCol w:w="871"/>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001-39473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32-0125724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2800 Discovery Drive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Orlando, Florida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32826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888</w:t>
            </w:r>
            <w:r>
              <w:rPr>
                <w:rFonts w:ascii="Times New Roman" w:hAnsi="Times New Roman"/>
                <w:color w:val="000000"/>
                <w:sz w:val="20"/>
              </w:rPr>
              <w:t xml:space="preserve"> </w:t>
            </w:r>
            <w:r>
              <w:rPr>
                <w:rFonts w:ascii="Times New Roman" w:hAnsi="Times New Roman"/>
                <w:b/>
                <w:color w:val="000000"/>
                <w:sz w:val="20"/>
              </w:rPr>
              <w:t>536-7271</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30" w:type="dxa"/>
        <w:jc w:val="left"/>
        <w:tblInd w:w="0" w:type="dxa"/>
        <w:tblLayout w:type="fixed"/>
        <w:tblCellMar>
          <w:top w:w="28" w:type="dxa"/>
          <w:left w:w="28" w:type="dxa"/>
          <w:bottom w:w="28" w:type="dxa"/>
          <w:right w:w="28" w:type="dxa"/>
        </w:tblCellMar>
      </w:tblPr>
      <w:tblGrid>
        <w:gridCol w:w="3466"/>
        <w:gridCol w:w="146"/>
        <w:gridCol w:w="946"/>
        <w:gridCol w:w="146"/>
        <w:gridCol w:w="3826"/>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6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LNSR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5.07 Submission of Matters to a Vote of Security Holders.</w:t>
      </w:r>
    </w:p>
    <w:p>
      <w:pPr>
        <w:pStyle w:val="TextBody"/>
        <w:bidi w:val="0"/>
        <w:jc w:val="both"/>
        <w:rPr>
          <w:rFonts w:ascii="Times New Roman" w:hAnsi="Times New Roman"/>
          <w:color w:val="000000"/>
          <w:sz w:val="20"/>
        </w:rPr>
      </w:pPr>
      <w:r>
        <w:rPr>
          <w:rFonts w:ascii="Times New Roman" w:hAnsi="Times New Roman"/>
          <w:color w:val="000000"/>
          <w:sz w:val="20"/>
        </w:rPr>
        <w:t>On August 4, 2026, LENSAR, Inc. (the “Company”) held its annual meeting of stockholders (the “Annual Meeting”). At the close of business on June 10, 2026, the record date for the Annual Meeting (the “Record Date”), 12,281,581 shares of the Company’s common stock, par value $0.01 per share (“Common Stock”), were issued and outstanding, and 20,000 shares of the Company’s Series A Convertible Preferred Stock, par value $0.01 per share (“Preferred Stock”), were issued and outstanding. The holders of Preferred Stock vote together with holders of Common Stock as a single class on each proposal. As of the Record Date, the holders of Common Stock were entitled to a total of 12,281,581 votes and the holders of Preferred Stock were entitled to a total of 7,940,446 votes, representing 20,222,027 votes in the aggregate. At the Annual Meeting, stockholders entitled to a total of 18,307,120 votes, representing approximately 90.53% of the total voting power of the capital stock issued and outstanding and entitled to vote, were present or represented by proxy. Following are the voting results for the proposals considered and voted upon at the Annual Meeting, each of which were described in the Company’s Definitive Proxy Statement filed with the Securities and Exchange Commission on June 23, 2026.</w:t>
      </w:r>
    </w:p>
    <w:p>
      <w:pPr>
        <w:pStyle w:val="TextBody"/>
        <w:bidi w:val="0"/>
        <w:jc w:val="both"/>
        <w:rPr>
          <w:rFonts w:ascii="Times New Roman" w:hAnsi="Times New Roman"/>
          <w:color w:val="000000"/>
          <w:sz w:val="20"/>
        </w:rPr>
      </w:pPr>
      <w:r>
        <w:rPr>
          <w:rFonts w:ascii="Times New Roman" w:hAnsi="Times New Roman"/>
          <w:color w:val="000000"/>
          <w:sz w:val="20"/>
        </w:rPr>
        <w:t>Proposal No. 1 – Election of three Class III directors to serve until the Company’s annual meeting of stockholders to be held in 2029 and until their respective successors have been duly elected and qualified.</w:t>
      </w:r>
    </w:p>
    <w:tbl>
      <w:tblPr>
        <w:tblW w:w="7729" w:type="dxa"/>
        <w:jc w:val="left"/>
        <w:tblInd w:w="0" w:type="dxa"/>
        <w:tblLayout w:type="fixed"/>
        <w:tblCellMar>
          <w:top w:w="28" w:type="dxa"/>
          <w:left w:w="28" w:type="dxa"/>
          <w:bottom w:w="28" w:type="dxa"/>
          <w:right w:w="28" w:type="dxa"/>
        </w:tblCellMar>
      </w:tblPr>
      <w:tblGrid>
        <w:gridCol w:w="2266"/>
        <w:gridCol w:w="146"/>
        <w:gridCol w:w="146"/>
        <w:gridCol w:w="1036"/>
        <w:gridCol w:w="146"/>
        <w:gridCol w:w="146"/>
        <w:gridCol w:w="232"/>
        <w:gridCol w:w="1493"/>
        <w:gridCol w:w="146"/>
        <w:gridCol w:w="146"/>
        <w:gridCol w:w="221"/>
        <w:gridCol w:w="1414"/>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FOR</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WITHHELD</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 Non-Votes</w:t>
            </w:r>
          </w:p>
        </w:tc>
        <w:tc>
          <w:tcPr>
            <w:tcW w:w="19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B. Ellis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13,430,892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1,765,259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6"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3,110,969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L. Lindstrom,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13,303,843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1,892,308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3,110,969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J. Link,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13,302,526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1,893,625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3,110,969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Proposal No. 2 – Ratification of the appointment of PricewaterhouseCoopers LLP as the Company’s independent registered public accounting firm for the fiscal year ending December 31, 2026.</w:t>
      </w:r>
    </w:p>
    <w:tbl>
      <w:tblPr>
        <w:tblW w:w="6720" w:type="dxa"/>
        <w:jc w:val="left"/>
        <w:tblInd w:w="0" w:type="dxa"/>
        <w:tblLayout w:type="fixed"/>
        <w:tblCellMar>
          <w:top w:w="28" w:type="dxa"/>
          <w:left w:w="28" w:type="dxa"/>
          <w:bottom w:w="28" w:type="dxa"/>
          <w:right w:w="28" w:type="dxa"/>
        </w:tblCellMar>
      </w:tblPr>
      <w:tblGrid>
        <w:gridCol w:w="124"/>
        <w:gridCol w:w="1036"/>
        <w:gridCol w:w="109"/>
        <w:gridCol w:w="109"/>
        <w:gridCol w:w="205"/>
        <w:gridCol w:w="1280"/>
        <w:gridCol w:w="109"/>
        <w:gridCol w:w="109"/>
        <w:gridCol w:w="240"/>
        <w:gridCol w:w="1500"/>
        <w:gridCol w:w="109"/>
        <w:gridCol w:w="109"/>
        <w:gridCol w:w="1681"/>
      </w:tblGrid>
      <w:tr>
        <w:trPr/>
        <w:tc>
          <w:tcPr>
            <w:tcW w:w="12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1160" w:type="dxa"/>
            <w:gridSpan w:val="2"/>
            <w:tcBorders>
              <w:top w:val="single" w:sz="6" w:space="0" w:color="000000"/>
              <w:bottom w:val="single" w:sz="6"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FOR</w:t>
            </w:r>
          </w:p>
        </w:tc>
        <w:tc>
          <w:tcPr>
            <w:tcW w:w="109" w:type="dxa"/>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6" w:space="0" w:color="000000"/>
              <w:bottom w:val="single" w:sz="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op w:val="single" w:sz="6" w:space="0" w:color="000000"/>
              <w:bottom w:val="single" w:sz="6"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AGAINST</w:t>
            </w:r>
          </w:p>
        </w:tc>
        <w:tc>
          <w:tcPr>
            <w:tcW w:w="109" w:type="dxa"/>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top w:val="single" w:sz="6" w:space="0" w:color="000000"/>
              <w:bottom w:val="single" w:sz="6"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ABSTAINED</w:t>
            </w:r>
          </w:p>
        </w:tc>
        <w:tc>
          <w:tcPr>
            <w:tcW w:w="109" w:type="dxa"/>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op w:val="single" w:sz="6" w:space="0" w:color="000000"/>
              <w:bottom w:val="single" w:sz="6"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 Non-Votes</w:t>
            </w:r>
          </w:p>
        </w:tc>
      </w:tr>
      <w:tr>
        <w:trPr/>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18,245,337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19,635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42,148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jc w:val="both"/>
        <w:rPr>
          <w:rFonts w:ascii="Times New Roman" w:hAnsi="Times New Roman"/>
          <w:color w:val="000000"/>
          <w:sz w:val="20"/>
        </w:rPr>
      </w:pPr>
      <w:r>
        <w:rPr>
          <w:rFonts w:ascii="Times New Roman" w:hAnsi="Times New Roman"/>
          <w:color w:val="000000"/>
          <w:sz w:val="20"/>
        </w:rPr>
        <w:t>Proposal No. 3 – Approve, on an advisory (non-binding) basis, the compensation of the Company’s named executive officers.</w:t>
      </w:r>
    </w:p>
    <w:tbl>
      <w:tblPr>
        <w:tblW w:w="6720" w:type="dxa"/>
        <w:jc w:val="left"/>
        <w:tblInd w:w="0" w:type="dxa"/>
        <w:tblLayout w:type="fixed"/>
        <w:tblCellMar>
          <w:top w:w="28" w:type="dxa"/>
          <w:left w:w="28" w:type="dxa"/>
          <w:bottom w:w="28" w:type="dxa"/>
          <w:right w:w="28" w:type="dxa"/>
        </w:tblCellMar>
      </w:tblPr>
      <w:tblGrid>
        <w:gridCol w:w="124"/>
        <w:gridCol w:w="1036"/>
        <w:gridCol w:w="109"/>
        <w:gridCol w:w="109"/>
        <w:gridCol w:w="155"/>
        <w:gridCol w:w="1330"/>
        <w:gridCol w:w="109"/>
        <w:gridCol w:w="109"/>
        <w:gridCol w:w="240"/>
        <w:gridCol w:w="1500"/>
        <w:gridCol w:w="109"/>
        <w:gridCol w:w="109"/>
        <w:gridCol w:w="1681"/>
      </w:tblGrid>
      <w:tr>
        <w:trPr/>
        <w:tc>
          <w:tcPr>
            <w:tcW w:w="12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1160" w:type="dxa"/>
            <w:gridSpan w:val="2"/>
            <w:tcBorders>
              <w:top w:val="single" w:sz="6" w:space="0" w:color="000000"/>
              <w:bottom w:val="single" w:sz="6"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FOR</w:t>
            </w:r>
          </w:p>
        </w:tc>
        <w:tc>
          <w:tcPr>
            <w:tcW w:w="109" w:type="dxa"/>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6" w:space="0" w:color="000000"/>
              <w:bottom w:val="single" w:sz="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op w:val="single" w:sz="6" w:space="0" w:color="000000"/>
              <w:bottom w:val="single" w:sz="6"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AGAINST</w:t>
            </w:r>
          </w:p>
        </w:tc>
        <w:tc>
          <w:tcPr>
            <w:tcW w:w="109" w:type="dxa"/>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top w:val="single" w:sz="6" w:space="0" w:color="000000"/>
              <w:bottom w:val="single" w:sz="6"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ABSTAINED</w:t>
            </w:r>
          </w:p>
        </w:tc>
        <w:tc>
          <w:tcPr>
            <w:tcW w:w="109" w:type="dxa"/>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op w:val="single" w:sz="6" w:space="0" w:color="000000"/>
              <w:bottom w:val="single" w:sz="6"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 Non-Votes</w:t>
            </w:r>
          </w:p>
        </w:tc>
      </w:tr>
      <w:tr>
        <w:trPr/>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13,671,195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1,440,815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84,141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3,110,969</w:t>
            </w:r>
          </w:p>
        </w:tc>
      </w:tr>
    </w:tbl>
    <w:p>
      <w:pPr>
        <w:pStyle w:val="TextBody"/>
        <w:bidi w:val="0"/>
        <w:jc w:val="both"/>
        <w:rPr>
          <w:rFonts w:ascii="Times New Roman" w:hAnsi="Times New Roman"/>
          <w:color w:val="000000"/>
          <w:sz w:val="20"/>
        </w:rPr>
      </w:pPr>
      <w:r>
        <w:rPr>
          <w:rFonts w:ascii="Times New Roman" w:hAnsi="Times New Roman"/>
          <w:color w:val="000000"/>
          <w:sz w:val="20"/>
        </w:rPr>
        <w:t>Proposal No. 4 – Approve, on an advisory (non-binding) basis, the frequency of future advisory (non-binding) votes on the compensation of the Company’s named executive officers.</w:t>
      </w:r>
    </w:p>
    <w:tbl>
      <w:tblPr>
        <w:tblW w:w="7654" w:type="dxa"/>
        <w:jc w:val="left"/>
        <w:tblInd w:w="0" w:type="dxa"/>
        <w:tblLayout w:type="fixed"/>
        <w:tblCellMar>
          <w:top w:w="28" w:type="dxa"/>
          <w:left w:w="28" w:type="dxa"/>
          <w:bottom w:w="28" w:type="dxa"/>
          <w:right w:w="28" w:type="dxa"/>
        </w:tblCellMar>
      </w:tblPr>
      <w:tblGrid>
        <w:gridCol w:w="124"/>
        <w:gridCol w:w="1036"/>
        <w:gridCol w:w="109"/>
        <w:gridCol w:w="109"/>
        <w:gridCol w:w="203"/>
        <w:gridCol w:w="1072"/>
        <w:gridCol w:w="109"/>
        <w:gridCol w:w="109"/>
        <w:gridCol w:w="181"/>
        <w:gridCol w:w="1304"/>
        <w:gridCol w:w="109"/>
        <w:gridCol w:w="109"/>
        <w:gridCol w:w="146"/>
        <w:gridCol w:w="961"/>
        <w:gridCol w:w="146"/>
        <w:gridCol w:w="146"/>
        <w:gridCol w:w="1681"/>
      </w:tblGrid>
      <w:tr>
        <w:trPr/>
        <w:tc>
          <w:tcPr>
            <w:tcW w:w="12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1160" w:type="dxa"/>
            <w:gridSpan w:val="2"/>
            <w:tcBorders>
              <w:top w:val="single" w:sz="6" w:space="0" w:color="000000"/>
              <w:bottom w:val="single" w:sz="6"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ONE YEAR</w:t>
            </w:r>
          </w:p>
        </w:tc>
        <w:tc>
          <w:tcPr>
            <w:tcW w:w="109" w:type="dxa"/>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6" w:space="0" w:color="000000"/>
              <w:bottom w:val="single" w:sz="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6" w:space="0" w:color="000000"/>
              <w:bottom w:val="single" w:sz="6"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TWO YEARS</w:t>
            </w:r>
          </w:p>
        </w:tc>
        <w:tc>
          <w:tcPr>
            <w:tcW w:w="109" w:type="dxa"/>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op w:val="single" w:sz="6" w:space="0" w:color="000000"/>
              <w:bottom w:val="single" w:sz="6"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YEARS</w:t>
            </w:r>
          </w:p>
        </w:tc>
        <w:tc>
          <w:tcPr>
            <w:tcW w:w="109" w:type="dxa"/>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6" w:space="0" w:color="000000"/>
              <w:bottom w:val="single" w:sz="6" w:space="0" w:color="000000"/>
            </w:tcBorders>
            <w:shd w:fill="FFFFFF" w:val="clear"/>
            <w:tcMar>
              <w:left w:w="0" w:type="dxa"/>
              <w:right w:w="0" w:type="dxa"/>
            </w:tcMar>
            <w:vAlign w:val="center"/>
          </w:tcPr>
          <w:p>
            <w:pPr>
              <w:pStyle w:val="TableContents"/>
              <w:bidi w:val="0"/>
              <w:spacing w:before="0" w:after="283"/>
              <w:jc w:val="center"/>
              <w:rPr/>
            </w:pPr>
            <w:r>
              <w:rPr/>
              <w:t> </w:t>
            </w:r>
          </w:p>
        </w:tc>
        <w:tc>
          <w:tcPr>
            <w:tcW w:w="961" w:type="dxa"/>
            <w:tcBorders>
              <w:top w:val="single" w:sz="6" w:space="0" w:color="000000"/>
              <w:bottom w:val="single" w:sz="6"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ABSTAIN</w:t>
            </w:r>
          </w:p>
        </w:tc>
        <w:tc>
          <w:tcPr>
            <w:tcW w:w="146" w:type="dxa"/>
            <w:tcBorders>
              <w:top w:val="single" w:sz="6"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top w:val="single" w:sz="6" w:space="0" w:color="000000"/>
              <w:bottom w:val="single" w:sz="6"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 Non-Votes</w:t>
            </w:r>
          </w:p>
        </w:tc>
      </w:tr>
      <w:tr>
        <w:trPr/>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14,814,363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9,784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144,195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227,809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3,110,969</w:t>
            </w:r>
          </w:p>
        </w:tc>
      </w:tr>
    </w:tbl>
    <w:p>
      <w:pPr>
        <w:pStyle w:val="TextBody"/>
        <w:bidi w:val="0"/>
        <w:jc w:val="both"/>
        <w:rPr>
          <w:rFonts w:ascii="Times New Roman" w:hAnsi="Times New Roman"/>
          <w:color w:val="000000"/>
          <w:sz w:val="20"/>
        </w:rPr>
      </w:pPr>
      <w:r>
        <w:rPr>
          <w:rFonts w:ascii="Times New Roman" w:hAnsi="Times New Roman"/>
          <w:color w:val="000000"/>
          <w:sz w:val="20"/>
        </w:rPr>
        <w:t>Based on the foregoing votes, Thomas B. Ellis, Richard L. Lindstrom, MD, and William J. Link, PhD, were elected as Class III directors, Proposal 2 and 3 were approved, and the frequency of every one year for Proposal 4 was approved.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Based on the results for Proposal 4 and consistent with the recommendation of the Company’s board of directors (the “Board”), the Board has determined that the Company will conduct future advisory votes regarding the compensation of its named executive officers every year until the next advisory vote regarding the frequency of advisory votes on the compensation of the Company’s named executive officers is submitted to the stockholders or the Board otherwise determines that a different frequency for such advisory votes is in the best interests of the Company and its stockholders.</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534" w:type="dxa"/>
        <w:jc w:val="left"/>
        <w:tblInd w:w="0" w:type="dxa"/>
        <w:tblLayout w:type="fixed"/>
        <w:tblCellMar>
          <w:top w:w="28" w:type="dxa"/>
          <w:left w:w="28" w:type="dxa"/>
          <w:bottom w:w="28" w:type="dxa"/>
          <w:right w:w="28" w:type="dxa"/>
        </w:tblCellMar>
      </w:tblPr>
      <w:tblGrid>
        <w:gridCol w:w="556"/>
        <w:gridCol w:w="1456"/>
        <w:gridCol w:w="451"/>
        <w:gridCol w:w="207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LENSAR,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10,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7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Nicholas T. Curtis</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Nicholas T. Curtis</w:t>
              <w:b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863</Words>
  <Characters>4742</Characters>
  <CharactersWithSpaces>5571</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