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lnsr-20230331.htm"/>
      <w:bookmarkStart w:id="1" w:name="kslnsr20230331"/>
      <w:bookmarkEnd w:id="0"/>
      <w:bookmarkEnd w:id="1"/>
      <w:r>
        <w:rPr/>
        <w:t> </w:t>
      </w:r>
    </w:p>
    <w:p>
      <w:pPr>
        <w:pStyle w:val="TextBody"/>
        <w:bidi w:val="0"/>
        <w:spacing w:before="0" w:after="0"/>
        <w:jc w:val="center"/>
        <w:rPr>
          <w:rFonts w:ascii="Times New Roman;serif" w:hAnsi="Times New Roman;serif"/>
          <w:b/>
          <w:smallCaps/>
          <w:sz w:val="20"/>
        </w:rPr>
      </w:pPr>
      <w:r>
        <w:rPr>
          <w:rFonts w:ascii="Times New Roman;serif" w:hAnsi="Times New Roman;serif"/>
          <w:b/>
          <w:smallCaps/>
          <w:sz w:val="20"/>
        </w:rPr>
        <w:t>UNITED STATES</w:t>
      </w:r>
    </w:p>
    <w:p>
      <w:pPr>
        <w:pStyle w:val="TextBody"/>
        <w:bidi w:val="0"/>
        <w:spacing w:before="0" w:after="0"/>
        <w:jc w:val="center"/>
        <w:rPr>
          <w:rFonts w:ascii="Times New Roman;serif" w:hAnsi="Times New Roman;serif"/>
          <w:b/>
          <w:smallCaps/>
          <w:sz w:val="20"/>
        </w:rPr>
      </w:pPr>
      <w:r>
        <w:rPr>
          <w:rFonts w:ascii="Times New Roman;serif" w:hAnsi="Times New Roman;serif"/>
          <w:b/>
          <w:smallCaps/>
          <w:sz w:val="20"/>
        </w:rPr>
        <w:t>SECURITIES AND EXCHANGE COMMISSION</w:t>
      </w:r>
    </w:p>
    <w:p>
      <w:pPr>
        <w:pStyle w:val="TextBody"/>
        <w:bidi w:val="0"/>
        <w:spacing w:before="0" w:after="0"/>
        <w:jc w:val="center"/>
        <w:rPr>
          <w:rFonts w:ascii="Times New Roman;serif" w:hAnsi="Times New Roman;serif"/>
          <w:b/>
          <w:smallCaps/>
          <w:sz w:val="20"/>
        </w:rPr>
      </w:pPr>
      <w:r>
        <w:rPr>
          <w:rFonts w:ascii="Times New Roman;serif" w:hAnsi="Times New Roman;serif"/>
          <w:b/>
          <w:smallCaps/>
          <w:sz w:val="20"/>
        </w:rPr>
        <w:t>Washington, D.C. 20549</w:t>
      </w:r>
    </w:p>
    <w:p>
      <w:pPr>
        <w:pStyle w:val="TextBody"/>
        <w:bidi w:val="0"/>
        <w:spacing w:before="0" w:after="0"/>
        <w:jc w:val="center"/>
        <w:rPr>
          <w:rFonts w:ascii="Times New Roman;serif" w:hAnsi="Times New Roman;serif"/>
          <w:b/>
          <w:smallCaps/>
          <w:sz w:val="20"/>
        </w:rPr>
      </w:pPr>
      <w:r>
        <w:rPr>
          <w:rFonts w:ascii="Times New Roman;serif" w:hAnsi="Times New Roman;serif"/>
          <w:b/>
          <w:smallCaps/>
          <w:sz w:val="20"/>
        </w:rPr>
        <w:t>FORM 10-Q</w:t>
      </w:r>
    </w:p>
    <w:p>
      <w:pPr>
        <w:pStyle w:val="TextBody"/>
        <w:pBdr>
          <w:bottom w:val="single" w:sz="4" w:space="1" w:color="000000"/>
        </w:pBdr>
        <w:bidi w:val="0"/>
        <w:spacing w:before="0" w:after="0"/>
        <w:jc w:val="center"/>
        <w:rPr/>
      </w:pPr>
      <w:r>
        <w:rPr/>
        <w:t> </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(Mark One)</w:t>
      </w:r>
    </w:p>
    <w:p>
      <w:pPr>
        <w:pStyle w:val="TextBody"/>
        <w:bidi w:val="0"/>
        <w:spacing w:before="0" w:after="0"/>
        <w:jc w:val="left"/>
        <w:rPr/>
      </w:pPr>
      <w:r>
        <w:rPr/>
        <w:t xml:space="preserve">☒ </w:t>
      </w:r>
      <w:r>
        <w:rPr>
          <w:rFonts w:ascii="Times New Roman;serif" w:hAnsi="Times New Roman;serif"/>
          <w:b/>
          <w:sz w:val="20"/>
        </w:rPr>
        <w:t>Quarterly report pursuant to Section 13 or 15(d) of the Securities Exchange Act of 1934</w:t>
      </w:r>
    </w:p>
    <w:p>
      <w:pPr>
        <w:pStyle w:val="TextBody"/>
        <w:bidi w:val="0"/>
        <w:spacing w:before="0" w:after="0"/>
        <w:jc w:val="center"/>
        <w:rPr>
          <w:rFonts w:ascii="Times New Roman" w:hAnsi="Times New Roman"/>
          <w:sz w:val="20"/>
        </w:rPr>
      </w:pPr>
      <w:r>
        <w:rPr>
          <w:rFonts w:ascii="Times New Roman;serif" w:hAnsi="Times New Roman;serif"/>
          <w:b/>
          <w:sz w:val="20"/>
        </w:rPr>
        <w:t>For the quarterly period ended March 31,</w:t>
      </w:r>
      <w:r>
        <w:rPr>
          <w:rFonts w:ascii="Times New Roman;serif" w:hAnsi="Times New Roman;serif"/>
          <w:sz w:val="20"/>
        </w:rPr>
        <w:t xml:space="preserve"> </w:t>
      </w:r>
      <w:r>
        <w:rPr>
          <w:rFonts w:ascii="Times New Roman;serif" w:hAnsi="Times New Roman;serif"/>
          <w:b/>
          <w:sz w:val="20"/>
        </w:rPr>
        <w:t>2023</w:t>
      </w:r>
    </w:p>
    <w:p>
      <w:pPr>
        <w:pStyle w:val="TextBody"/>
        <w:bidi w:val="0"/>
        <w:spacing w:before="0" w:after="0"/>
        <w:jc w:val="center"/>
        <w:rPr>
          <w:rFonts w:ascii="Times New Roman;serif" w:hAnsi="Times New Roman;serif"/>
          <w:b/>
          <w:sz w:val="20"/>
        </w:rPr>
      </w:pPr>
      <w:r>
        <w:rPr>
          <w:rFonts w:ascii="Times New Roman;serif" w:hAnsi="Times New Roman;serif"/>
          <w:b/>
          <w:sz w:val="20"/>
        </w:rPr>
        <w:t>or</w:t>
      </w:r>
    </w:p>
    <w:p>
      <w:pPr>
        <w:pStyle w:val="TextBody"/>
        <w:bidi w:val="0"/>
        <w:spacing w:before="0" w:after="0"/>
        <w:jc w:val="left"/>
        <w:rPr/>
      </w:pPr>
      <w:r>
        <w:rPr/>
        <w:t xml:space="preserve">☐ </w:t>
      </w:r>
      <w:r>
        <w:rPr>
          <w:rFonts w:ascii="Times New Roman;serif" w:hAnsi="Times New Roman;serif"/>
          <w:b/>
          <w:sz w:val="20"/>
        </w:rPr>
        <w:t>Transition report pursuant to Section 13 or 15(d) of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transition period from to</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001-39473</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serif" w:hAnsi="Times New Roman;serif"/>
          <w:b/>
          <w:sz w:val="40"/>
        </w:rPr>
      </w:pPr>
      <w:r>
        <w:rPr>
          <w:rFonts w:ascii="Times New Roman;serif" w:hAnsi="Times New Roman;serif"/>
          <w:b/>
          <w:sz w:val="40"/>
        </w:rPr>
        <w:t>LENSAR, INC.</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tbl>
      <w:tblPr>
        <w:tblW w:w="7997" w:type="dxa"/>
        <w:jc w:val="left"/>
        <w:tblInd w:w="0" w:type="dxa"/>
        <w:tblLayout w:type="fixed"/>
        <w:tblCellMar>
          <w:top w:w="28" w:type="dxa"/>
          <w:left w:w="28" w:type="dxa"/>
          <w:bottom w:w="28" w:type="dxa"/>
          <w:right w:w="28" w:type="dxa"/>
        </w:tblCellMar>
      </w:tblPr>
      <w:tblGrid>
        <w:gridCol w:w="4966"/>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303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32-0125724</w:t>
            </w:r>
          </w:p>
        </w:tc>
      </w:tr>
      <w:tr>
        <w:trPr/>
        <w:tc>
          <w:tcPr>
            <w:tcW w:w="49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(State or other jurisdiction of incorporation or organization)</w:t>
            </w:r>
          </w:p>
        </w:tc>
        <w:tc>
          <w:tcPr>
            <w:tcW w:w="30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(I.R.S. Employer Identification No.)</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2800 Discovery Drive</w:t>
      </w:r>
    </w:p>
    <w:p>
      <w:pPr>
        <w:pStyle w:val="TextBody"/>
        <w:bidi w:val="0"/>
        <w:spacing w:before="0" w:after="0"/>
        <w:jc w:val="center"/>
        <w:rPr>
          <w:rFonts w:ascii="Times New Roman" w:hAnsi="Times New Roman"/>
          <w:sz w:val="20"/>
        </w:rPr>
      </w:pPr>
      <w:r>
        <w:rPr>
          <w:rFonts w:ascii="Times New Roman;serif" w:hAnsi="Times New Roman;serif"/>
          <w:b/>
          <w:sz w:val="20"/>
        </w:rPr>
        <w:t>Orlando, Florida</w:t>
      </w:r>
      <w:r>
        <w:rPr>
          <w:rFonts w:ascii="Times New Roman" w:hAnsi="Times New Roman"/>
          <w:sz w:val="20"/>
        </w:rPr>
        <w:t xml:space="preserve"> </w:t>
      </w:r>
      <w:r>
        <w:rPr>
          <w:rFonts w:ascii="Times New Roman;serif" w:hAnsi="Times New Roman;serif"/>
          <w:b/>
          <w:sz w:val="20"/>
        </w:rPr>
        <w:t>32826</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(Address of principal executive offices and Zip Code)</w:t>
      </w:r>
    </w:p>
    <w:p>
      <w:pPr>
        <w:pStyle w:val="TextBody"/>
        <w:bidi w:val="0"/>
        <w:spacing w:before="80" w:after="0"/>
        <w:jc w:val="center"/>
        <w:rPr>
          <w:rFonts w:ascii="Times New Roman;serif" w:hAnsi="Times New Roman;serif"/>
          <w:b/>
          <w:sz w:val="20"/>
        </w:rPr>
      </w:pPr>
      <w:r>
        <w:rPr>
          <w:rFonts w:ascii="Times New Roman;serif" w:hAnsi="Times New Roman;serif"/>
          <w:b/>
          <w:sz w:val="20"/>
        </w:rPr>
        <w:t>(888) 536-7271</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(Registrant’s telephone number, including area code)</w:t>
      </w:r>
    </w:p>
    <w:p>
      <w:pPr>
        <w:pStyle w:val="TextBody"/>
        <w:bidi w:val="0"/>
        <w:spacing w:before="80" w:after="0"/>
        <w:jc w:val="center"/>
        <w:rPr>
          <w:rFonts w:ascii="Times New Roman;serif" w:hAnsi="Times New Roman;serif"/>
          <w:b/>
          <w:sz w:val="20"/>
        </w:rPr>
      </w:pPr>
      <w:r>
        <w:rPr>
          <w:rFonts w:ascii="Times New Roman;serif" w:hAnsi="Times New Roman;serif"/>
          <w:b/>
          <w:sz w:val="20"/>
        </w:rPr>
        <w:t>N/A</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(Former name, former address and former fiscal year, if changed since last report)</w:t>
      </w:r>
    </w:p>
    <w:p>
      <w:pPr>
        <w:pStyle w:val="TextBody"/>
        <w:bidi w:val="0"/>
        <w:spacing w:before="80" w:after="0"/>
        <w:jc w:val="center"/>
        <w:rPr>
          <w:rFonts w:ascii="Times New Roman;serif" w:hAnsi="Times New Roman;serif"/>
          <w:b w:val="false"/>
          <w:sz w:val="20"/>
        </w:rPr>
      </w:pPr>
      <w:r>
        <w:rPr>
          <w:rFonts w:ascii="Times New Roman;serif" w:hAnsi="Times New Roman;serif"/>
          <w:b w:val="false"/>
          <w:sz w:val="20"/>
        </w:rPr>
        <w:t>Securities registered pursuant to Section 12(b) of the Act:</w:t>
      </w:r>
    </w:p>
    <w:p>
      <w:pPr>
        <w:pStyle w:val="TextBody"/>
        <w:bidi w:val="0"/>
        <w:spacing w:before="0" w:after="0"/>
        <w:jc w:val="center"/>
        <w:rPr/>
      </w:pPr>
      <w:r>
        <w:rPr/>
        <w:t> </w:t>
      </w:r>
    </w:p>
    <w:tbl>
      <w:tblPr>
        <w:tblW w:w="9310" w:type="dxa"/>
        <w:jc w:val="left"/>
        <w:tblInd w:w="0" w:type="dxa"/>
        <w:tblLayout w:type="fixed"/>
        <w:tblCellMar>
          <w:top w:w="28" w:type="dxa"/>
          <w:left w:w="28" w:type="dxa"/>
          <w:bottom w:w="28" w:type="dxa"/>
          <w:right w:w="28" w:type="dxa"/>
        </w:tblCellMar>
      </w:tblPr>
      <w:tblGrid>
        <w:gridCol w:w="3496"/>
        <w:gridCol w:w="146"/>
        <w:gridCol w:w="169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$0.01 per share</w:t>
            </w:r>
          </w:p>
        </w:tc>
        <w:tc>
          <w:tcPr>
            <w:tcW w:w="146" w:type="dxa"/>
            <w:tcBorders/>
            <w:vAlign w:val="center"/>
          </w:tcPr>
          <w:p>
            <w:pPr>
              <w:pStyle w:val="TableContents"/>
              <w:bidi w:val="0"/>
              <w:spacing w:before="0" w:after="0"/>
              <w:ind w:left="0" w:right="0" w:hanging="0"/>
              <w:jc w:val="center"/>
              <w:rPr/>
            </w:pPr>
            <w:r>
              <w:rPr/>
              <w:t> </w:t>
            </w:r>
          </w:p>
        </w:tc>
        <w:tc>
          <w:tcPr>
            <w:tcW w:w="16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LNSR</w:t>
            </w:r>
          </w:p>
        </w:tc>
        <w:tc>
          <w:tcPr>
            <w:tcW w:w="146" w:type="dxa"/>
            <w:tcBorders/>
            <w:vAlign w:val="center"/>
          </w:tcPr>
          <w:p>
            <w:pPr>
              <w:pStyle w:val="TableContents"/>
              <w:bidi w:val="0"/>
              <w:spacing w:before="0" w:after="0"/>
              <w:ind w:left="0" w:right="0" w:hanging="0"/>
              <w:jc w:val="center"/>
              <w:rPr/>
            </w:pPr>
            <w:r>
              <w:rPr/>
              <w:t> </w:t>
            </w:r>
          </w:p>
        </w:tc>
        <w:tc>
          <w:tcPr>
            <w:tcW w:w="38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Stock Market LLC</w:t>
            </w:r>
          </w:p>
        </w:tc>
      </w:tr>
    </w:tbl>
    <w:p>
      <w:pPr>
        <w:pStyle w:val="TextBody"/>
        <w:pBdr>
          <w:bottom w:val="single" w:sz="4" w:space="1" w:color="000000"/>
        </w:pBdr>
        <w:bidi w:val="0"/>
        <w:spacing w:before="0" w:after="0"/>
        <w:jc w:val="center"/>
        <w:rPr/>
      </w:pPr>
      <w:r>
        <w:rPr/>
        <w:t> </w:t>
      </w:r>
    </w:p>
    <w:p>
      <w:pPr>
        <w:pStyle w:val="TextBody"/>
        <w:bidi w:val="0"/>
        <w:spacing w:before="80" w:after="0"/>
        <w:jc w:val="both"/>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w:t>
      </w:r>
    </w:p>
    <w:p>
      <w:pPr>
        <w:pStyle w:val="TextBody"/>
        <w:bidi w:val="0"/>
        <w:spacing w:before="80" w:after="0"/>
        <w:jc w:val="both"/>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3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3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20"/>
        </w:rPr>
        <w:t>As of April 30, 2023, there were 11,102,611</w:t>
      </w:r>
      <w:r>
        <w:rPr>
          <w:rFonts w:ascii="Times New Roman" w:hAnsi="Times New Roman"/>
          <w:sz w:val="20"/>
        </w:rPr>
        <w:t xml:space="preserve"> </w:t>
      </w:r>
      <w:r>
        <w:rPr>
          <w:rFonts w:ascii="Times New Roman;serif" w:hAnsi="Times New Roman;serif"/>
          <w:b w:val="false"/>
          <w:sz w:val="20"/>
        </w:rPr>
        <w:t>shares of the registrant’s Common Stock outstanding.</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mallCaps/>
          <w:sz w:val="20"/>
        </w:rPr>
      </w:pPr>
      <w:r>
        <w:rPr>
          <w:rFonts w:ascii="Times New Roman;serif" w:hAnsi="Times New Roman;serif"/>
          <w:b/>
          <w:smallCaps/>
          <w:sz w:val="20"/>
        </w:rPr>
        <w:t>Table of Contents</w:t>
      </w:r>
    </w:p>
    <w:p>
      <w:pPr>
        <w:pStyle w:val="TextBody"/>
        <w:bidi w:val="0"/>
        <w:spacing w:before="0" w:after="0"/>
        <w:jc w:val="both"/>
        <w:rPr/>
      </w:pPr>
      <w:r>
        <w:rPr/>
        <w:t> </w:t>
      </w:r>
    </w:p>
    <w:tbl>
      <w:tblPr>
        <w:tblW w:w="8718" w:type="dxa"/>
        <w:jc w:val="left"/>
        <w:tblInd w:w="0" w:type="dxa"/>
        <w:tblLayout w:type="fixed"/>
        <w:tblCellMar>
          <w:top w:w="28" w:type="dxa"/>
          <w:left w:w="28" w:type="dxa"/>
          <w:bottom w:w="28" w:type="dxa"/>
          <w:right w:w="28" w:type="dxa"/>
        </w:tblCellMar>
      </w:tblPr>
      <w:tblGrid>
        <w:gridCol w:w="811"/>
        <w:gridCol w:w="7366"/>
        <w:gridCol w:w="541"/>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17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Page</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hyperlink w:anchor="forward_looking_statements">
              <w:r>
                <w:rPr>
                  <w:rStyle w:val="InternetLink"/>
                  <w:rFonts w:ascii="Times New Roman;serif" w:hAnsi="Times New Roman;serif"/>
                  <w:b w:val="false"/>
                  <w:sz w:val="20"/>
                  <w:u w:val="single"/>
                </w:rPr>
                <w:t>Forward-Looking Statements</w:t>
              </w:r>
            </w:hyperlink>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iii</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hyperlink w:anchor="risk_factor_summary">
              <w:r>
                <w:rPr>
                  <w:rStyle w:val="InternetLink"/>
                  <w:rFonts w:ascii="Times New Roman;serif" w:hAnsi="Times New Roman;serif"/>
                  <w:b w:val="false"/>
                  <w:sz w:val="20"/>
                  <w:u w:val="single"/>
                </w:rPr>
                <w:t>Risk Factor Summary</w:t>
              </w:r>
            </w:hyperlink>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v</w:t>
            </w:r>
          </w:p>
        </w:tc>
      </w:tr>
      <w:tr>
        <w:trPr/>
        <w:tc>
          <w:tcPr>
            <w:tcW w:w="817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sz w:val="20"/>
                  <w:u w:val="single"/>
                </w:rPr>
                <w:t>PART I – FINANCIAL INFORMATION</w:t>
              </w:r>
            </w:hyperlink>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Item 1.</w:t>
              </w:r>
            </w:hyperlink>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atements_operations">
              <w:r>
                <w:rPr>
                  <w:rStyle w:val="InternetLink"/>
                  <w:rFonts w:ascii="Times New Roman;serif" w:hAnsi="Times New Roman;serif"/>
                  <w:b w:val="false"/>
                  <w:sz w:val="20"/>
                  <w:u w:val="single"/>
                </w:rPr>
                <w:t>Condensed Statements of Operations (Unaudited)</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balance_sheets">
              <w:r>
                <w:rPr>
                  <w:rStyle w:val="InternetLink"/>
                  <w:rFonts w:ascii="Times New Roman;serif" w:hAnsi="Times New Roman;serif"/>
                  <w:b w:val="false"/>
                  <w:sz w:val="20"/>
                  <w:u w:val="single"/>
                </w:rPr>
                <w:t>Condensed Balance Sheets (Unaudited)</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atements_cash_flows">
              <w:r>
                <w:rPr>
                  <w:rStyle w:val="InternetLink"/>
                  <w:rFonts w:ascii="Times New Roman;serif" w:hAnsi="Times New Roman;serif"/>
                  <w:b w:val="false"/>
                  <w:sz w:val="20"/>
                  <w:u w:val="single"/>
                </w:rPr>
                <w:t>Condensed Statements of Cash Flows (Unaudited)</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changes_in_stockhol">
              <w:r>
                <w:rPr>
                  <w:rStyle w:val="InternetLink"/>
                  <w:rFonts w:ascii="Times New Roman;serif" w:hAnsi="Times New Roman;serif"/>
                  <w:b w:val="false"/>
                  <w:sz w:val="20"/>
                  <w:u w:val="single"/>
                </w:rPr>
                <w:t>Condensed Statements of Changes in Stockholders’ Equity (Unaudited)</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_1_overview_basis_presentation">
              <w:r>
                <w:rPr>
                  <w:rStyle w:val="InternetLink"/>
                  <w:rFonts w:ascii="Times New Roman;serif" w:hAnsi="Times New Roman;serif"/>
                  <w:b w:val="false"/>
                  <w:sz w:val="20"/>
                  <w:u w:val="single"/>
                </w:rPr>
                <w:t>Notes to the Condensed 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Item 2.</w:t>
              </w:r>
            </w:hyperlink>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Item 3.</w:t>
              </w:r>
            </w:hyperlink>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Item 4.</w:t>
              </w:r>
            </w:hyperlink>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817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sz w:val="20"/>
                  <w:u w:val="single"/>
                </w:rPr>
                <w:t>PART II – OTHER INFORMATION</w:t>
              </w:r>
            </w:hyperlink>
          </w:p>
        </w:tc>
        <w:tc>
          <w:tcPr>
            <w:tcW w:w="5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Item 1.</w:t>
              </w:r>
            </w:hyperlink>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Item 1A.</w:t>
              </w:r>
            </w:hyperlink>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Item 2.</w:t>
              </w:r>
            </w:hyperlink>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Item 3.</w:t>
              </w:r>
            </w:hyperlink>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Item 4.</w:t>
              </w:r>
            </w:hyperlink>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Item 5.</w:t>
              </w:r>
            </w:hyperlink>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Item 6.</w:t>
              </w:r>
            </w:hyperlink>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r>
      <w:tr>
        <w:trPr/>
        <w:tc>
          <w:tcPr>
            <w:tcW w:w="817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r>
    </w:tbl>
    <w:p>
      <w:pPr>
        <w:pStyle w:val="TextBody"/>
        <w:bidi w:val="0"/>
        <w:spacing w:before="0" w:after="16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forward_looking_statements"/>
      <w:bookmarkEnd w:id="2"/>
      <w:r>
        <w:rPr>
          <w:rFonts w:ascii="Times New Roman;serif" w:hAnsi="Times New Roman;serif"/>
          <w:b/>
          <w:sz w:val="20"/>
        </w:rPr>
        <w:t>FORWARD-LOOKING STATEMENTS</w:t>
      </w:r>
    </w:p>
    <w:p>
      <w:pPr>
        <w:pStyle w:val="TextBody"/>
        <w:bidi w:val="0"/>
        <w:spacing w:before="200" w:after="0"/>
        <w:jc w:val="both"/>
        <w:rPr>
          <w:rFonts w:ascii="Times New Roman" w:hAnsi="Times New Roman"/>
          <w:sz w:val="20"/>
        </w:rPr>
      </w:pPr>
      <w:r>
        <w:rPr>
          <w:rFonts w:ascii="Times New Roman;serif" w:hAnsi="Times New Roman;serif"/>
          <w:b w:val="false"/>
          <w:sz w:val="20"/>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business model and strategic plans for our products, technologies and business, including our implementation thereof; the impact on our business, financial condition and results of operation from the global COVID-19 pandemic and related macroeconomic conditions; the timing of and our ability to obtain and maintain regulatory approvals and certifications; our expectations about our ability to successfully develop and commercialize our next generation system, the ALLY</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Adaptive Cataract Treatment System (“ALLY System”), and the timing thereof; the sufficiency of our cash and cash equivalents;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in this Quarterly Report. These risks and uncertainties include, but are not limited to:</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history of operating losses and ability to achieve or sustain profitability;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develop, receive and maintain regulatory clearance or certification of and successfully commercialize the ALLY System and to maintain our LENSAR Laser System;</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impact to our business, financial condition, results of operations and our suppliers and distributors as a result of the COVID-19 pandemic and global macroeconomic conditions;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willingness of patients to pay the price difference for our products compared to a standard cataract procedure covered by Medicare or other insurance;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grow our U.S. sales and marketing organization or maintain or grow an effective network of international distributors;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future capital needs and our ability to raise additional funds on acceptable terms, or at all;</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impact to our business, financial condition and results of operations as a result of a material disruption to the supply or manufacture of our systems or necessary component parts for such system or material inflationary pressures affecting pricing of component parts;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compete against competitors that have longer operating histories, more established products and greater resources than we do;</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address the numerous risks associated with marketing, selling and leasing our products in markets outside the United States;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impact to our business, financial condition and results of operations as a result of exposure to the credit risk of our customers;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accurately forecast customer demand and our inventory levels;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impact to our business, financial condition and results of operations if we are unable to secure adequate coverage or reimbursement by government or other third-party payors for procedures using our ALLY System or our other future products, or changes in such coverage or reimbursement;</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the impact to our business, financial condition and results of operations of product liability suits brought against us;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risks related to government regulation applicable to our products and operations;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risks related to our intellectual property and other intellectual property matters.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Moreover, we operate in an evolving environment. New risk factors and uncertainties may emerge from time to time, and it is not possible for management to predict all risk factors and uncertainties.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pStyle w:val="TextBody"/>
        <w:bidi w:val="0"/>
        <w:spacing w:before="240" w:after="0"/>
        <w:jc w:val="both"/>
        <w:rPr>
          <w:rFonts w:ascii="Times New Roman" w:hAnsi="Times New Roman"/>
          <w:sz w:val="20"/>
        </w:rPr>
      </w:pPr>
      <w:r>
        <w:rPr>
          <w:rFonts w:ascii="Times New Roman;serif" w:hAnsi="Times New Roman;serif"/>
          <w:b w:val="false"/>
          <w:sz w:val="20"/>
        </w:rPr>
        <w:t>Unless otherwise stated or the context requires otherwise, references to “LENSAR,” the “Company,” “we,” “us,” and “our,” refer to LENSAR, Inc.</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own or have rights to certain trademarks, trade names, copyrights and other intellectual property used in our business, including LENSAR, the LENSAR logo, LENSAR Cataract Laser with Augmented Reality logo, Streamline, IntelliAxis, IntelliAxis Refractive Capsulorhexis, and ALLY Adaptive Cataract Treatment System, each of which is considered a trademark. All other company names, product names, trade names and trademarks included in this Quarterly Report are trademarks, registered trademarks or trade names of their respective owners.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iv</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3" w:name="risk_factor_summary"/>
      <w:bookmarkEnd w:id="3"/>
      <w:r>
        <w:rPr>
          <w:rFonts w:ascii="Times New Roman;serif" w:hAnsi="Times New Roman;serif"/>
          <w:b/>
          <w:sz w:val="20"/>
        </w:rPr>
        <w:t>RISK FACTOR SUMMARY</w:t>
      </w:r>
    </w:p>
    <w:p>
      <w:pPr>
        <w:pStyle w:val="TextBody"/>
        <w:bidi w:val="0"/>
        <w:spacing w:before="200" w:after="0"/>
        <w:jc w:val="both"/>
        <w:rPr>
          <w:rFonts w:ascii="Times New Roman" w:hAnsi="Times New Roman"/>
          <w:sz w:val="20"/>
        </w:rPr>
      </w:pPr>
      <w:r>
        <w:rPr>
          <w:rFonts w:ascii="Times New Roman;serif" w:hAnsi="Times New Roman;serif"/>
          <w:b w:val="false"/>
          <w:sz w:val="20"/>
        </w:rPr>
        <w:t>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w:t>
      </w:r>
      <w:r>
        <w:rPr>
          <w:rFonts w:ascii="Times New Roman" w:hAnsi="Times New Roman"/>
          <w:sz w:val="20"/>
        </w:rPr>
        <w:t xml:space="preserve"> </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expect to incur operating losses for the near-term future and we cannot assure you that we will be able to generate sufficient revenue to achieve or sustain profitability.</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have historically derived our revenue from the sale or lease of our LENSAR Laser and ALLY Systems as well as the associated procedure licenses and sale of consumables used in each procedure involving our systems. The future commercial success of our ALLY System will depend upon receipt of additional regulatory clearances or certifications and our ability to maintain and grow significant market acceptance for it.</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growth depends on our ability to gain regulatory clearances and certifications, as well as our ability to meet production goals for our ALLY System.</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Global health developments and economic uncertainty resulting from COVID-19 have adversely impacted, and may continue to adversely impact, our business, results of operations, cash flows and financial position.</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If we are not able to effectively grow our U.S. sales and marketing organization or maintain or grow an effective network of international distributors, our business prospects, results of operations and financial condition could be adversely affected.</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future capital needs are uncertain and we may need to raise additional funds in the future, and such funds may not be available on acceptable terms or at all.</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results have been in the past, and could be in the future, adversely affected by economic uncertainty or deteriorations in economic conditions.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currently compete, and expect to compete in the future against other companies, some of which have longer operating histories, more established products or greater resources than we do.</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To successfully market, sell and lease our products in markets outside of the United States, we must address many international business risks with which we have limited experience.</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products and operations are subject to extensive government regulation and oversight both in the United States and abroad, and our failure to comply with applicable requirements could harm our business.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may not receive, or may be delayed in receiving, the necessary clearances, certifications or approvals for our future products, or modifications to our current products, and failure to timely obtain necessary clearances, certifications or approvals for our ALLY System and future products or modifications to our current products would adversely affect our ability to grow our business.</w:t>
      </w:r>
    </w:p>
    <w:p>
      <w:pPr>
        <w:pStyle w:val="TextBody"/>
        <w:bidi w:val="0"/>
        <w:spacing w:before="200" w:after="160"/>
        <w:jc w:val="both"/>
        <w:rPr/>
      </w:pPr>
      <w:r>
        <w:rPr/>
        <w:t>•</w:t>
      </w:r>
    </w:p>
    <w:p>
      <w:pPr>
        <w:pStyle w:val="TextBody"/>
        <w:bidi w:val="0"/>
        <w:spacing w:before="200" w:after="160"/>
        <w:jc w:val="both"/>
        <w:rPr>
          <w:rFonts w:ascii="Times New Roman;serif" w:hAnsi="Times New Roman;serif"/>
          <w:b w:val="false"/>
          <w:sz w:val="20"/>
        </w:rPr>
      </w:pPr>
      <w:r>
        <w:rPr>
          <w:rFonts w:ascii="Times New Roman;serif" w:hAnsi="Times New Roman;serif"/>
          <w:b w:val="false"/>
          <w:sz w:val="20"/>
        </w:rPr>
        <w:t>Our success will depend on our ability to obtain, maintain and protect our intellectual property rights.</w:t>
      </w:r>
    </w:p>
    <w:p>
      <w:pPr>
        <w:pStyle w:val="TextBody"/>
        <w:bidi w:val="0"/>
        <w:spacing w:before="240" w:after="16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v</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4" w:name="part_i_financial_information"/>
      <w:bookmarkEnd w:id="4"/>
      <w:r>
        <w:rPr>
          <w:rFonts w:ascii="Times New Roman;serif" w:hAnsi="Times New Roman;serif"/>
          <w:b/>
          <w:sz w:val="20"/>
        </w:rPr>
        <w:t>PART I – FINANCIAL INFORMATION</w:t>
      </w:r>
    </w:p>
    <w:p>
      <w:pPr>
        <w:pStyle w:val="TextBody"/>
        <w:bidi w:val="0"/>
        <w:spacing w:before="360" w:after="0"/>
        <w:jc w:val="left"/>
        <w:rPr>
          <w:rFonts w:ascii="Times New Roman;serif" w:hAnsi="Times New Roman;serif"/>
          <w:b/>
          <w:sz w:val="20"/>
        </w:rPr>
      </w:pPr>
      <w:bookmarkStart w:id="5" w:name="item_1_financial_statements"/>
      <w:bookmarkEnd w:id="5"/>
      <w:r>
        <w:rPr>
          <w:rFonts w:ascii="Times New Roman;serif" w:hAnsi="Times New Roman;serif"/>
          <w:b/>
          <w:sz w:val="20"/>
        </w:rPr>
        <w:t>Item 1. Financial Statements.</w:t>
      </w:r>
    </w:p>
    <w:p>
      <w:pPr>
        <w:pStyle w:val="TextBody"/>
        <w:bidi w:val="0"/>
        <w:spacing w:before="200" w:after="0"/>
        <w:jc w:val="center"/>
        <w:rPr>
          <w:rFonts w:ascii="Times New Roman;serif" w:hAnsi="Times New Roman;serif"/>
          <w:b/>
          <w:sz w:val="20"/>
        </w:rPr>
      </w:pPr>
      <w:r>
        <w:rPr>
          <w:rFonts w:ascii="Times New Roman;serif" w:hAnsi="Times New Roman;serif"/>
          <w:b/>
          <w:sz w:val="20"/>
        </w:rPr>
        <w:t>LENSAR, Inc.</w:t>
      </w:r>
    </w:p>
    <w:p>
      <w:pPr>
        <w:pStyle w:val="TextBody"/>
        <w:bidi w:val="0"/>
        <w:spacing w:before="0" w:after="0"/>
        <w:jc w:val="center"/>
        <w:rPr>
          <w:rFonts w:ascii="Times New Roman" w:hAnsi="Times New Roman"/>
          <w:sz w:val="20"/>
        </w:rPr>
      </w:pPr>
      <w:bookmarkStart w:id="6" w:name="statements_operations"/>
      <w:bookmarkEnd w:id="6"/>
      <w:r>
        <w:rPr>
          <w:rFonts w:ascii="Times New Roman;serif" w:hAnsi="Times New Roman;serif"/>
          <w:b/>
          <w:sz w:val="20"/>
        </w:rPr>
        <w:t>CONDENSED STATEMENTS OF</w:t>
      </w:r>
      <w:r>
        <w:rPr>
          <w:rFonts w:ascii="Times New Roman" w:hAnsi="Times New Roman"/>
          <w:sz w:val="20"/>
        </w:rPr>
        <w:t xml:space="preserve"> </w:t>
      </w:r>
      <w:r>
        <w:rPr>
          <w:rFonts w:ascii="Times New Roman;serif" w:hAnsi="Times New Roman;serif"/>
          <w:b/>
          <w:sz w:val="20"/>
        </w:rPr>
        <w:t>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bidi w:val="0"/>
        <w:spacing w:before="0" w:after="0"/>
        <w:jc w:val="both"/>
        <w:rPr/>
      </w:pPr>
      <w:r>
        <w:rPr/>
        <w:t> </w:t>
      </w:r>
    </w:p>
    <w:tbl>
      <w:tblPr>
        <w:tblW w:w="8614" w:type="dxa"/>
        <w:jc w:val="left"/>
        <w:tblInd w:w="0" w:type="dxa"/>
        <w:tblLayout w:type="fixed"/>
        <w:tblCellMar>
          <w:top w:w="28" w:type="dxa"/>
          <w:left w:w="28" w:type="dxa"/>
          <w:bottom w:w="28" w:type="dxa"/>
          <w:right w:w="28" w:type="dxa"/>
        </w:tblCellMar>
      </w:tblPr>
      <w:tblGrid>
        <w:gridCol w:w="6001"/>
        <w:gridCol w:w="146"/>
        <w:gridCol w:w="196"/>
        <w:gridCol w:w="601"/>
        <w:gridCol w:w="166"/>
        <w:gridCol w:w="146"/>
        <w:gridCol w:w="196"/>
        <w:gridCol w:w="571"/>
        <w:gridCol w:w="5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Revenue</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0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Product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6,969</w:t>
            </w:r>
          </w:p>
        </w:tc>
        <w:tc>
          <w:tcPr>
            <w:tcW w:w="591" w:type="dxa"/>
            <w:tcBorders/>
            <w:vAlign w:val="center"/>
          </w:tcPr>
          <w:p>
            <w:pPr>
              <w:pStyle w:val="TableContents"/>
              <w:bidi w:val="0"/>
              <w:spacing w:before="0" w:after="0"/>
              <w:ind w:left="0" w:right="0" w:firstLine="200"/>
              <w:jc w:val="left"/>
              <w:rPr/>
            </w:pPr>
            <w:r>
              <w:rPr/>
              <w:t> </w:t>
            </w:r>
          </w:p>
        </w:tc>
      </w:tr>
      <w:tr>
        <w:trPr/>
        <w:tc>
          <w:tcPr>
            <w:tcW w:w="60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Lease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1,399</w:t>
            </w:r>
          </w:p>
        </w:tc>
        <w:tc>
          <w:tcPr>
            <w:tcW w:w="591" w:type="dxa"/>
            <w:tcBorders/>
            <w:vAlign w:val="center"/>
          </w:tcPr>
          <w:p>
            <w:pPr>
              <w:pStyle w:val="TableContents"/>
              <w:bidi w:val="0"/>
              <w:spacing w:before="0" w:after="0"/>
              <w:ind w:left="0" w:right="0" w:firstLine="200"/>
              <w:jc w:val="left"/>
              <w:rPr/>
            </w:pPr>
            <w:r>
              <w:rPr/>
              <w:t> </w:t>
            </w:r>
          </w:p>
        </w:tc>
      </w:tr>
      <w:tr>
        <w:trPr/>
        <w:tc>
          <w:tcPr>
            <w:tcW w:w="60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Service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00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revenue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9,340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Cost of revenue (exclusive of amortization)</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0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Product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2,694</w:t>
            </w:r>
          </w:p>
        </w:tc>
        <w:tc>
          <w:tcPr>
            <w:tcW w:w="591" w:type="dxa"/>
            <w:tcBorders/>
            <w:vAlign w:val="center"/>
          </w:tcPr>
          <w:p>
            <w:pPr>
              <w:pStyle w:val="TableContents"/>
              <w:bidi w:val="0"/>
              <w:spacing w:before="0" w:after="0"/>
              <w:ind w:left="0" w:right="0" w:firstLine="200"/>
              <w:jc w:val="left"/>
              <w:rPr/>
            </w:pPr>
            <w:r>
              <w:rPr/>
              <w:t> </w:t>
            </w:r>
          </w:p>
        </w:tc>
      </w:tr>
      <w:tr>
        <w:trPr/>
        <w:tc>
          <w:tcPr>
            <w:tcW w:w="60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Lease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474</w:t>
            </w:r>
          </w:p>
        </w:tc>
        <w:tc>
          <w:tcPr>
            <w:tcW w:w="591" w:type="dxa"/>
            <w:tcBorders/>
            <w:vAlign w:val="center"/>
          </w:tcPr>
          <w:p>
            <w:pPr>
              <w:pStyle w:val="TableContents"/>
              <w:bidi w:val="0"/>
              <w:spacing w:before="0" w:after="0"/>
              <w:ind w:left="0" w:right="0" w:firstLine="200"/>
              <w:jc w:val="left"/>
              <w:rPr/>
            </w:pPr>
            <w:r>
              <w:rPr/>
              <w:t> </w:t>
            </w:r>
          </w:p>
        </w:tc>
      </w:tr>
      <w:tr>
        <w:trPr/>
        <w:tc>
          <w:tcPr>
            <w:tcW w:w="60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Service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1,480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00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cost of revenue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4,648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Operating expenses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0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6,278</w:t>
            </w:r>
          </w:p>
        </w:tc>
        <w:tc>
          <w:tcPr>
            <w:tcW w:w="591" w:type="dxa"/>
            <w:tcBorders/>
            <w:vAlign w:val="center"/>
          </w:tcPr>
          <w:p>
            <w:pPr>
              <w:pStyle w:val="TableContents"/>
              <w:bidi w:val="0"/>
              <w:spacing w:before="0" w:after="0"/>
              <w:ind w:left="0" w:right="0" w:firstLine="200"/>
              <w:jc w:val="left"/>
              <w:rPr/>
            </w:pPr>
            <w:r>
              <w:rPr/>
              <w:t> </w:t>
            </w:r>
          </w:p>
        </w:tc>
      </w:tr>
      <w:tr>
        <w:trPr/>
        <w:tc>
          <w:tcPr>
            <w:tcW w:w="60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4,788</w:t>
            </w:r>
          </w:p>
        </w:tc>
        <w:tc>
          <w:tcPr>
            <w:tcW w:w="591" w:type="dxa"/>
            <w:tcBorders/>
            <w:vAlign w:val="center"/>
          </w:tcPr>
          <w:p>
            <w:pPr>
              <w:pStyle w:val="TableContents"/>
              <w:bidi w:val="0"/>
              <w:spacing w:before="0" w:after="0"/>
              <w:ind w:left="0" w:right="0" w:firstLine="200"/>
              <w:jc w:val="left"/>
              <w:rPr/>
            </w:pPr>
            <w:r>
              <w:rPr/>
              <w:t> </w:t>
            </w:r>
          </w:p>
        </w:tc>
      </w:tr>
      <w:tr>
        <w:trPr/>
        <w:tc>
          <w:tcPr>
            <w:tcW w:w="60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Amortization of intangible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Operating loss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(6,683</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Other income</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income, net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Net loss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(6,674</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Net loss per share:</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Basic and diluted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(0.67</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Weighted-average number of shares used in calculation of net loss per share:</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Basic and diluted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9,967</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LENSAR, Inc.</w:t>
      </w:r>
    </w:p>
    <w:p>
      <w:pPr>
        <w:pStyle w:val="TextBody"/>
        <w:bidi w:val="0"/>
        <w:spacing w:before="0" w:after="0"/>
        <w:jc w:val="center"/>
        <w:rPr>
          <w:rFonts w:ascii="Times New Roman" w:hAnsi="Times New Roman"/>
          <w:sz w:val="20"/>
        </w:rPr>
      </w:pPr>
      <w:bookmarkStart w:id="7" w:name="balance_sheets"/>
      <w:bookmarkEnd w:id="7"/>
      <w:r>
        <w:rPr>
          <w:rFonts w:ascii="Times New Roman;serif" w:hAnsi="Times New Roman;serif"/>
          <w:b/>
          <w:sz w:val="20"/>
        </w:rPr>
        <w:t>CONDENSED BALANCE</w:t>
      </w:r>
      <w:r>
        <w:rPr>
          <w:rFonts w:ascii="Times New Roman" w:hAnsi="Times New Roman"/>
          <w:sz w:val="20"/>
        </w:rPr>
        <w:t xml:space="preserve"> </w:t>
      </w:r>
      <w:r>
        <w:rPr>
          <w:rFonts w:ascii="Times New Roman;serif" w:hAnsi="Times New Roman;serif"/>
          <w:b/>
          <w:sz w:val="20"/>
        </w:rPr>
        <w:t>SHEETS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6864"/>
        <w:gridCol w:w="146"/>
        <w:gridCol w:w="224"/>
        <w:gridCol w:w="894"/>
        <w:gridCol w:w="166"/>
        <w:gridCol w:w="146"/>
        <w:gridCol w:w="245"/>
        <w:gridCol w:w="907"/>
        <w:gridCol w:w="613"/>
      </w:tblGrid>
      <w:tr>
        <w:trPr/>
        <w:tc>
          <w:tcPr>
            <w:tcW w:w="6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8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86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11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right"/>
              <w:rPr/>
            </w:pPr>
            <w:r>
              <w:rPr/>
              <w:t> </w:t>
            </w:r>
          </w:p>
        </w:tc>
      </w:tr>
      <w:tr>
        <w:trPr/>
        <w:tc>
          <w:tcPr>
            <w:tcW w:w="68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11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200"/>
              <w:jc w:val="right"/>
              <w:rPr/>
            </w:pPr>
            <w:r>
              <w:rPr/>
              <w:t> </w:t>
            </w:r>
          </w:p>
        </w:tc>
      </w:tr>
      <w:tr>
        <w:trPr/>
        <w:tc>
          <w:tcPr>
            <w:tcW w:w="68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14,674</w:t>
            </w:r>
          </w:p>
        </w:tc>
        <w:tc>
          <w:tcPr>
            <w:tcW w:w="613" w:type="dxa"/>
            <w:tcBorders/>
            <w:vAlign w:val="center"/>
          </w:tcPr>
          <w:p>
            <w:pPr>
              <w:pStyle w:val="TableContents"/>
              <w:bidi w:val="0"/>
              <w:spacing w:before="0" w:after="0"/>
              <w:ind w:left="0" w:right="0" w:firstLine="200"/>
              <w:jc w:val="left"/>
              <w:rPr/>
            </w:pPr>
            <w:r>
              <w:rPr/>
              <w:t> </w:t>
            </w:r>
          </w:p>
        </w:tc>
      </w:tr>
      <w:tr>
        <w:trPr/>
        <w:tc>
          <w:tcPr>
            <w:tcW w:w="6864"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Accounts receivable, net of allowance of $43</w:t>
            </w:r>
            <w:r>
              <w:rPr>
                <w:rFonts w:ascii="Times New Roman" w:hAnsi="Times New Roman"/>
                <w:sz w:val="20"/>
              </w:rPr>
              <w:t> </w:t>
            </w:r>
            <w:r>
              <w:rPr>
                <w:rFonts w:ascii="Times New Roman;serif" w:hAnsi="Times New Roman;serif"/>
                <w:b w:val="false"/>
                <w:sz w:val="20"/>
              </w:rPr>
              <w:t>and $56, respectively</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6,040</w:t>
            </w:r>
          </w:p>
        </w:tc>
        <w:tc>
          <w:tcPr>
            <w:tcW w:w="613" w:type="dxa"/>
            <w:tcBorders/>
            <w:vAlign w:val="center"/>
          </w:tcPr>
          <w:p>
            <w:pPr>
              <w:pStyle w:val="TableContents"/>
              <w:bidi w:val="0"/>
              <w:spacing w:before="0" w:after="0"/>
              <w:ind w:left="0" w:right="0" w:firstLine="200"/>
              <w:jc w:val="left"/>
              <w:rPr/>
            </w:pPr>
            <w:r>
              <w:rPr/>
              <w:t> </w:t>
            </w:r>
          </w:p>
        </w:tc>
      </w:tr>
      <w:tr>
        <w:trPr/>
        <w:tc>
          <w:tcPr>
            <w:tcW w:w="6864"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Notes receivable, net of allowance of $4</w:t>
            </w:r>
            <w:r>
              <w:rPr>
                <w:rFonts w:ascii="Times New Roman" w:hAnsi="Times New Roman"/>
                <w:sz w:val="20"/>
              </w:rPr>
              <w:t> </w:t>
            </w:r>
            <w:r>
              <w:rPr>
                <w:rFonts w:ascii="Times New Roman;serif" w:hAnsi="Times New Roman;serif"/>
                <w:b w:val="false"/>
                <w:sz w:val="20"/>
              </w:rPr>
              <w:t>and $4, respectively</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613" w:type="dxa"/>
            <w:tcBorders/>
            <w:vAlign w:val="center"/>
          </w:tcPr>
          <w:p>
            <w:pPr>
              <w:pStyle w:val="TableContents"/>
              <w:bidi w:val="0"/>
              <w:spacing w:before="0" w:after="0"/>
              <w:ind w:left="0" w:right="0" w:firstLine="200"/>
              <w:jc w:val="left"/>
              <w:rPr/>
            </w:pPr>
            <w:r>
              <w:rPr/>
              <w:t> </w:t>
            </w:r>
          </w:p>
        </w:tc>
      </w:tr>
      <w:tr>
        <w:trPr/>
        <w:tc>
          <w:tcPr>
            <w:tcW w:w="68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11,740</w:t>
            </w:r>
          </w:p>
        </w:tc>
        <w:tc>
          <w:tcPr>
            <w:tcW w:w="613" w:type="dxa"/>
            <w:tcBorders/>
            <w:vAlign w:val="center"/>
          </w:tcPr>
          <w:p>
            <w:pPr>
              <w:pStyle w:val="TableContents"/>
              <w:bidi w:val="0"/>
              <w:spacing w:before="0" w:after="0"/>
              <w:ind w:left="0" w:right="0" w:firstLine="200"/>
              <w:jc w:val="left"/>
              <w:rPr/>
            </w:pPr>
            <w:r>
              <w:rPr/>
              <w:t> </w:t>
            </w:r>
          </w:p>
        </w:tc>
      </w:tr>
      <w:tr>
        <w:trPr/>
        <w:tc>
          <w:tcPr>
            <w:tcW w:w="68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and other current assets</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1,062</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6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33,716</w:t>
            </w:r>
          </w:p>
        </w:tc>
        <w:tc>
          <w:tcPr>
            <w:tcW w:w="613" w:type="dxa"/>
            <w:tcBorders/>
            <w:vAlign w:val="center"/>
          </w:tcPr>
          <w:p>
            <w:pPr>
              <w:pStyle w:val="TableContents"/>
              <w:bidi w:val="0"/>
              <w:spacing w:before="0" w:after="0"/>
              <w:ind w:left="0" w:right="0" w:hanging="0"/>
              <w:jc w:val="left"/>
              <w:rPr/>
            </w:pPr>
            <w:r>
              <w:rPr/>
              <w:t> </w:t>
            </w:r>
          </w:p>
        </w:tc>
      </w:tr>
      <w:tr>
        <w:trPr/>
        <w:tc>
          <w:tcPr>
            <w:tcW w:w="68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w:t>
            </w:r>
          </w:p>
        </w:tc>
        <w:tc>
          <w:tcPr>
            <w:tcW w:w="613" w:type="dxa"/>
            <w:tcBorders/>
            <w:vAlign w:val="center"/>
          </w:tcPr>
          <w:p>
            <w:pPr>
              <w:pStyle w:val="TableContents"/>
              <w:bidi w:val="0"/>
              <w:spacing w:before="0" w:after="0"/>
              <w:ind w:left="0" w:right="0" w:hanging="0"/>
              <w:jc w:val="left"/>
              <w:rPr/>
            </w:pPr>
            <w:r>
              <w:rPr/>
              <w:t> </w:t>
            </w:r>
          </w:p>
        </w:tc>
      </w:tr>
      <w:tr>
        <w:trPr/>
        <w:tc>
          <w:tcPr>
            <w:tcW w:w="68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Equipment under lease, net</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6,316</w:t>
            </w:r>
          </w:p>
        </w:tc>
        <w:tc>
          <w:tcPr>
            <w:tcW w:w="613" w:type="dxa"/>
            <w:tcBorders/>
            <w:vAlign w:val="center"/>
          </w:tcPr>
          <w:p>
            <w:pPr>
              <w:pStyle w:val="TableContents"/>
              <w:bidi w:val="0"/>
              <w:spacing w:before="0" w:after="0"/>
              <w:ind w:left="0" w:right="0" w:hanging="0"/>
              <w:jc w:val="left"/>
              <w:rPr/>
            </w:pPr>
            <w:r>
              <w:rPr/>
              <w:t> </w:t>
            </w:r>
          </w:p>
        </w:tc>
      </w:tr>
      <w:tr>
        <w:trPr/>
        <w:tc>
          <w:tcPr>
            <w:tcW w:w="6864"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Notes and other receivables, long-term, net of allowance of $16</w:t>
            </w:r>
            <w:r>
              <w:rPr>
                <w:rFonts w:ascii="Times New Roman" w:hAnsi="Times New Roman"/>
                <w:sz w:val="20"/>
              </w:rPr>
              <w:t> </w:t>
            </w:r>
            <w:r>
              <w:rPr>
                <w:rFonts w:ascii="Times New Roman;serif" w:hAnsi="Times New Roman;serif"/>
                <w:b w:val="false"/>
                <w:sz w:val="20"/>
              </w:rPr>
              <w:t>and $9, respectively</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w:t>
            </w:r>
          </w:p>
        </w:tc>
        <w:tc>
          <w:tcPr>
            <w:tcW w:w="613" w:type="dxa"/>
            <w:tcBorders/>
            <w:vAlign w:val="center"/>
          </w:tcPr>
          <w:p>
            <w:pPr>
              <w:pStyle w:val="TableContents"/>
              <w:bidi w:val="0"/>
              <w:spacing w:before="0" w:after="0"/>
              <w:ind w:left="0" w:right="0" w:hanging="0"/>
              <w:jc w:val="left"/>
              <w:rPr/>
            </w:pPr>
            <w:r>
              <w:rPr/>
              <w:t> </w:t>
            </w:r>
          </w:p>
        </w:tc>
      </w:tr>
      <w:tr>
        <w:trPr/>
        <w:tc>
          <w:tcPr>
            <w:tcW w:w="68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12,122</w:t>
            </w:r>
          </w:p>
        </w:tc>
        <w:tc>
          <w:tcPr>
            <w:tcW w:w="613" w:type="dxa"/>
            <w:tcBorders/>
            <w:vAlign w:val="center"/>
          </w:tcPr>
          <w:p>
            <w:pPr>
              <w:pStyle w:val="TableContents"/>
              <w:bidi w:val="0"/>
              <w:spacing w:before="0" w:after="0"/>
              <w:ind w:left="0" w:right="0" w:hanging="0"/>
              <w:jc w:val="left"/>
              <w:rPr/>
            </w:pPr>
            <w:r>
              <w:rPr/>
              <w:t> </w:t>
            </w:r>
          </w:p>
        </w:tc>
      </w:tr>
      <w:tr>
        <w:trPr/>
        <w:tc>
          <w:tcPr>
            <w:tcW w:w="68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2,685</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6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55,844</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6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11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right"/>
              <w:rPr/>
            </w:pPr>
            <w:r>
              <w:rPr/>
              <w:t> </w:t>
            </w:r>
          </w:p>
        </w:tc>
      </w:tr>
      <w:tr>
        <w:trPr/>
        <w:tc>
          <w:tcPr>
            <w:tcW w:w="68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11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200"/>
              <w:jc w:val="right"/>
              <w:rPr/>
            </w:pPr>
            <w:r>
              <w:rPr/>
              <w:t> </w:t>
            </w:r>
          </w:p>
        </w:tc>
      </w:tr>
      <w:tr>
        <w:trPr/>
        <w:tc>
          <w:tcPr>
            <w:tcW w:w="68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5,422</w:t>
            </w:r>
          </w:p>
        </w:tc>
        <w:tc>
          <w:tcPr>
            <w:tcW w:w="613" w:type="dxa"/>
            <w:tcBorders/>
            <w:vAlign w:val="center"/>
          </w:tcPr>
          <w:p>
            <w:pPr>
              <w:pStyle w:val="TableContents"/>
              <w:bidi w:val="0"/>
              <w:spacing w:before="0" w:after="0"/>
              <w:ind w:left="0" w:right="0" w:firstLine="200"/>
              <w:jc w:val="left"/>
              <w:rPr/>
            </w:pPr>
            <w:r>
              <w:rPr/>
              <w:t> </w:t>
            </w:r>
          </w:p>
        </w:tc>
      </w:tr>
      <w:tr>
        <w:trPr/>
        <w:tc>
          <w:tcPr>
            <w:tcW w:w="68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4,700</w:t>
            </w:r>
          </w:p>
        </w:tc>
        <w:tc>
          <w:tcPr>
            <w:tcW w:w="613" w:type="dxa"/>
            <w:tcBorders/>
            <w:vAlign w:val="center"/>
          </w:tcPr>
          <w:p>
            <w:pPr>
              <w:pStyle w:val="TableContents"/>
              <w:bidi w:val="0"/>
              <w:spacing w:before="0" w:after="0"/>
              <w:ind w:left="0" w:right="0" w:firstLine="200"/>
              <w:jc w:val="left"/>
              <w:rPr/>
            </w:pPr>
            <w:r>
              <w:rPr/>
              <w:t> </w:t>
            </w:r>
          </w:p>
        </w:tc>
      </w:tr>
      <w:tr>
        <w:trPr/>
        <w:tc>
          <w:tcPr>
            <w:tcW w:w="68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613" w:type="dxa"/>
            <w:tcBorders/>
            <w:vAlign w:val="center"/>
          </w:tcPr>
          <w:p>
            <w:pPr>
              <w:pStyle w:val="TableContents"/>
              <w:bidi w:val="0"/>
              <w:spacing w:before="0" w:after="0"/>
              <w:ind w:left="0" w:right="0" w:firstLine="200"/>
              <w:jc w:val="left"/>
              <w:rPr/>
            </w:pPr>
            <w:r>
              <w:rPr/>
              <w:t> </w:t>
            </w:r>
          </w:p>
        </w:tc>
      </w:tr>
      <w:tr>
        <w:trPr/>
        <w:tc>
          <w:tcPr>
            <w:tcW w:w="68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6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11,421</w:t>
            </w:r>
          </w:p>
        </w:tc>
        <w:tc>
          <w:tcPr>
            <w:tcW w:w="613" w:type="dxa"/>
            <w:tcBorders/>
            <w:vAlign w:val="center"/>
          </w:tcPr>
          <w:p>
            <w:pPr>
              <w:pStyle w:val="TableContents"/>
              <w:bidi w:val="0"/>
              <w:spacing w:before="0" w:after="0"/>
              <w:ind w:left="0" w:right="0" w:hanging="0"/>
              <w:jc w:val="left"/>
              <w:rPr/>
            </w:pPr>
            <w:r>
              <w:rPr/>
              <w:t> </w:t>
            </w:r>
          </w:p>
        </w:tc>
      </w:tr>
      <w:tr>
        <w:trPr/>
        <w:tc>
          <w:tcPr>
            <w:tcW w:w="68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operating lease liabilities</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2,272</w:t>
            </w:r>
          </w:p>
        </w:tc>
        <w:tc>
          <w:tcPr>
            <w:tcW w:w="613" w:type="dxa"/>
            <w:tcBorders/>
            <w:vAlign w:val="center"/>
          </w:tcPr>
          <w:p>
            <w:pPr>
              <w:pStyle w:val="TableContents"/>
              <w:bidi w:val="0"/>
              <w:spacing w:before="0" w:after="0"/>
              <w:ind w:left="0" w:right="0" w:hanging="0"/>
              <w:jc w:val="left"/>
              <w:rPr/>
            </w:pPr>
            <w:r>
              <w:rPr/>
              <w:t> </w:t>
            </w:r>
          </w:p>
        </w:tc>
      </w:tr>
      <w:tr>
        <w:trPr/>
        <w:tc>
          <w:tcPr>
            <w:tcW w:w="68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13,860</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64"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Commitments and contingencies</w:t>
            </w:r>
            <w:r>
              <w:rPr>
                <w:rFonts w:ascii="Times New Roman" w:hAnsi="Times New Roman"/>
                <w:sz w:val="20"/>
              </w:rPr>
              <w:t> </w:t>
            </w:r>
            <w:r>
              <w:rPr>
                <w:rFonts w:ascii="Times New Roman;serif" w:hAnsi="Times New Roman;serif"/>
                <w:b w:val="false"/>
                <w:sz w:val="20"/>
              </w:rPr>
              <w:t>(Note 8)</w:t>
            </w:r>
          </w:p>
        </w:tc>
        <w:tc>
          <w:tcPr>
            <w:tcW w:w="146" w:type="dxa"/>
            <w:tcBorders/>
            <w:vAlign w:val="center"/>
          </w:tcPr>
          <w:p>
            <w:pPr>
              <w:pStyle w:val="TableContents"/>
              <w:bidi w:val="0"/>
              <w:spacing w:before="0" w:after="0"/>
              <w:ind w:left="0" w:right="0" w:hanging="0"/>
              <w:jc w:val="left"/>
              <w:rPr/>
            </w:pPr>
            <w:r>
              <w:rPr/>
              <w:t> </w:t>
            </w:r>
          </w:p>
        </w:tc>
        <w:tc>
          <w:tcPr>
            <w:tcW w:w="111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right"/>
              <w:rPr/>
            </w:pPr>
            <w:r>
              <w:rPr/>
              <w:t> </w:t>
            </w:r>
          </w:p>
        </w:tc>
      </w:tr>
      <w:tr>
        <w:trPr/>
        <w:tc>
          <w:tcPr>
            <w:tcW w:w="68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11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200"/>
              <w:jc w:val="right"/>
              <w:rPr/>
            </w:pPr>
            <w:r>
              <w:rPr/>
              <w:t> </w:t>
            </w:r>
          </w:p>
        </w:tc>
      </w:tr>
      <w:tr>
        <w:trPr/>
        <w:tc>
          <w:tcPr>
            <w:tcW w:w="6864"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par value $0.01</w:t>
            </w:r>
            <w:r>
              <w:rPr>
                <w:rFonts w:ascii="Times New Roman" w:hAnsi="Times New Roman"/>
                <w:sz w:val="20"/>
              </w:rPr>
              <w:t> </w:t>
            </w:r>
            <w:r>
              <w:rPr>
                <w:rFonts w:ascii="Times New Roman;serif" w:hAnsi="Times New Roman;serif"/>
                <w:b w:val="false"/>
                <w:sz w:val="20"/>
              </w:rPr>
              <w:t>per share, 10,000</w:t>
            </w:r>
            <w:r>
              <w:rPr>
                <w:rFonts w:ascii="Times New Roman" w:hAnsi="Times New Roman"/>
                <w:sz w:val="20"/>
              </w:rPr>
              <w:t> </w:t>
            </w:r>
            <w:r>
              <w:rPr>
                <w:rFonts w:ascii="Times New Roman;serif" w:hAnsi="Times New Roman;serif"/>
                <w:b w:val="false"/>
                <w:sz w:val="20"/>
              </w:rPr>
              <w:t>shares authorized at March 31, 2023 and December 31, 2022; no</w:t>
            </w:r>
            <w:r>
              <w:rPr>
                <w:rFonts w:ascii="Times New Roman" w:hAnsi="Times New Roman"/>
                <w:sz w:val="20"/>
              </w:rPr>
              <w:t> </w:t>
            </w:r>
            <w:r>
              <w:rPr>
                <w:rFonts w:ascii="Times New Roman;serif" w:hAnsi="Times New Roman;serif"/>
                <w:b w:val="false"/>
                <w:sz w:val="20"/>
              </w:rPr>
              <w:t>shares issued and outstanding at March 31, 2023 and December 31, 2022</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firstLine="200"/>
              <w:jc w:val="left"/>
              <w:rPr/>
            </w:pPr>
            <w:r>
              <w:rPr/>
              <w:t> </w:t>
            </w:r>
          </w:p>
        </w:tc>
      </w:tr>
      <w:tr>
        <w:trPr/>
        <w:tc>
          <w:tcPr>
            <w:tcW w:w="6864"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par value $0.01</w:t>
            </w:r>
            <w:r>
              <w:rPr>
                <w:rFonts w:ascii="Times New Roman" w:hAnsi="Times New Roman"/>
                <w:sz w:val="20"/>
              </w:rPr>
              <w:t> </w:t>
            </w:r>
            <w:r>
              <w:rPr>
                <w:rFonts w:ascii="Times New Roman;serif" w:hAnsi="Times New Roman;serif"/>
                <w:b w:val="false"/>
                <w:sz w:val="20"/>
              </w:rPr>
              <w:t>per share, 150,000</w:t>
            </w:r>
            <w:r>
              <w:rPr>
                <w:rFonts w:ascii="Times New Roman" w:hAnsi="Times New Roman"/>
                <w:sz w:val="20"/>
              </w:rPr>
              <w:t> </w:t>
            </w:r>
            <w:r>
              <w:rPr>
                <w:rFonts w:ascii="Times New Roman;serif" w:hAnsi="Times New Roman;serif"/>
                <w:b w:val="false"/>
                <w:sz w:val="20"/>
              </w:rPr>
              <w:t>shares authorized at March 31, 2023 and December 31, 2022; 11,103</w:t>
            </w:r>
            <w:r>
              <w:rPr>
                <w:rFonts w:ascii="Times New Roman" w:hAnsi="Times New Roman"/>
                <w:sz w:val="20"/>
              </w:rPr>
              <w:t> </w:t>
            </w:r>
            <w:r>
              <w:rPr>
                <w:rFonts w:ascii="Times New Roman;serif" w:hAnsi="Times New Roman;serif"/>
                <w:b w:val="false"/>
                <w:sz w:val="20"/>
              </w:rPr>
              <w:t>and 11,093</w:t>
            </w:r>
            <w:r>
              <w:rPr>
                <w:rFonts w:ascii="Times New Roman" w:hAnsi="Times New Roman"/>
                <w:sz w:val="20"/>
              </w:rPr>
              <w:t> </w:t>
            </w:r>
            <w:r>
              <w:rPr>
                <w:rFonts w:ascii="Times New Roman;serif" w:hAnsi="Times New Roman;serif"/>
                <w:b w:val="false"/>
                <w:sz w:val="20"/>
              </w:rPr>
              <w:t>shares issued and outstanding at March 31,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613" w:type="dxa"/>
            <w:tcBorders/>
            <w:vAlign w:val="center"/>
          </w:tcPr>
          <w:p>
            <w:pPr>
              <w:pStyle w:val="TableContents"/>
              <w:bidi w:val="0"/>
              <w:spacing w:before="0" w:after="0"/>
              <w:ind w:left="0" w:right="0" w:firstLine="200"/>
              <w:jc w:val="left"/>
              <w:rPr/>
            </w:pPr>
            <w:r>
              <w:rPr/>
              <w:t> </w:t>
            </w:r>
          </w:p>
        </w:tc>
      </w:tr>
      <w:tr>
        <w:trPr/>
        <w:tc>
          <w:tcPr>
            <w:tcW w:w="68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141,107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139,381</w:t>
            </w:r>
          </w:p>
        </w:tc>
        <w:tc>
          <w:tcPr>
            <w:tcW w:w="613" w:type="dxa"/>
            <w:tcBorders/>
            <w:vAlign w:val="center"/>
          </w:tcPr>
          <w:p>
            <w:pPr>
              <w:pStyle w:val="TableContents"/>
              <w:bidi w:val="0"/>
              <w:spacing w:before="0" w:after="0"/>
              <w:ind w:left="0" w:right="0" w:firstLine="200"/>
              <w:jc w:val="left"/>
              <w:rPr/>
            </w:pPr>
            <w:r>
              <w:rPr/>
              <w:t> </w:t>
            </w:r>
          </w:p>
        </w:tc>
      </w:tr>
      <w:tr>
        <w:trPr/>
        <w:tc>
          <w:tcPr>
            <w:tcW w:w="68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(101,780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(97,508</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6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41,984</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55,844</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LENSAR, Inc.</w:t>
      </w:r>
    </w:p>
    <w:p>
      <w:pPr>
        <w:pStyle w:val="TextBody"/>
        <w:bidi w:val="0"/>
        <w:spacing w:before="0" w:after="0"/>
        <w:jc w:val="center"/>
        <w:rPr>
          <w:rFonts w:ascii="Times New Roman" w:hAnsi="Times New Roman"/>
          <w:sz w:val="20"/>
        </w:rPr>
      </w:pPr>
      <w:bookmarkStart w:id="8" w:name="statements_cash_flows"/>
      <w:bookmarkEnd w:id="8"/>
      <w:r>
        <w:rPr>
          <w:rFonts w:ascii="Times New Roman;serif" w:hAnsi="Times New Roman;serif"/>
          <w:b/>
          <w:sz w:val="20"/>
        </w:rPr>
        <w:t>CONDENSED STATEMENTS OF</w:t>
      </w:r>
      <w:r>
        <w:rPr>
          <w:rFonts w:ascii="Times New Roman" w:hAnsi="Times New Roman"/>
          <w:sz w:val="20"/>
        </w:rPr>
        <w:t xml:space="preserve"> </w:t>
      </w:r>
      <w:r>
        <w:rPr>
          <w:rFonts w:ascii="Times New Roman;serif" w:hAnsi="Times New Roman;serif"/>
          <w:b/>
          <w:sz w:val="20"/>
        </w:rPr>
        <w:t>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both"/>
        <w:rPr/>
      </w:pPr>
      <w:r>
        <w:rPr/>
        <w:t> </w:t>
      </w:r>
    </w:p>
    <w:tbl>
      <w:tblPr>
        <w:tblW w:w="8874" w:type="dxa"/>
        <w:jc w:val="left"/>
        <w:tblInd w:w="0" w:type="dxa"/>
        <w:tblLayout w:type="fixed"/>
        <w:tblCellMar>
          <w:top w:w="28" w:type="dxa"/>
          <w:left w:w="28" w:type="dxa"/>
          <w:bottom w:w="28" w:type="dxa"/>
          <w:right w:w="28" w:type="dxa"/>
        </w:tblCellMar>
      </w:tblPr>
      <w:tblGrid>
        <w:gridCol w:w="6031"/>
        <w:gridCol w:w="146"/>
        <w:gridCol w:w="211"/>
        <w:gridCol w:w="676"/>
        <w:gridCol w:w="166"/>
        <w:gridCol w:w="146"/>
        <w:gridCol w:w="211"/>
        <w:gridCol w:w="676"/>
        <w:gridCol w:w="6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611" w:type="dxa"/>
            <w:tcBorders/>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(6,674</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intangible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Non-cash operating lease cost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 for expected credit losses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1,607</w:t>
            </w:r>
          </w:p>
        </w:tc>
        <w:tc>
          <w:tcPr>
            <w:tcW w:w="611" w:type="dxa"/>
            <w:tcBorders/>
            <w:vAlign w:val="center"/>
          </w:tcPr>
          <w:p>
            <w:pPr>
              <w:pStyle w:val="TableContents"/>
              <w:bidi w:val="0"/>
              <w:spacing w:before="0" w:after="0"/>
              <w:ind w:left="0" w:right="0" w:firstLine="200"/>
              <w:jc w:val="lef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1,116</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(1,198</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(2,653</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beginning of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31,637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end of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28,984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LENSAR, Inc.</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STATEMENTS OF CASH FLOWS, continued</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left"/>
        <w:rPr/>
      </w:pPr>
      <w:r>
        <w:rPr/>
        <w:t> </w:t>
      </w:r>
    </w:p>
    <w:tbl>
      <w:tblPr>
        <w:tblW w:w="8089" w:type="dxa"/>
        <w:jc w:val="left"/>
        <w:tblInd w:w="0" w:type="dxa"/>
        <w:tblLayout w:type="fixed"/>
        <w:tblCellMar>
          <w:top w:w="28" w:type="dxa"/>
          <w:left w:w="28" w:type="dxa"/>
          <w:bottom w:w="28" w:type="dxa"/>
          <w:right w:w="28" w:type="dxa"/>
        </w:tblCellMar>
      </w:tblPr>
      <w:tblGrid>
        <w:gridCol w:w="5866"/>
        <w:gridCol w:w="146"/>
        <w:gridCol w:w="211"/>
        <w:gridCol w:w="481"/>
        <w:gridCol w:w="166"/>
        <w:gridCol w:w="146"/>
        <w:gridCol w:w="211"/>
        <w:gridCol w:w="571"/>
        <w:gridCol w:w="2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cash flow information</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58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586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schedule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58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Transfer from Inventories to Equipment under lease,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w:t>
            </w:r>
          </w:p>
        </w:tc>
        <w:tc>
          <w:tcPr>
            <w:tcW w:w="291" w:type="dxa"/>
            <w:tcBorders/>
            <w:vAlign w:val="center"/>
          </w:tcPr>
          <w:p>
            <w:pPr>
              <w:pStyle w:val="TableContents"/>
              <w:bidi w:val="0"/>
              <w:spacing w:before="0" w:after="0"/>
              <w:ind w:left="0" w:right="0" w:firstLine="100"/>
              <w:jc w:val="left"/>
              <w:rPr/>
            </w:pPr>
            <w:r>
              <w:rPr/>
              <w:t> </w:t>
            </w:r>
          </w:p>
        </w:tc>
      </w:tr>
      <w:tr>
        <w:trPr/>
        <w:tc>
          <w:tcPr>
            <w:tcW w:w="58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Transfer from (to) Inventories to (from) 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w:t>
      </w:r>
      <w:r>
        <w:rPr>
          <w:rFonts w:ascii="Times New Roman" w:hAnsi="Times New Roman"/>
          <w:sz w:val="20"/>
        </w:rPr>
        <w:t xml:space="preserve"> </w:t>
      </w:r>
      <w:r>
        <w:rPr>
          <w:rFonts w:ascii="Times New Roman;serif" w:hAnsi="Times New Roman;serif"/>
          <w:b w:val="false"/>
          <w:sz w:val="20"/>
        </w:rPr>
        <w:t>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LENSAR, Inc.</w:t>
      </w:r>
    </w:p>
    <w:p>
      <w:pPr>
        <w:pStyle w:val="TextBody"/>
        <w:bidi w:val="0"/>
        <w:spacing w:before="0" w:after="0"/>
        <w:jc w:val="center"/>
        <w:rPr>
          <w:rFonts w:ascii="Times New Roman;serif" w:hAnsi="Times New Roman;serif"/>
          <w:b/>
          <w:sz w:val="20"/>
        </w:rPr>
      </w:pPr>
      <w:bookmarkStart w:id="9" w:name="condensed_statements_changes_in_stockhol"/>
      <w:bookmarkEnd w:id="9"/>
      <w:r>
        <w:rPr>
          <w:rFonts w:ascii="Times New Roman;serif" w:hAnsi="Times New Roman;serif"/>
          <w:b/>
          <w:sz w:val="20"/>
        </w:rPr>
        <w:t>CONDENSED STATEMENTS OF CHANGES IN STOCKHOLDERS’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center"/>
        <w:rPr/>
      </w:pPr>
      <w:r>
        <w:rPr/>
        <w:t> </w:t>
      </w:r>
    </w:p>
    <w:tbl>
      <w:tblPr>
        <w:tblW w:w="9128" w:type="dxa"/>
        <w:jc w:val="left"/>
        <w:tblInd w:w="0" w:type="dxa"/>
        <w:tblLayout w:type="fixed"/>
        <w:tblCellMar>
          <w:top w:w="28" w:type="dxa"/>
          <w:left w:w="28" w:type="dxa"/>
          <w:bottom w:w="28" w:type="dxa"/>
          <w:right w:w="28" w:type="dxa"/>
        </w:tblCellMar>
      </w:tblPr>
      <w:tblGrid>
        <w:gridCol w:w="2911"/>
        <w:gridCol w:w="146"/>
        <w:gridCol w:w="146"/>
        <w:gridCol w:w="676"/>
        <w:gridCol w:w="166"/>
        <w:gridCol w:w="146"/>
        <w:gridCol w:w="230"/>
        <w:gridCol w:w="461"/>
        <w:gridCol w:w="146"/>
        <w:gridCol w:w="146"/>
        <w:gridCol w:w="211"/>
        <w:gridCol w:w="781"/>
        <w:gridCol w:w="146"/>
        <w:gridCol w:w="146"/>
        <w:gridCol w:w="211"/>
        <w:gridCol w:w="841"/>
        <w:gridCol w:w="166"/>
        <w:gridCol w:w="146"/>
        <w:gridCol w:w="260"/>
        <w:gridCol w:w="835"/>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211" w:type="dxa"/>
            <w:tcBorders/>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139,381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(97,508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41,984</w:t>
            </w:r>
          </w:p>
        </w:tc>
        <w:tc>
          <w:tcPr>
            <w:tcW w:w="2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1,726</w:t>
            </w:r>
          </w:p>
        </w:tc>
        <w:tc>
          <w:tcPr>
            <w:tcW w:w="2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issued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cancelled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141,107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(101,780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39,438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tbl>
      <w:tblPr>
        <w:tblW w:w="9127" w:type="dxa"/>
        <w:jc w:val="left"/>
        <w:tblInd w:w="0" w:type="dxa"/>
        <w:tblLayout w:type="fixed"/>
        <w:tblCellMar>
          <w:top w:w="28" w:type="dxa"/>
          <w:left w:w="28" w:type="dxa"/>
          <w:bottom w:w="28" w:type="dxa"/>
          <w:right w:w="28" w:type="dxa"/>
        </w:tblCellMar>
      </w:tblPr>
      <w:tblGrid>
        <w:gridCol w:w="2911"/>
        <w:gridCol w:w="146"/>
        <w:gridCol w:w="146"/>
        <w:gridCol w:w="676"/>
        <w:gridCol w:w="166"/>
        <w:gridCol w:w="146"/>
        <w:gridCol w:w="230"/>
        <w:gridCol w:w="461"/>
        <w:gridCol w:w="146"/>
        <w:gridCol w:w="146"/>
        <w:gridCol w:w="211"/>
        <w:gridCol w:w="781"/>
        <w:gridCol w:w="146"/>
        <w:gridCol w:w="146"/>
        <w:gridCol w:w="234"/>
        <w:gridCol w:w="817"/>
        <w:gridCol w:w="166"/>
        <w:gridCol w:w="146"/>
        <w:gridCol w:w="260"/>
        <w:gridCol w:w="835"/>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25" w:type="dxa"/>
            <w:gridSpan w:val="6"/>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1" w:type="dxa"/>
            <w:tcBorders/>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(77,594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54,879</w:t>
            </w:r>
          </w:p>
        </w:tc>
        <w:tc>
          <w:tcPr>
            <w:tcW w:w="2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1,607</w:t>
            </w:r>
          </w:p>
        </w:tc>
        <w:tc>
          <w:tcPr>
            <w:tcW w:w="2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cancelled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133,970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49,812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(Dollars and shares in thousands)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0" w:name="note_1_overview_basis_presentation"/>
      <w:bookmarkEnd w:id="10"/>
      <w:r>
        <w:rPr>
          <w:rFonts w:ascii="Times New Roman;serif" w:hAnsi="Times New Roman;serif"/>
          <w:b/>
          <w:sz w:val="20"/>
        </w:rPr>
        <w:t>Note 1. Overview and Basis of Presentation</w:t>
      </w:r>
    </w:p>
    <w:p>
      <w:pPr>
        <w:pStyle w:val="TextBody"/>
        <w:bidi w:val="0"/>
        <w:spacing w:before="120" w:after="0"/>
        <w:jc w:val="left"/>
        <w:rPr>
          <w:rFonts w:ascii="Times New Roman;serif" w:hAnsi="Times New Roman;serif"/>
          <w:b/>
          <w:sz w:val="20"/>
        </w:rPr>
      </w:pPr>
      <w:r>
        <w:rPr>
          <w:rFonts w:ascii="Times New Roman;serif" w:hAnsi="Times New Roman;serif"/>
          <w:b/>
          <w:sz w:val="20"/>
        </w:rPr>
        <w:t>Overview and Organization</w:t>
      </w:r>
    </w:p>
    <w:p>
      <w:pPr>
        <w:pStyle w:val="TextBody"/>
        <w:bidi w:val="0"/>
        <w:spacing w:before="120" w:after="0"/>
        <w:jc w:val="both"/>
        <w:rPr>
          <w:rFonts w:ascii="Times New Roman" w:hAnsi="Times New Roman"/>
          <w:sz w:val="20"/>
        </w:rPr>
      </w:pPr>
      <w:r>
        <w:rPr>
          <w:rFonts w:ascii="Times New Roman;serif" w:hAnsi="Times New Roman;serif"/>
          <w:b w:val="false"/>
          <w:sz w:val="20"/>
        </w:rPr>
        <w:t>LENSAR, Inc. (“LENSAR” or the “Company”)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“LNSR” on The Nasdaq Stock Market LLC (“Nasdaq”). The Company’s revenue is derived from the sale and lease of the Company’s laser systems, which may include equipment, a consumable referred to as the Patient Interface Device (“PID”), procedure licenses, training, installation, limited warranty and maintenance agreements through extended warranty. The Company has developed its next-generation ALLY® Adaptive Cataract Treatment System (“ALLY System”), which combines all of the features from the LENSAR Laser System with a dual-pulse laser, integrated in a small, compact cataract treatment system that is designed to allow surgeons to perform a sterile femtosecond laser assisted cataract procedure in a single operating room or in-office surgical suite. The ALLY System, which has received clearance from the U.S. Food and Drug Administration (“FDA”), enables cataract surgeons to complete the femtosecond-laser-assisted cataract surgery (“FLACS”) procedure in a single, sterile environment. The Company executed a controlled and targeted initial launch of the ALLY System beginning in August 2022. The ALLY System is now available to U.S. cataract surgeons and has also received regulatory clearance in India. In addition, we submitted the ALLY System for certification in the European Union, or EU, in September 2022 and intend to submit additional marketing or certification applications outside the United States in an effort to commercialize the ALLY System in additional countries and operating regions. The Company’s ability to place systems in 2022 was limited by supply chain constraints that delayed the delivery of certain ALLY System raw materials and the completion and testing of ALLY Systems for use as launch-stock inventory.</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 has incurred recurring losses and operating cash outflows since its inception and, as of March 31, 2023, had an accumulated deficit of $101,780. The Company expects to continue to incur losses and cash outflows from operating activities for the near-term future. In addition, the Company’s results of operations, financial condition and cash flows have been adversely affected by the COVID-19 pandemic, including supply chain shortages, inflationary pressures and price increases that originated during the pandemic. The Company has experienced some supply chain disruptions and increased costs or unavailability of various component parts needed for the development and supply of the ALLY System originally connected with the COVID-19 pandemic, including increasing lead times required for the ordering of component parts to meet targeted production goals and unpredictability with respect to the availability and delivery timing of these parts. The extent to which the COVID-19 outbreak, and current or future variants, will further negatively impact the Company’s business or operating results cannot be determined with certainty at this time. To date, the Company has maintained sufficient inventory to mitigate significant adverse impact from such disruptions and unavailability in the near-term and to facilitate the launch of the ALLY System. If supply chain shortages and disruptions continue or worsen, or the Company is unable to find suitable alternative component parts, there is no guarantee the Company will be able to meet customer demand for the ALLY System following its launch. In addition, pricing increases in component parts for the ALLY System resulting from inflationary pressures and related macroeconomic conditions may necessitate an increase in overall cost to customers, which in turn may have an adverse impact on customer demand.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Management believes the Company’s cash and cash equivalents on hand, together with cash generated from the future sale and lease of products and expected issuance and sale of preferred stock and warrants, will provide sufficient funds for its operating, investing, and financing cash flows for a period of at least twelve months from the date of issuance of these financial statements. Refer to Note 12, Subsequent Event, for further details related to the Company’s entrance into a Securities Purchase Agreement, dated as of May 12, 2023, providing for the sale of preferred stock and warrants to NR-GRI Partners, LP. With the commercial launch of the ALLY System, the Company expects annual revenue and selling, general and administrative expenses to increase from current levels. In addition, the successful commercialization of the ALLY System depends in part on the Company’s ability to produce the ALLY System in sufficient quantities, within requested timelines and at an acceptable price to satisfy customer demand. The Company’s liquidity needs will be largely determined by the Company’s ability to successfully commercialize its products and the progression, additional regulatory clearances or certifications and launch of the ALLY System in additional jurisdictions in the future. Such success will depend in part on the availability of the necessary component parts for the ALLY System.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Company’s ability to raise additional funds will depend, among other factors, on financial, economic and market conditions, many of which are outside of the Company’s control, and the Company may be unable to raise financing when needed, or on terms favorable to the Company. If the necessary funds are not available from these sources, the Company may have to delay, reduce or suspend the scope of its sales and marketing efforts, research and development activities, or other components of its operations.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(Dollars and shares in thousands)</w:t>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Basis of Presentation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These condensed financial statements of the Company are unaudited and have been prepared in accordance with generally accepted accounting principles in the United States of America (“U.S. GAAP”) and pursuant to the regulations of the U.S. Securities and Exchange Commission (“SEC”) for interim financial information and, therefore, omit or condense certain footnotes and other information normally included. The condensed financial statements include all adjustments (consisting only of normal recurring adjustments) that management of the Company believes are necessary for a fair statement of the periods presented. These interim financial results are not necessarily indicative of results expected for the full fiscal year. The December 31, 2022 condensed balance sheet data was derived from audited financial statements, but does not include all disclosures required by U.S. GAAP.</w:t>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accompanying unaudited condensed financial statements and related financial information should be read in conjunction with the Company’s annual audited financial statements and the related notes thereto for the fiscal year ended December 31, 2022, included in the Annual Report on Form 10-K (the “Annual Report”) as filed with the SEC.</w:t>
      </w:r>
    </w:p>
    <w:p>
      <w:pPr>
        <w:pStyle w:val="TextBody"/>
        <w:bidi w:val="0"/>
        <w:spacing w:before="360" w:after="0"/>
        <w:jc w:val="left"/>
        <w:rPr>
          <w:rFonts w:ascii="Times New Roman" w:hAnsi="Times New Roman"/>
          <w:sz w:val="20"/>
        </w:rPr>
      </w:pPr>
      <w:r>
        <w:rPr>
          <w:rFonts w:ascii="Times New Roman;serif" w:hAnsi="Times New Roman;serif"/>
          <w:b/>
          <w:sz w:val="20"/>
        </w:rPr>
        <w:t>Note 2. Summary of Significant Accounting Policies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Other than policies noted below, there have been no significant changes to the significant accounting policies disclosed in Note 2, </w:t>
      </w:r>
      <w:r>
        <w:rPr>
          <w:rFonts w:ascii="Times New Roman;serif" w:hAnsi="Times New Roman;serif"/>
          <w:b w:val="false"/>
          <w:i/>
          <w:sz w:val="20"/>
        </w:rPr>
        <w:t>Summary of Significant Accounting Policies</w:t>
      </w:r>
      <w:r>
        <w:rPr>
          <w:rFonts w:ascii="Times New Roman;serif" w:hAnsi="Times New Roman;serif"/>
          <w:b w:val="false"/>
          <w:sz w:val="20"/>
        </w:rPr>
        <w:t>, of the annual audited financial statements included in the Annual Report.</w:t>
      </w:r>
    </w:p>
    <w:p>
      <w:pPr>
        <w:pStyle w:val="TextBody"/>
        <w:bidi w:val="0"/>
        <w:spacing w:before="360" w:after="0"/>
        <w:jc w:val="left"/>
        <w:rPr>
          <w:rFonts w:ascii="Times New Roman" w:hAnsi="Times New Roman"/>
          <w:sz w:val="20"/>
        </w:rPr>
      </w:pPr>
      <w:r>
        <w:rPr>
          <w:rFonts w:ascii="Times New Roman;serif" w:hAnsi="Times New Roman;serif"/>
          <w:b/>
          <w:sz w:val="20"/>
        </w:rPr>
        <w:t>Accounting Estimates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preparation of condensed financial statements in conformity with U.S. GAAP requires management to make estimates and assumptions that affect the amounts reported in the condensed financial statements and accompanying notes to the condensed financial statements. The accounting estimates that require management’s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and the recognition and measurement of current and deferred income tax assets and liabilities. Management evaluates its estimates on an ongoing basis as there are changes in circumstances, facts, and experience. Changes in estimates are recorded in the period in which they become known. Actual results could differ from these estimates.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COVID-19 pandemic and global macroeconomic conditions originating during the pandemic continue to directly and indirectly impact the Company’s business, results of operations and financial condition, including revenue, expenses, reserves and allowances. The Company continues to monitor developments that are highly uncertain, including supply chain disruptions and price increases, as well as the economic impact on domestic and international suppliers, customers, and markets. The Company assessed certain accounting matters that require consideration of forecasted financial information, including, but not limited to, its current expected credit losses, the carrying value of the Company's intangible assets and other long-lived assets, and valuation allowances in context with the information reasonably available to the Company and the unknown future impacts of COVID-19 as of March 31, 2023 and through the date of this report. As a result of these assessments, there were no impairments or material increases in expected credit losses or valuation allowances that impacted the Company's condensed financial statements as of and for the three months ended March 31, 2023 and 2022. However, the Company's future assessment of the magnitude and duration of COVID-19, as well as other factors, could result in material impacts to the condensed financial statements in future reporting periods.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of the date of issuance of these unaudited condensed interim financial statements, the Company is not aware of any specific event or circumstance that would require the Company to update estimates, judgments or revise the carrying value of any assets or liabilities.</w:t>
      </w:r>
    </w:p>
    <w:p>
      <w:pPr>
        <w:pStyle w:val="TextBody"/>
        <w:bidi w:val="0"/>
        <w:spacing w:before="240" w:after="0"/>
        <w:jc w:val="both"/>
        <w:rPr>
          <w:rFonts w:ascii="Times New Roman" w:hAnsi="Times New Roman"/>
          <w:sz w:val="20"/>
        </w:rPr>
      </w:pPr>
      <w:r>
        <w:rPr>
          <w:rFonts w:ascii="Times New Roman;serif" w:hAnsi="Times New Roman;serif"/>
          <w:b/>
          <w:sz w:val="20"/>
        </w:rPr>
        <w:t>Fair Value Measurement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fair value of the Company’s financial instruments are estimates of the amounts that would be received if the Company were to sell an asset or the Company paid to transfer a liability in an orderly transaction between market participants at the measurement date or exit price. The assets and liabilities are categorized and disclosed in one of the following three categories:</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Level 1—based on quoted market prices in active markets for identical assets and liabilities.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Level 2—based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(Dollars and shares in thousands)</w:t>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Level 3—based on unobservable inputs using management’s best estimate and assumptions when inputs are unavailable. </w:t>
      </w:r>
    </w:p>
    <w:p>
      <w:pPr>
        <w:pStyle w:val="TextBody"/>
        <w:bidi w:val="0"/>
        <w:spacing w:before="240" w:after="0"/>
        <w:jc w:val="both"/>
        <w:rPr>
          <w:rFonts w:ascii="Times New Roman" w:hAnsi="Times New Roman"/>
          <w:sz w:val="20"/>
        </w:rPr>
      </w:pPr>
      <w:r>
        <w:rPr>
          <w:rFonts w:ascii="Times New Roman;serif" w:hAnsi="Times New Roman;serif"/>
          <w:b w:val="false"/>
          <w:sz w:val="20"/>
        </w:rPr>
        <w:t>Fair value measurements are classified in their entirety based on the lowest level of input that is significant to their fair value measurement.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carrying value of the Company’s cash, cash equivalents, accounts receivable, accounts payable, accrued liabilities, and other current liabilities approximate fair value based on the short-term maturities of these instruments. The carrying value of the Company’s notes receivable also approximates fair value based on the associated credit risk.</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Income Taxes</w:t>
      </w:r>
    </w:p>
    <w:p>
      <w:pPr>
        <w:pStyle w:val="TextBody"/>
        <w:bidi w:val="0"/>
        <w:spacing w:before="120" w:after="0"/>
        <w:jc w:val="both"/>
        <w:rPr>
          <w:rFonts w:ascii="Times New Roman" w:hAnsi="Times New Roman"/>
          <w:sz w:val="20"/>
        </w:rPr>
      </w:pPr>
      <w:r>
        <w:rPr>
          <w:rFonts w:ascii="Times New Roman;serif" w:hAnsi="Times New Roman;serif"/>
          <w:b w:val="false"/>
          <w:sz w:val="20"/>
        </w:rPr>
        <w:t>Income tax expense/(benefit) from continuing operations for the three months ended March 31, 2023 and 2022</w:t>
      </w:r>
      <w:r>
        <w:rPr>
          <w:rFonts w:ascii="Times New Roman" w:hAnsi="Times New Roman"/>
          <w:sz w:val="20"/>
        </w:rPr>
        <w:t xml:space="preserve"> </w:t>
      </w:r>
      <w:r>
        <w:rPr>
          <w:rFonts w:ascii="Times New Roman;serif" w:hAnsi="Times New Roman;serif"/>
          <w:b w:val="false"/>
          <w:sz w:val="20"/>
        </w:rPr>
        <w:t>was $0</w:t>
      </w:r>
      <w:r>
        <w:rPr>
          <w:rFonts w:ascii="Times New Roman" w:hAnsi="Times New Roman"/>
          <w:sz w:val="20"/>
        </w:rPr>
        <w:t xml:space="preserve"> </w:t>
      </w:r>
      <w:r>
        <w:rPr>
          <w:rFonts w:ascii="Times New Roman;serif" w:hAnsi="Times New Roman;serif"/>
          <w:b w:val="false"/>
          <w:sz w:val="20"/>
        </w:rPr>
        <w:t>in each period, which resulted primarily from maintaining a full valuation allowance against the Company’s deferred tax assets.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Recently Issued Accounting Pronouncements Not Yet Adopted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reviewed recent pronouncements issued by the FASB and other authoritative standards groups with future effective dates and concluded the pronouncements are either not applicable to the Company or are not expected to have a material impact on the Company’s financial position or results of operations.</w:t>
      </w:r>
    </w:p>
    <w:p>
      <w:pPr>
        <w:pStyle w:val="TextBody"/>
        <w:bidi w:val="0"/>
        <w:spacing w:before="360" w:after="0"/>
        <w:jc w:val="left"/>
        <w:rPr>
          <w:rFonts w:ascii="Times New Roman" w:hAnsi="Times New Roman"/>
          <w:sz w:val="20"/>
        </w:rPr>
      </w:pPr>
      <w:r>
        <w:rPr>
          <w:rFonts w:ascii="Times New Roman;serif" w:hAnsi="Times New Roman;serif"/>
          <w:b/>
          <w:sz w:val="20"/>
        </w:rPr>
        <w:t>Note 3. Revenue from Contracts with Customers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Disaggregation of Revenue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following table summarizes the Company’s product and service revenue disaggregated by geographic region, which is determined based on customer location, for the three months ended March 31, 2023 and 2022:</w:t>
      </w:r>
      <w:r>
        <w:rPr>
          <w:rFonts w:ascii="Times New Roman" w:hAnsi="Times New Roman"/>
          <w:sz w:val="20"/>
        </w:rPr>
        <w:t xml:space="preserve"> </w:t>
      </w:r>
    </w:p>
    <w:tbl>
      <w:tblPr>
        <w:tblW w:w="4714" w:type="dxa"/>
        <w:jc w:val="left"/>
        <w:tblInd w:w="0" w:type="dxa"/>
        <w:tblLayout w:type="fixed"/>
        <w:tblCellMar>
          <w:top w:w="28" w:type="dxa"/>
          <w:left w:w="28" w:type="dxa"/>
          <w:bottom w:w="28" w:type="dxa"/>
          <w:right w:w="28" w:type="dxa"/>
        </w:tblCellMar>
      </w:tblPr>
      <w:tblGrid>
        <w:gridCol w:w="2521"/>
        <w:gridCol w:w="146"/>
        <w:gridCol w:w="211"/>
        <w:gridCol w:w="571"/>
        <w:gridCol w:w="146"/>
        <w:gridCol w:w="146"/>
        <w:gridCol w:w="211"/>
        <w:gridCol w:w="57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3,970</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South Korea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1,434</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1,619</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Asia (excluding South Korea)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Total</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7,941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jc w:val="both"/>
        <w:rPr>
          <w:rFonts w:ascii="Times New Roman;serif" w:hAnsi="Times New Roman;serif"/>
          <w:sz w:val="24"/>
        </w:rPr>
      </w:pPr>
      <w:r>
        <w:rPr>
          <w:rFonts w:ascii="Times New Roman;serif" w:hAnsi="Times New Roman;serif"/>
          <w:b w:val="false"/>
          <w:sz w:val="20"/>
        </w:rPr>
        <w:t>The table above does not include lease revenue of $1,629</w:t>
      </w:r>
      <w:r>
        <w:rPr>
          <w:rFonts w:ascii="Times New Roman;serif" w:hAnsi="Times New Roman;serif"/>
          <w:sz w:val="24"/>
        </w:rPr>
        <w:t xml:space="preserve"> </w:t>
      </w:r>
      <w:r>
        <w:rPr>
          <w:rFonts w:ascii="Times New Roman;serif" w:hAnsi="Times New Roman;serif"/>
          <w:b w:val="false"/>
          <w:sz w:val="20"/>
        </w:rPr>
        <w:t>and $1,399</w:t>
      </w:r>
      <w:r>
        <w:rPr>
          <w:rFonts w:ascii="Times New Roman;serif" w:hAnsi="Times New Roman;serif"/>
          <w:sz w:val="24"/>
        </w:rPr>
        <w:t xml:space="preserve"> </w:t>
      </w:r>
      <w:r>
        <w:rPr>
          <w:rFonts w:ascii="Times New Roman;serif" w:hAnsi="Times New Roman;serif"/>
          <w:b w:val="false"/>
          <w:sz w:val="20"/>
        </w:rPr>
        <w:t xml:space="preserve">for three months ended March 31, 2023 and 2022, respectively. Substantially all lease revenue originates from the United States. Refer to Note 5, </w:t>
      </w:r>
      <w:r>
        <w:rPr>
          <w:rFonts w:ascii="Times New Roman;serif" w:hAnsi="Times New Roman;serif"/>
          <w:b w:val="false"/>
          <w:i/>
          <w:sz w:val="20"/>
        </w:rPr>
        <w:t>Leases</w:t>
      </w:r>
      <w:r>
        <w:rPr>
          <w:rFonts w:ascii="Times New Roman;serif" w:hAnsi="Times New Roman;serif"/>
          <w:b w:val="false"/>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Contract Balances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following table provides information about receivables and contract liabilities from contracts with customers:</w:t>
      </w:r>
      <w:r>
        <w:rPr>
          <w:rFonts w:ascii="Times New Roman" w:hAnsi="Times New Roman"/>
          <w:sz w:val="20"/>
        </w:rPr>
        <w:t xml:space="preserve"> </w:t>
      </w:r>
    </w:p>
    <w:tbl>
      <w:tblPr>
        <w:tblW w:w="9642" w:type="dxa"/>
        <w:jc w:val="left"/>
        <w:tblInd w:w="0" w:type="dxa"/>
        <w:tblLayout w:type="fixed"/>
        <w:tblCellMar>
          <w:top w:w="28" w:type="dxa"/>
          <w:left w:w="28" w:type="dxa"/>
          <w:bottom w:w="28" w:type="dxa"/>
          <w:right w:w="28" w:type="dxa"/>
        </w:tblCellMar>
      </w:tblPr>
      <w:tblGrid>
        <w:gridCol w:w="2536"/>
        <w:gridCol w:w="146"/>
        <w:gridCol w:w="3571"/>
        <w:gridCol w:w="146"/>
        <w:gridCol w:w="340"/>
        <w:gridCol w:w="920"/>
        <w:gridCol w:w="146"/>
        <w:gridCol w:w="146"/>
        <w:gridCol w:w="403"/>
        <w:gridCol w:w="1097"/>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Classification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current</w:t>
            </w:r>
          </w:p>
        </w:tc>
        <w:tc>
          <w:tcPr>
            <w:tcW w:w="1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6,040</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receivable, current</w:t>
            </w:r>
          </w:p>
        </w:tc>
        <w:tc>
          <w:tcPr>
            <w:tcW w:w="1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receivable, net</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receivable, long-term</w:t>
            </w:r>
          </w:p>
        </w:tc>
        <w:tc>
          <w:tcPr>
            <w:tcW w:w="1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and other receivables, long-term, net</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 current</w:t>
            </w:r>
          </w:p>
        </w:tc>
        <w:tc>
          <w:tcPr>
            <w:tcW w:w="1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and other current assets</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current</w:t>
            </w:r>
          </w:p>
        </w:tc>
        <w:tc>
          <w:tcPr>
            <w:tcW w:w="1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non-current</w:t>
            </w:r>
          </w:p>
        </w:tc>
        <w:tc>
          <w:tcPr>
            <w:tcW w:w="1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liability, long-term</w:t>
            </w:r>
          </w:p>
        </w:tc>
        <w:tc>
          <w:tcPr>
            <w:tcW w:w="1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Accounts</w:t>
      </w:r>
      <w:r>
        <w:rPr>
          <w:rFonts w:ascii="Times New Roman" w:hAnsi="Times New Roman"/>
          <w:sz w:val="20"/>
        </w:rPr>
        <w:t xml:space="preserve"> </w:t>
      </w:r>
      <w:r>
        <w:rPr>
          <w:rFonts w:ascii="Times New Roman;serif" w:hAnsi="Times New Roman;serif"/>
          <w:b/>
          <w:sz w:val="20"/>
        </w:rPr>
        <w:t>Receivables, Net –</w:t>
      </w:r>
      <w:r>
        <w:rPr>
          <w:rFonts w:ascii="Times New Roman" w:hAnsi="Times New Roman"/>
          <w:sz w:val="20"/>
        </w:rPr>
        <w:t xml:space="preserve"> </w:t>
      </w:r>
      <w:r>
        <w:rPr>
          <w:rFonts w:ascii="Times New Roman;serif" w:hAnsi="Times New Roman;serif"/>
          <w:b w:val="false"/>
          <w:sz w:val="20"/>
        </w:rPr>
        <w:t>Accounts receivables, net, include amounts billed and due from customers. The amounts due are stated at their net estimated realizable value and are classified as current or noncurrent based on the timing of when the Company expects to receive payment. Most customers are on pre-paid or 30-day payment terms, depending on the product purchased. The Company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(Dollars and shares in thousands)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maintains an allowance for expected credit losses to provide for the estimated amount of receivables that will not be collected. The allowance is based upon an assessment of customer credit worthiness, historical payment experience, the age of outstanding receivables, collateral to the extent applicable and reflects the possible impact of current conditions and reasonable forecasts not already reflected in historical loss information.</w:t>
      </w:r>
      <w:r>
        <w:rPr>
          <w:rFonts w:ascii="Times New Roman" w:hAnsi="Times New Roman"/>
          <w:sz w:val="20"/>
        </w:rPr>
        <w:t xml:space="preserve"> </w:t>
      </w:r>
    </w:p>
    <w:p>
      <w:pPr>
        <w:pStyle w:val="TextBody"/>
        <w:bidi w:val="0"/>
        <w:spacing w:before="240" w:after="120"/>
        <w:jc w:val="both"/>
        <w:rPr>
          <w:rFonts w:ascii="Times New Roman" w:hAnsi="Times New Roman"/>
          <w:sz w:val="20"/>
        </w:rPr>
      </w:pPr>
      <w:r>
        <w:rPr>
          <w:rFonts w:ascii="Times New Roman;serif" w:hAnsi="Times New Roman;serif"/>
          <w:b w:val="false"/>
          <w:sz w:val="20"/>
        </w:rPr>
        <w:t>The following table summarizes the activity in the allowance for accounts receivable:</w:t>
      </w:r>
      <w:r>
        <w:rPr>
          <w:rFonts w:ascii="Times New Roman" w:hAnsi="Times New Roman"/>
          <w:sz w:val="20"/>
        </w:rPr>
        <w:t xml:space="preserve"> </w:t>
      </w:r>
    </w:p>
    <w:tbl>
      <w:tblPr>
        <w:tblW w:w="5559" w:type="dxa"/>
        <w:jc w:val="left"/>
        <w:tblInd w:w="0" w:type="dxa"/>
        <w:tblLayout w:type="fixed"/>
        <w:tblCellMar>
          <w:top w:w="28" w:type="dxa"/>
          <w:left w:w="28" w:type="dxa"/>
          <w:bottom w:w="28" w:type="dxa"/>
          <w:right w:w="28" w:type="dxa"/>
        </w:tblCellMar>
      </w:tblPr>
      <w:tblGrid>
        <w:gridCol w:w="4411"/>
        <w:gridCol w:w="146"/>
        <w:gridCol w:w="248"/>
        <w:gridCol w:w="443"/>
        <w:gridCol w:w="31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allowance for credit losses as of</w:t>
              <w:br/>
              <w:t>   December 31, 2022</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311" w:type="dxa"/>
            <w:tcBorders/>
            <w:vAlign w:val="center"/>
          </w:tcPr>
          <w:p>
            <w:pPr>
              <w:pStyle w:val="TableContents"/>
              <w:bidi w:val="0"/>
              <w:spacing w:before="0" w:after="0"/>
              <w:ind w:left="0" w:right="0" w:firstLine="100"/>
              <w:jc w:val="left"/>
              <w:rPr/>
            </w:pPr>
            <w:r>
              <w:rPr/>
              <w:t> </w:t>
            </w:r>
          </w:p>
        </w:tc>
      </w:tr>
      <w:tr>
        <w:trPr/>
        <w:tc>
          <w:tcPr>
            <w:tcW w:w="441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Write-offs</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allowance for credit losses as of</w:t>
              <w:br/>
              <w:t>   March 31, 2023</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allowance for credit losses as of</w:t>
              <w:br/>
              <w:t>   December 31, 2021</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311" w:type="dxa"/>
            <w:tcBorders/>
            <w:vAlign w:val="center"/>
          </w:tcPr>
          <w:p>
            <w:pPr>
              <w:pStyle w:val="TableContents"/>
              <w:bidi w:val="0"/>
              <w:spacing w:before="0" w:after="0"/>
              <w:ind w:left="0" w:right="0" w:firstLine="100"/>
              <w:jc w:val="left"/>
              <w:rPr/>
            </w:pPr>
            <w:r>
              <w:rPr/>
              <w:t> </w:t>
            </w:r>
          </w:p>
        </w:tc>
      </w:tr>
      <w:tr>
        <w:trPr/>
        <w:tc>
          <w:tcPr>
            <w:tcW w:w="441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11" w:type="dxa"/>
            <w:tcBorders/>
            <w:vAlign w:val="center"/>
          </w:tcPr>
          <w:p>
            <w:pPr>
              <w:pStyle w:val="TableContents"/>
              <w:bidi w:val="0"/>
              <w:spacing w:before="0" w:after="0"/>
              <w:ind w:left="0" w:right="0" w:firstLine="100"/>
              <w:jc w:val="left"/>
              <w:rPr/>
            </w:pPr>
            <w:r>
              <w:rPr/>
              <w:t> </w:t>
            </w:r>
          </w:p>
        </w:tc>
      </w:tr>
      <w:tr>
        <w:trPr/>
        <w:tc>
          <w:tcPr>
            <w:tcW w:w="441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Write-offs</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allowance for credit losses as of</w:t>
              <w:br/>
              <w:t>   March 31, 2022</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Notes Receivables, Net</w:t>
      </w:r>
      <w:r>
        <w:rPr>
          <w:rFonts w:ascii="Times New Roman" w:hAnsi="Times New Roman"/>
          <w:sz w:val="20"/>
        </w:rPr>
        <w:t xml:space="preserve"> – </w:t>
      </w:r>
      <w:r>
        <w:rPr>
          <w:rFonts w:ascii="Times New Roman;serif" w:hAnsi="Times New Roman;serif"/>
          <w:b w:val="false"/>
          <w:sz w:val="20"/>
        </w:rPr>
        <w:t>Notes receivable, net includes amounts billed and due from customers under extended payment terms with a significant financing component. Interest rates on notes receivable range from 5.0% to 7.0%. The Company recorded interest income on notes receivable during the three months ended March 31, 2023 and 2022</w:t>
      </w:r>
      <w:r>
        <w:rPr>
          <w:rFonts w:ascii="Times New Roman" w:hAnsi="Times New Roman"/>
          <w:sz w:val="20"/>
        </w:rPr>
        <w:t xml:space="preserve"> </w:t>
      </w:r>
      <w:r>
        <w:rPr>
          <w:rFonts w:ascii="Times New Roman;serif" w:hAnsi="Times New Roman;serif"/>
          <w:b w:val="false"/>
          <w:sz w:val="20"/>
        </w:rPr>
        <w:t>of $12</w:t>
      </w:r>
      <w:r>
        <w:rPr>
          <w:rFonts w:ascii="Times New Roman" w:hAnsi="Times New Roman"/>
          <w:sz w:val="20"/>
        </w:rPr>
        <w:t xml:space="preserve"> </w:t>
      </w:r>
      <w:r>
        <w:rPr>
          <w:rFonts w:ascii="Times New Roman;serif" w:hAnsi="Times New Roman;serif"/>
          <w:b w:val="false"/>
          <w:sz w:val="20"/>
        </w:rPr>
        <w:t>and $6, respectively, in other income, net in the statement of operations.</w:t>
      </w:r>
      <w:r>
        <w:rPr>
          <w:rFonts w:ascii="Times New Roman" w:hAnsi="Times New Roman"/>
          <w:sz w:val="20"/>
        </w:rPr>
        <w:t xml:space="preserve"> </w:t>
      </w:r>
    </w:p>
    <w:p>
      <w:pPr>
        <w:pStyle w:val="TextBody"/>
        <w:bidi w:val="0"/>
        <w:spacing w:before="240" w:after="120"/>
        <w:jc w:val="left"/>
        <w:rPr>
          <w:rFonts w:ascii="Times New Roman" w:hAnsi="Times New Roman"/>
          <w:sz w:val="20"/>
        </w:rPr>
      </w:pPr>
      <w:r>
        <w:rPr>
          <w:rFonts w:ascii="Times New Roman;serif" w:hAnsi="Times New Roman;serif"/>
          <w:b w:val="false"/>
          <w:sz w:val="20"/>
        </w:rPr>
        <w:t>The following table summarizes the activity in the allowance for notes receivable:</w:t>
      </w:r>
      <w:r>
        <w:rPr>
          <w:rFonts w:ascii="Times New Roman" w:hAnsi="Times New Roman"/>
          <w:sz w:val="20"/>
        </w:rPr>
        <w:t xml:space="preserve"> </w:t>
      </w:r>
    </w:p>
    <w:tbl>
      <w:tblPr>
        <w:tblW w:w="5159" w:type="dxa"/>
        <w:jc w:val="left"/>
        <w:tblInd w:w="0" w:type="dxa"/>
        <w:tblLayout w:type="fixed"/>
        <w:tblCellMar>
          <w:top w:w="28" w:type="dxa"/>
          <w:left w:w="28" w:type="dxa"/>
          <w:bottom w:w="28" w:type="dxa"/>
          <w:right w:w="28" w:type="dxa"/>
        </w:tblCellMar>
      </w:tblPr>
      <w:tblGrid>
        <w:gridCol w:w="4111"/>
        <w:gridCol w:w="146"/>
        <w:gridCol w:w="230"/>
        <w:gridCol w:w="46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receivable, allowance for credit losses as of</w:t>
              <w:br/>
              <w:t>   December 31, 2022</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Write-offs</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receivable, allowance for credit losses as of</w:t>
              <w:br/>
              <w:t>   March 31, 2023</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receivable, allowance for credit losses as of</w:t>
              <w:br/>
              <w:t>   December 31, 2021</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Write-offs</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receivable, allowance for credit losses as of</w:t>
              <w:br/>
              <w:t>   March 31, 2022</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sz w:val="20"/>
        </w:rPr>
        <w:t>Contract Assets</w:t>
      </w:r>
      <w:r>
        <w:rPr>
          <w:rFonts w:ascii="Times New Roman" w:hAnsi="Times New Roman"/>
          <w:sz w:val="20"/>
        </w:rPr>
        <w:t xml:space="preserve"> – </w:t>
      </w:r>
      <w:r>
        <w:rPr>
          <w:rFonts w:ascii="Times New Roman;serif" w:hAnsi="Times New Roman;serif"/>
          <w:b w:val="false"/>
          <w:sz w:val="20"/>
        </w:rPr>
        <w:t>The Company's contract assets represent revenue recognized for performance obligations completed before an unconditional right to payment exists, and therefore invoicing has not yet occurred. The Company classifies contract assets in Prepaid and other current assets in the Company's condensed balance sheets.</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following table provides information about contract assets from contracts with customers:</w:t>
      </w:r>
    </w:p>
    <w:tbl>
      <w:tblPr>
        <w:tblW w:w="4424" w:type="dxa"/>
        <w:jc w:val="left"/>
        <w:tblInd w:w="0" w:type="dxa"/>
        <w:tblLayout w:type="fixed"/>
        <w:tblCellMar>
          <w:top w:w="28" w:type="dxa"/>
          <w:left w:w="28" w:type="dxa"/>
          <w:bottom w:w="28" w:type="dxa"/>
          <w:right w:w="28" w:type="dxa"/>
        </w:tblCellMar>
      </w:tblPr>
      <w:tblGrid>
        <w:gridCol w:w="3376"/>
        <w:gridCol w:w="146"/>
        <w:gridCol w:w="230"/>
        <w:gridCol w:w="461"/>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assets as of December 31, 2022</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211" w:type="dxa"/>
            <w:tcBorders/>
            <w:vAlign w:val="center"/>
          </w:tcPr>
          <w:p>
            <w:pPr>
              <w:pStyle w:val="TableContents"/>
              <w:bidi w:val="0"/>
              <w:spacing w:before="0" w:after="0"/>
              <w:ind w:left="0" w:right="0" w:hanging="0"/>
              <w:jc w:val="lef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assets recognized</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211" w:type="dxa"/>
            <w:tcBorders/>
            <w:vAlign w:val="center"/>
          </w:tcPr>
          <w:p>
            <w:pPr>
              <w:pStyle w:val="TableContents"/>
              <w:bidi w:val="0"/>
              <w:spacing w:before="0" w:after="0"/>
              <w:ind w:left="0" w:right="0" w:hanging="0"/>
              <w:jc w:val="lef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received</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assets as of March 31, 2023</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(Dollars and shares in thousands)</w:t>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sz w:val="20"/>
        </w:rPr>
        <w:t xml:space="preserve">Contract Liabilities – </w:t>
      </w:r>
      <w:r>
        <w:rPr>
          <w:rFonts w:ascii="Times New Roman;serif" w:hAnsi="Times New Roman;serif"/>
          <w:b w:val="false"/>
          <w:sz w:val="20"/>
        </w:rPr>
        <w:t>The Company’s contract liabilities represent services and products sold to customers for which the performance obligation has not been completed by the Company. The Company classifies contract liabilities as current or noncurrent based on the timing of when it expects to recognize revenue. The noncurrent portion of contract liabilities is included in other long-term liabilities in the Company’s condensed balance sheets.</w:t>
      </w:r>
      <w:r>
        <w:rPr>
          <w:rFonts w:ascii="Times New Roman" w:hAnsi="Times New Roman"/>
          <w:sz w:val="20"/>
        </w:rPr>
        <w:t xml:space="preserve"> </w:t>
      </w:r>
    </w:p>
    <w:p>
      <w:pPr>
        <w:pStyle w:val="TextBody"/>
        <w:bidi w:val="0"/>
        <w:spacing w:before="240" w:after="120"/>
        <w:jc w:val="both"/>
        <w:rPr>
          <w:rFonts w:ascii="Times New Roman" w:hAnsi="Times New Roman"/>
          <w:sz w:val="20"/>
        </w:rPr>
      </w:pPr>
      <w:r>
        <w:rPr>
          <w:rFonts w:ascii="Times New Roman;serif" w:hAnsi="Times New Roman;serif"/>
          <w:b w:val="false"/>
          <w:sz w:val="20"/>
        </w:rPr>
        <w:t>The following table provides information about contract liabilities from contracts with customers:</w:t>
      </w:r>
      <w:r>
        <w:rPr>
          <w:rFonts w:ascii="Times New Roman" w:hAnsi="Times New Roman"/>
          <w:sz w:val="20"/>
        </w:rPr>
        <w:t xml:space="preserve"> </w:t>
      </w:r>
    </w:p>
    <w:tbl>
      <w:tblPr>
        <w:tblW w:w="5505" w:type="dxa"/>
        <w:jc w:val="left"/>
        <w:tblInd w:w="0" w:type="dxa"/>
        <w:tblLayout w:type="fixed"/>
        <w:tblCellMar>
          <w:top w:w="28" w:type="dxa"/>
          <w:left w:w="28" w:type="dxa"/>
          <w:bottom w:w="28" w:type="dxa"/>
          <w:right w:w="28" w:type="dxa"/>
        </w:tblCellMar>
      </w:tblPr>
      <w:tblGrid>
        <w:gridCol w:w="4366"/>
        <w:gridCol w:w="146"/>
        <w:gridCol w:w="211"/>
        <w:gridCol w:w="571"/>
        <w:gridCol w:w="21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 as of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935</w:t>
            </w:r>
          </w:p>
        </w:tc>
        <w:tc>
          <w:tcPr>
            <w:tcW w:w="21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Billings not yet recognized as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823</w:t>
            </w:r>
          </w:p>
        </w:tc>
        <w:tc>
          <w:tcPr>
            <w:tcW w:w="21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contract liabilities recognized as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 as of March 31, 2023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 as of December 31, 2021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w:t>
            </w:r>
          </w:p>
        </w:tc>
        <w:tc>
          <w:tcPr>
            <w:tcW w:w="21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Billings not yet recognized as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w:t>
            </w:r>
          </w:p>
        </w:tc>
        <w:tc>
          <w:tcPr>
            <w:tcW w:w="21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contract liabilities recognized as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 as of March 31, 2022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val="false"/>
          <w:i/>
          <w:sz w:val="20"/>
        </w:rPr>
        <w:t>Transaction Price Allocated to Future Performance Obligations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At March 31, 2023, the revenue expected to be recognized in future periods related to performance obligations that are unsatisfied for executed contracts with an original duration of one year or more was approximately $8,974. The Company expects to satisfy its remaining performance obligations by December 31, 2027, with $2,947</w:t>
      </w:r>
      <w:r>
        <w:rPr>
          <w:rFonts w:ascii="Times New Roman" w:hAnsi="Times New Roman"/>
          <w:sz w:val="20"/>
        </w:rPr>
        <w:t xml:space="preserve"> </w:t>
      </w:r>
      <w:r>
        <w:rPr>
          <w:rFonts w:ascii="Times New Roman;serif" w:hAnsi="Times New Roman;serif"/>
          <w:b w:val="false"/>
          <w:sz w:val="20"/>
        </w:rPr>
        <w:t>to be satisfied by December 31, 2023, $2,639</w:t>
      </w:r>
      <w:r>
        <w:rPr>
          <w:rFonts w:ascii="Times New Roman" w:hAnsi="Times New Roman"/>
          <w:sz w:val="20"/>
        </w:rPr>
        <w:t xml:space="preserve"> </w:t>
      </w:r>
      <w:r>
        <w:rPr>
          <w:rFonts w:ascii="Times New Roman;serif" w:hAnsi="Times New Roman;serif"/>
          <w:b w:val="false"/>
          <w:sz w:val="20"/>
        </w:rPr>
        <w:t>to be satisfied by December 31, 2024, $1,865</w:t>
      </w:r>
      <w:r>
        <w:rPr>
          <w:rFonts w:ascii="Times New Roman" w:hAnsi="Times New Roman"/>
          <w:sz w:val="20"/>
        </w:rPr>
        <w:t xml:space="preserve"> </w:t>
      </w:r>
      <w:r>
        <w:rPr>
          <w:rFonts w:ascii="Times New Roman;serif" w:hAnsi="Times New Roman;serif"/>
          <w:b w:val="false"/>
          <w:sz w:val="20"/>
        </w:rPr>
        <w:t>to be satisfied by December 31, 2025, $883</w:t>
      </w:r>
      <w:r>
        <w:rPr>
          <w:rFonts w:ascii="Times New Roman" w:hAnsi="Times New Roman"/>
          <w:sz w:val="20"/>
        </w:rPr>
        <w:t xml:space="preserve"> </w:t>
      </w:r>
      <w:r>
        <w:rPr>
          <w:rFonts w:ascii="Times New Roman;serif" w:hAnsi="Times New Roman;serif"/>
          <w:b w:val="false"/>
          <w:sz w:val="20"/>
        </w:rPr>
        <w:t>to be satisfied by December 31, 2026</w:t>
      </w:r>
      <w:r>
        <w:rPr>
          <w:rFonts w:ascii="Times New Roman" w:hAnsi="Times New Roman"/>
          <w:sz w:val="20"/>
        </w:rPr>
        <w:t xml:space="preserve"> </w:t>
      </w:r>
      <w:r>
        <w:rPr>
          <w:rFonts w:ascii="Times New Roman;serif" w:hAnsi="Times New Roman;serif"/>
          <w:b w:val="false"/>
          <w:sz w:val="20"/>
        </w:rPr>
        <w:t>and $640</w:t>
      </w:r>
      <w:r>
        <w:rPr>
          <w:rFonts w:ascii="Times New Roman" w:hAnsi="Times New Roman"/>
          <w:sz w:val="20"/>
        </w:rPr>
        <w:t xml:space="preserve"> </w:t>
      </w:r>
      <w:r>
        <w:rPr>
          <w:rFonts w:ascii="Times New Roman;serif" w:hAnsi="Times New Roman;serif"/>
          <w:b w:val="false"/>
          <w:sz w:val="20"/>
        </w:rPr>
        <w:t>to be satisfied thereafter. The Company does not disclose the value of unsatisfied performance obligations for (i) contracts with original expected lengths of one year or less or (ii) contracts for which the Company recognizes revenue at the amount to which it has the right to invoice for the products delivered or services performed.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Note 4. Inventories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Inventory balances were as follows:</w:t>
      </w:r>
      <w:r>
        <w:rPr>
          <w:rFonts w:ascii="Times New Roman" w:hAnsi="Times New Roman"/>
          <w:sz w:val="20"/>
        </w:rPr>
        <w:t xml:space="preserve"> </w:t>
      </w:r>
    </w:p>
    <w:tbl>
      <w:tblPr>
        <w:tblW w:w="4845" w:type="dxa"/>
        <w:jc w:val="left"/>
        <w:tblInd w:w="0" w:type="dxa"/>
        <w:tblLayout w:type="fixed"/>
        <w:tblCellMar>
          <w:top w:w="28" w:type="dxa"/>
          <w:left w:w="28" w:type="dxa"/>
          <w:bottom w:w="28" w:type="dxa"/>
          <w:right w:w="28" w:type="dxa"/>
        </w:tblCellMar>
      </w:tblPr>
      <w:tblGrid>
        <w:gridCol w:w="1456"/>
        <w:gridCol w:w="146"/>
        <w:gridCol w:w="299"/>
        <w:gridCol w:w="961"/>
        <w:gridCol w:w="146"/>
        <w:gridCol w:w="146"/>
        <w:gridCol w:w="357"/>
        <w:gridCol w:w="1143"/>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4,002</w:t>
            </w:r>
          </w:p>
        </w:tc>
        <w:tc>
          <w:tcPr>
            <w:tcW w:w="191" w:type="dxa"/>
            <w:tcBorders/>
            <w:vAlign w:val="center"/>
          </w:tcPr>
          <w:p>
            <w:pPr>
              <w:pStyle w:val="TableContents"/>
              <w:bidi w:val="0"/>
              <w:spacing w:before="0" w:after="0"/>
              <w:ind w:left="0" w:right="0" w:hanging="0"/>
              <w:jc w:val="left"/>
              <w:rPr/>
            </w:pPr>
            <w:r>
              <w:rPr/>
              <w:t> </w:t>
            </w:r>
          </w:p>
        </w:tc>
      </w:tr>
      <w:tr>
        <w:trPr/>
        <w:tc>
          <w:tcPr>
            <w:tcW w:w="1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Work-in-process</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191" w:type="dxa"/>
            <w:tcBorders/>
            <w:vAlign w:val="center"/>
          </w:tcPr>
          <w:p>
            <w:pPr>
              <w:pStyle w:val="TableContents"/>
              <w:bidi w:val="0"/>
              <w:spacing w:before="0" w:after="0"/>
              <w:ind w:left="0" w:right="0" w:hanging="0"/>
              <w:jc w:val="left"/>
              <w:rPr/>
            </w:pPr>
            <w:r>
              <w:rPr/>
              <w:t> </w:t>
            </w:r>
          </w:p>
        </w:tc>
      </w:tr>
      <w:tr>
        <w:trPr/>
        <w:tc>
          <w:tcPr>
            <w:tcW w:w="1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Note 5. 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Lessor Arrangements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has operating leases for the LENSAR Laser System. The Company’s leases have remaining lease terms of less than one year</w:t>
      </w:r>
      <w:r>
        <w:rPr>
          <w:rFonts w:ascii="Times New Roman" w:hAnsi="Times New Roman"/>
          <w:sz w:val="20"/>
        </w:rPr>
        <w:t xml:space="preserve"> </w:t>
      </w:r>
      <w:r>
        <w:rPr>
          <w:rFonts w:ascii="Times New Roman;serif" w:hAnsi="Times New Roman;serif"/>
          <w:b w:val="false"/>
          <w:sz w:val="20"/>
        </w:rPr>
        <w:t>to six years.</w:t>
      </w:r>
      <w:r>
        <w:rPr>
          <w:rFonts w:ascii="Times New Roman" w:hAnsi="Times New Roman"/>
          <w:sz w:val="20"/>
        </w:rPr>
        <w:t xml:space="preserve"> </w:t>
      </w:r>
      <w:r>
        <w:rPr>
          <w:rFonts w:ascii="Times New Roman;serif" w:hAnsi="Times New Roman;serif"/>
          <w:b w:val="false"/>
          <w:sz w:val="20"/>
        </w:rPr>
        <w:t xml:space="preserve">Lease revenue for the three months ended March 31, 2023 and 2022 was as follows: </w:t>
      </w:r>
    </w:p>
    <w:tbl>
      <w:tblPr>
        <w:tblW w:w="3469" w:type="dxa"/>
        <w:jc w:val="left"/>
        <w:tblInd w:w="0" w:type="dxa"/>
        <w:tblLayout w:type="fixed"/>
        <w:tblCellMar>
          <w:top w:w="28" w:type="dxa"/>
          <w:left w:w="28" w:type="dxa"/>
          <w:bottom w:w="28" w:type="dxa"/>
          <w:right w:w="28" w:type="dxa"/>
        </w:tblCellMar>
      </w:tblPr>
      <w:tblGrid>
        <w:gridCol w:w="1276"/>
        <w:gridCol w:w="146"/>
        <w:gridCol w:w="211"/>
        <w:gridCol w:w="571"/>
        <w:gridCol w:w="146"/>
        <w:gridCol w:w="146"/>
        <w:gridCol w:w="211"/>
        <w:gridCol w:w="571"/>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(Dollars and shares in thousands)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Note 6. Intangible Assets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components of intangible assets were as follows:</w:t>
      </w:r>
    </w:p>
    <w:tbl>
      <w:tblPr>
        <w:tblW w:w="10083" w:type="dxa"/>
        <w:jc w:val="left"/>
        <w:tblInd w:w="0" w:type="dxa"/>
        <w:tblLayout w:type="fixed"/>
        <w:tblCellMar>
          <w:top w:w="28" w:type="dxa"/>
          <w:left w:w="28" w:type="dxa"/>
          <w:bottom w:w="28" w:type="dxa"/>
          <w:right w:w="28" w:type="dxa"/>
        </w:tblCellMar>
      </w:tblPr>
      <w:tblGrid>
        <w:gridCol w:w="2536"/>
        <w:gridCol w:w="146"/>
        <w:gridCol w:w="211"/>
        <w:gridCol w:w="676"/>
        <w:gridCol w:w="146"/>
        <w:gridCol w:w="146"/>
        <w:gridCol w:w="270"/>
        <w:gridCol w:w="811"/>
        <w:gridCol w:w="166"/>
        <w:gridCol w:w="146"/>
        <w:gridCol w:w="211"/>
        <w:gridCol w:w="676"/>
        <w:gridCol w:w="146"/>
        <w:gridCol w:w="146"/>
        <w:gridCol w:w="211"/>
        <w:gridCol w:w="676"/>
        <w:gridCol w:w="146"/>
        <w:gridCol w:w="146"/>
        <w:gridCol w:w="270"/>
        <w:gridCol w:w="811"/>
        <w:gridCol w:w="166"/>
        <w:gridCol w:w="146"/>
        <w:gridCol w:w="211"/>
        <w:gridCol w:w="676"/>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45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45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Finite-lived intangible 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53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Customer relationships </w:t>
            </w:r>
            <w:r>
              <w:rPr>
                <w:rFonts w:ascii="Times New Roman;serif" w:hAnsi="Times New Roman;serif"/>
                <w:b w:val="false"/>
                <w:sz w:val="13"/>
              </w:rPr>
              <w:t>1,2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2,264</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Acquired technology </w:t>
            </w:r>
            <w:r>
              <w:rPr>
                <w:rFonts w:ascii="Times New Roman;serif" w:hAnsi="Times New Roman;serif"/>
                <w:b w:val="false"/>
                <w:sz w:val="13"/>
              </w:rPr>
              <w:t>1,3,4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9,858</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Acquired trademarks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12,122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b w:val="false"/>
          <w:sz w:val="20"/>
        </w:rPr>
      </w:pPr>
      <w:r>
        <w:rPr>
          <w:rFonts w:ascii="Times New Roman" w:hAnsi="Times New Roman"/>
          <w:b w:val="false"/>
          <w:sz w:val="20"/>
        </w:rPr>
        <w:t>1.</w:t>
      </w:r>
    </w:p>
    <w:p>
      <w:pPr>
        <w:pStyle w:val="TextBody"/>
        <w:bidi w:val="0"/>
        <w:spacing w:before="120" w:after="0"/>
        <w:jc w:val="both"/>
        <w:rPr>
          <w:rFonts w:ascii="Times New Roman;serif" w:hAnsi="Times New Roman;serif"/>
          <w:sz w:val="20"/>
        </w:rPr>
      </w:pPr>
      <w:r>
        <w:rPr>
          <w:rFonts w:ascii="Times New Roman;serif" w:hAnsi="Times New Roman;serif"/>
          <w:b w:val="false"/>
          <w:sz w:val="20"/>
        </w:rPr>
        <w:t>Certain intangible assets were established upon PDL BioPharma, Inc.’s acquisition of LENSAR in May 2017. They are being amortized on a straight-line basis over a period of 15</w:t>
      </w:r>
      <w:r>
        <w:rPr>
          <w:rFonts w:ascii="Times New Roman;serif" w:hAnsi="Times New Roman;serif"/>
          <w:sz w:val="20"/>
        </w:rPr>
        <w:t xml:space="preserve"> </w:t>
      </w:r>
      <w:r>
        <w:rPr>
          <w:rFonts w:ascii="Times New Roman;serif" w:hAnsi="Times New Roman;serif"/>
          <w:b w:val="false"/>
          <w:sz w:val="20"/>
        </w:rPr>
        <w:t>years. The intangible assets for customer relationships are amortized on a straight-line basis or a double declining basis over their estimated useful lives up to 20</w:t>
      </w:r>
      <w:r>
        <w:rPr>
          <w:rFonts w:ascii="Times New Roman;serif" w:hAnsi="Times New Roman;serif"/>
          <w:sz w:val="20"/>
        </w:rPr>
        <w:t xml:space="preserve"> </w:t>
      </w:r>
      <w:r>
        <w:rPr>
          <w:rFonts w:ascii="Times New Roman;serif" w:hAnsi="Times New Roman;serif"/>
          <w:b w:val="false"/>
          <w:sz w:val="20"/>
        </w:rPr>
        <w:t xml:space="preserve">years based on the method that better represents the economic benefits to be obtained. </w:t>
      </w:r>
    </w:p>
    <w:p>
      <w:pPr>
        <w:pStyle w:val="TextBody"/>
        <w:bidi w:val="0"/>
        <w:spacing w:before="120" w:after="0"/>
        <w:jc w:val="both"/>
        <w:rPr>
          <w:rFonts w:ascii="Times New Roman" w:hAnsi="Times New Roman"/>
          <w:b w:val="false"/>
          <w:sz w:val="20"/>
        </w:rPr>
      </w:pPr>
      <w:r>
        <w:rPr>
          <w:rFonts w:ascii="Times New Roman" w:hAnsi="Times New Roman"/>
          <w:b w:val="false"/>
          <w:sz w:val="20"/>
        </w:rPr>
        <w:t>2.</w:t>
      </w:r>
    </w:p>
    <w:p>
      <w:pPr>
        <w:pStyle w:val="TextBody"/>
        <w:bidi w:val="0"/>
        <w:spacing w:before="120" w:after="0"/>
        <w:jc w:val="both"/>
        <w:rPr>
          <w:rFonts w:ascii="Times New Roman;serif" w:hAnsi="Times New Roman;serif"/>
          <w:sz w:val="20"/>
        </w:rPr>
      </w:pPr>
      <w:r>
        <w:rPr>
          <w:rFonts w:ascii="Times New Roman;serif" w:hAnsi="Times New Roman;serif"/>
          <w:b w:val="false"/>
          <w:sz w:val="20"/>
        </w:rPr>
        <w:t>LENSAR acquired certain intangible assets for customer relationships from a domestic distributor in an asset acquisition, which are being amortized on a straight-line basis over a period of 10</w:t>
      </w:r>
      <w:r>
        <w:rPr>
          <w:rFonts w:ascii="Times New Roman;serif" w:hAnsi="Times New Roman;serif"/>
          <w:sz w:val="20"/>
        </w:rPr>
        <w:t xml:space="preserve"> </w:t>
      </w:r>
      <w:r>
        <w:rPr>
          <w:rFonts w:ascii="Times New Roman;serif" w:hAnsi="Times New Roman;serif"/>
          <w:b w:val="false"/>
          <w:sz w:val="20"/>
        </w:rPr>
        <w:t xml:space="preserve">years. </w:t>
      </w:r>
    </w:p>
    <w:p>
      <w:pPr>
        <w:pStyle w:val="TextBody"/>
        <w:bidi w:val="0"/>
        <w:spacing w:before="120" w:after="0"/>
        <w:jc w:val="both"/>
        <w:rPr>
          <w:rFonts w:ascii="Times New Roman" w:hAnsi="Times New Roman"/>
          <w:b w:val="false"/>
          <w:sz w:val="20"/>
        </w:rPr>
      </w:pPr>
      <w:r>
        <w:rPr>
          <w:rFonts w:ascii="Times New Roman" w:hAnsi="Times New Roman"/>
          <w:b w:val="false"/>
          <w:sz w:val="20"/>
        </w:rPr>
        <w:t>3.</w:t>
      </w:r>
    </w:p>
    <w:p>
      <w:pPr>
        <w:pStyle w:val="TextBody"/>
        <w:bidi w:val="0"/>
        <w:spacing w:before="120" w:after="0"/>
        <w:jc w:val="both"/>
        <w:rPr>
          <w:rFonts w:ascii="Times New Roman;serif" w:hAnsi="Times New Roman;serif"/>
          <w:sz w:val="20"/>
        </w:rPr>
      </w:pPr>
      <w:r>
        <w:rPr>
          <w:rFonts w:ascii="Times New Roman;serif" w:hAnsi="Times New Roman;serif"/>
          <w:b w:val="false"/>
          <w:sz w:val="20"/>
        </w:rPr>
        <w:t>LENSAR acquired certain intangible assets from a medical technology company in an asset acquisition, which are being amortized on a straight-line basis over a period of 15</w:t>
      </w:r>
      <w:r>
        <w:rPr>
          <w:rFonts w:ascii="Times New Roman;serif" w:hAnsi="Times New Roman;serif"/>
          <w:sz w:val="20"/>
        </w:rPr>
        <w:t xml:space="preserve"> </w:t>
      </w:r>
      <w:r>
        <w:rPr>
          <w:rFonts w:ascii="Times New Roman;serif" w:hAnsi="Times New Roman;serif"/>
          <w:b w:val="false"/>
          <w:sz w:val="20"/>
        </w:rPr>
        <w:t xml:space="preserve">years. </w:t>
      </w:r>
    </w:p>
    <w:p>
      <w:pPr>
        <w:pStyle w:val="TextBody"/>
        <w:bidi w:val="0"/>
        <w:spacing w:before="120" w:after="0"/>
        <w:jc w:val="both"/>
        <w:rPr>
          <w:rFonts w:ascii="Times New Roman" w:hAnsi="Times New Roman"/>
          <w:b w:val="false"/>
          <w:sz w:val="20"/>
        </w:rPr>
      </w:pPr>
      <w:r>
        <w:rPr>
          <w:rFonts w:ascii="Times New Roman" w:hAnsi="Times New Roman"/>
          <w:b w:val="false"/>
          <w:sz w:val="20"/>
        </w:rPr>
        <w:t>4.</w:t>
      </w:r>
    </w:p>
    <w:p>
      <w:pPr>
        <w:pStyle w:val="TextBody"/>
        <w:bidi w:val="0"/>
        <w:spacing w:before="120" w:after="283"/>
        <w:jc w:val="both"/>
        <w:rPr>
          <w:rFonts w:ascii="Times New Roman;serif" w:hAnsi="Times New Roman;serif"/>
          <w:sz w:val="20"/>
        </w:rPr>
      </w:pPr>
      <w:r>
        <w:rPr>
          <w:rFonts w:ascii="Times New Roman;serif" w:hAnsi="Times New Roman;serif"/>
          <w:b w:val="false"/>
          <w:sz w:val="20"/>
        </w:rPr>
        <w:t>In 2019, LENSAR acquired certain intellectual property from a third party. Pursuant to the Company's agreement with the third party, the Company made milestone payments of $2,400</w:t>
      </w:r>
      <w:r>
        <w:rPr>
          <w:rFonts w:ascii="Times New Roman;serif" w:hAnsi="Times New Roman;serif"/>
          <w:sz w:val="20"/>
        </w:rPr>
        <w:t xml:space="preserve"> </w:t>
      </w:r>
      <w:r>
        <w:rPr>
          <w:rFonts w:ascii="Times New Roman;serif" w:hAnsi="Times New Roman;serif"/>
          <w:b w:val="false"/>
          <w:sz w:val="20"/>
        </w:rPr>
        <w:t>during the year ended December 31, 2022. The intangible assets will be amortized on a straight-line basis over a period of 15</w:t>
      </w:r>
      <w:r>
        <w:rPr>
          <w:rFonts w:ascii="Times New Roman;serif" w:hAnsi="Times New Roman;serif"/>
          <w:sz w:val="20"/>
        </w:rPr>
        <w:t xml:space="preserve"> </w:t>
      </w:r>
      <w:r>
        <w:rPr>
          <w:rFonts w:ascii="Times New Roman;serif" w:hAnsi="Times New Roman;serif"/>
          <w:b w:val="false"/>
          <w:sz w:val="20"/>
        </w:rPr>
        <w:t>years.</w:t>
      </w:r>
    </w:p>
    <w:p>
      <w:pPr>
        <w:pStyle w:val="TextBody"/>
        <w:bidi w:val="0"/>
        <w:spacing w:before="240" w:after="0"/>
        <w:jc w:val="left"/>
        <w:rPr>
          <w:rFonts w:ascii="Times New Roman" w:hAnsi="Times New Roman"/>
          <w:sz w:val="20"/>
        </w:rPr>
      </w:pPr>
      <w:r>
        <w:rPr>
          <w:rFonts w:ascii="Times New Roman;serif" w:hAnsi="Times New Roman;serif"/>
          <w:b w:val="false"/>
          <w:sz w:val="20"/>
        </w:rPr>
        <w:t>Amortization expense for three months ended March 31, 2023 and 2022 was $276</w:t>
      </w:r>
      <w:r>
        <w:rPr>
          <w:rFonts w:ascii="Times New Roman" w:hAnsi="Times New Roman"/>
          <w:sz w:val="20"/>
        </w:rPr>
        <w:t xml:space="preserve"> </w:t>
      </w:r>
      <w:r>
        <w:rPr>
          <w:rFonts w:ascii="Times New Roman;serif" w:hAnsi="Times New Roman;serif"/>
          <w:b w:val="false"/>
          <w:sz w:val="20"/>
        </w:rPr>
        <w:t>and $309, respectively.</w:t>
      </w:r>
      <w:r>
        <w:rPr>
          <w:rFonts w:ascii="Times New Roman" w:hAnsi="Times New Roman"/>
          <w:sz w:val="20"/>
        </w:rPr>
        <w:t xml:space="preserve"> </w:t>
      </w:r>
    </w:p>
    <w:p>
      <w:pPr>
        <w:pStyle w:val="TextBody"/>
        <w:bidi w:val="0"/>
        <w:spacing w:before="240" w:after="120"/>
        <w:jc w:val="both"/>
        <w:rPr>
          <w:rFonts w:ascii="Times New Roman" w:hAnsi="Times New Roman"/>
          <w:sz w:val="20"/>
        </w:rPr>
      </w:pPr>
      <w:r>
        <w:rPr>
          <w:rFonts w:ascii="Times New Roman;serif" w:hAnsi="Times New Roman;serif"/>
          <w:b w:val="false"/>
          <w:sz w:val="20"/>
        </w:rPr>
        <w:t>Based on the intangible assets recorded at March 31, 2023, and assuming no subsequent additions to or impairment of the underlying assets, the remaining amortization expense is expected to be as follows:</w:t>
      </w:r>
      <w:r>
        <w:rPr>
          <w:rFonts w:ascii="Times New Roman" w:hAnsi="Times New Roman"/>
          <w:sz w:val="20"/>
        </w:rPr>
        <w:t xml:space="preserve"> </w:t>
      </w:r>
    </w:p>
    <w:tbl>
      <w:tblPr>
        <w:tblW w:w="5260" w:type="dxa"/>
        <w:jc w:val="left"/>
        <w:tblInd w:w="0" w:type="dxa"/>
        <w:tblLayout w:type="fixed"/>
        <w:tblCellMar>
          <w:top w:w="28" w:type="dxa"/>
          <w:left w:w="28" w:type="dxa"/>
          <w:bottom w:w="28" w:type="dxa"/>
          <w:right w:w="28" w:type="dxa"/>
        </w:tblCellMar>
      </w:tblPr>
      <w:tblGrid>
        <w:gridCol w:w="4036"/>
        <w:gridCol w:w="146"/>
        <w:gridCol w:w="211"/>
        <w:gridCol w:w="676"/>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Fiscal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19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1,165</w:t>
            </w:r>
          </w:p>
        </w:tc>
        <w:tc>
          <w:tcPr>
            <w:tcW w:w="19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w:t>
            </w:r>
          </w:p>
        </w:tc>
        <w:tc>
          <w:tcPr>
            <w:tcW w:w="19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1,224</w:t>
            </w:r>
          </w:p>
        </w:tc>
        <w:tc>
          <w:tcPr>
            <w:tcW w:w="19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1,215</w:t>
            </w:r>
          </w:p>
        </w:tc>
        <w:tc>
          <w:tcPr>
            <w:tcW w:w="19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2028</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1,008</w:t>
            </w:r>
          </w:p>
        </w:tc>
        <w:tc>
          <w:tcPr>
            <w:tcW w:w="19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remaining estimated amortization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11,845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Note 7. Accrued Liabilities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Accrued liabilities consist of the following:</w:t>
      </w:r>
    </w:p>
    <w:tbl>
      <w:tblPr>
        <w:tblW w:w="5190" w:type="dxa"/>
        <w:jc w:val="left"/>
        <w:tblInd w:w="0" w:type="dxa"/>
        <w:tblLayout w:type="fixed"/>
        <w:tblCellMar>
          <w:top w:w="28" w:type="dxa"/>
          <w:left w:w="28" w:type="dxa"/>
          <w:bottom w:w="28" w:type="dxa"/>
          <w:right w:w="28" w:type="dxa"/>
        </w:tblCellMar>
      </w:tblPr>
      <w:tblGrid>
        <w:gridCol w:w="1801"/>
        <w:gridCol w:w="146"/>
        <w:gridCol w:w="340"/>
        <w:gridCol w:w="920"/>
        <w:gridCol w:w="146"/>
        <w:gridCol w:w="146"/>
        <w:gridCol w:w="403"/>
        <w:gridCol w:w="1097"/>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3,348</w:t>
            </w:r>
          </w:p>
        </w:tc>
        <w:tc>
          <w:tcPr>
            <w:tcW w:w="191" w:type="dxa"/>
            <w:tcBorders/>
            <w:vAlign w:val="center"/>
          </w:tcPr>
          <w:p>
            <w:pPr>
              <w:pStyle w:val="TableContents"/>
              <w:bidi w:val="0"/>
              <w:spacing w:before="0" w:after="0"/>
              <w:ind w:left="0" w:right="0" w:hanging="0"/>
              <w:jc w:val="left"/>
              <w:rPr/>
            </w:pPr>
            <w:r>
              <w:rPr/>
              <w:t> </w:t>
            </w:r>
          </w:p>
        </w:tc>
      </w:tr>
      <w:tr>
        <w:trPr/>
        <w:tc>
          <w:tcPr>
            <w:tcW w:w="1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services</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437</w:t>
            </w:r>
          </w:p>
        </w:tc>
        <w:tc>
          <w:tcPr>
            <w:tcW w:w="191" w:type="dxa"/>
            <w:tcBorders/>
            <w:vAlign w:val="center"/>
          </w:tcPr>
          <w:p>
            <w:pPr>
              <w:pStyle w:val="TableContents"/>
              <w:bidi w:val="0"/>
              <w:spacing w:before="0" w:after="0"/>
              <w:ind w:left="0" w:right="0" w:hanging="0"/>
              <w:jc w:val="left"/>
              <w:rPr/>
            </w:pPr>
            <w:r>
              <w:rPr/>
              <w:t> </w:t>
            </w:r>
          </w:p>
        </w:tc>
      </w:tr>
      <w:tr>
        <w:trPr/>
        <w:tc>
          <w:tcPr>
            <w:tcW w:w="1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advances</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91" w:type="dxa"/>
            <w:tcBorders/>
            <w:vAlign w:val="center"/>
          </w:tcPr>
          <w:p>
            <w:pPr>
              <w:pStyle w:val="TableContents"/>
              <w:bidi w:val="0"/>
              <w:spacing w:before="0" w:after="0"/>
              <w:ind w:left="0" w:right="0" w:hanging="0"/>
              <w:jc w:val="left"/>
              <w:rPr/>
            </w:pPr>
            <w:r>
              <w:rPr/>
              <w:t> </w:t>
            </w:r>
          </w:p>
        </w:tc>
      </w:tr>
      <w:tr>
        <w:trPr/>
        <w:tc>
          <w:tcPr>
            <w:tcW w:w="1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Warranty</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91" w:type="dxa"/>
            <w:tcBorders/>
            <w:vAlign w:val="center"/>
          </w:tcPr>
          <w:p>
            <w:pPr>
              <w:pStyle w:val="TableContents"/>
              <w:bidi w:val="0"/>
              <w:spacing w:before="0" w:after="0"/>
              <w:ind w:left="0" w:right="0" w:hanging="0"/>
              <w:jc w:val="left"/>
              <w:rPr/>
            </w:pPr>
            <w:r>
              <w:rPr/>
              <w:t> </w:t>
            </w:r>
          </w:p>
        </w:tc>
      </w:tr>
      <w:tr>
        <w:trPr/>
        <w:tc>
          <w:tcPr>
            <w:tcW w:w="1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(Dollars and shares in thousands)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Note 8.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Purchase Obligation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LENSAR is a party to various supply agreements for the manufacture and supply of certain components. The supply agreements commit LENSAR to a minimum purchase obligation of approximately $4,729</w:t>
      </w:r>
      <w:r>
        <w:rPr>
          <w:rFonts w:ascii="Times New Roman" w:hAnsi="Times New Roman"/>
          <w:sz w:val="20"/>
        </w:rPr>
        <w:t xml:space="preserve"> </w:t>
      </w:r>
      <w:r>
        <w:rPr>
          <w:rFonts w:ascii="Times New Roman;serif" w:hAnsi="Times New Roman;serif"/>
          <w:b w:val="false"/>
          <w:sz w:val="20"/>
        </w:rPr>
        <w:t>over the next 24 months. LENSAR expects to meet these requirements.</w:t>
      </w:r>
    </w:p>
    <w:p>
      <w:pPr>
        <w:pStyle w:val="TextBody"/>
        <w:bidi w:val="0"/>
        <w:spacing w:before="360" w:after="0"/>
        <w:jc w:val="left"/>
        <w:rPr>
          <w:rFonts w:ascii="Times New Roman" w:hAnsi="Times New Roman"/>
          <w:sz w:val="20"/>
        </w:rPr>
      </w:pPr>
      <w:r>
        <w:rPr>
          <w:rFonts w:ascii="Times New Roman;serif" w:hAnsi="Times New Roman;serif"/>
          <w:b/>
          <w:sz w:val="20"/>
        </w:rPr>
        <w:t>Royalty Payments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acquired certain intellectual property, which would result in royalty payments at a rate of 3% of certain revenue upon the phacoemulsification features being cleared for commercialization and operational in the ALLY System.</w:t>
      </w:r>
    </w:p>
    <w:p>
      <w:pPr>
        <w:pStyle w:val="TextBody"/>
        <w:bidi w:val="0"/>
        <w:spacing w:before="360" w:after="0"/>
        <w:jc w:val="left"/>
        <w:rPr>
          <w:rFonts w:ascii="Times New Roman" w:hAnsi="Times New Roman"/>
          <w:sz w:val="20"/>
        </w:rPr>
      </w:pPr>
      <w:r>
        <w:rPr>
          <w:rFonts w:ascii="Times New Roman;serif" w:hAnsi="Times New Roman;serif"/>
          <w:b/>
          <w:sz w:val="20"/>
        </w:rPr>
        <w:t>Employee Retention Credit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In March 2020, the United States enacted the Coronavirus Aid, Relief, and Economic Security Act (“CARES Act”). The CARES Act provides for an employee retention credit (“ERC”), which is a refundable tax credit against certain employment taxes paid in 2020 and 2021. The Company filed for the ERC in the amount of approximately $1,600</w:t>
      </w:r>
      <w:r>
        <w:rPr>
          <w:rFonts w:ascii="Times New Roman" w:hAnsi="Times New Roman"/>
          <w:sz w:val="20"/>
        </w:rPr>
        <w:t xml:space="preserve"> </w:t>
      </w:r>
      <w:r>
        <w:rPr>
          <w:rFonts w:ascii="Times New Roman;serif" w:hAnsi="Times New Roman;serif"/>
          <w:b w:val="false"/>
          <w:sz w:val="20"/>
        </w:rPr>
        <w:t>in the first quarter of 2023. Should the Company receive the full ERC, it will owe $250</w:t>
      </w:r>
      <w:r>
        <w:rPr>
          <w:rFonts w:ascii="Times New Roman" w:hAnsi="Times New Roman"/>
          <w:sz w:val="20"/>
        </w:rPr>
        <w:t xml:space="preserve"> </w:t>
      </w:r>
      <w:r>
        <w:rPr>
          <w:rFonts w:ascii="Times New Roman;serif" w:hAnsi="Times New Roman;serif"/>
          <w:b w:val="false"/>
          <w:sz w:val="20"/>
        </w:rPr>
        <w:t>in contingent professional fees. Given the uncertainty the ERC will be allowed by the Internal Revenue Service and the amount received, if any, cannot be estimated, the Company has not recognized any amounts in the condensed financial statements as of March 31, 2023.</w:t>
      </w:r>
    </w:p>
    <w:p>
      <w:pPr>
        <w:pStyle w:val="TextBody"/>
        <w:bidi w:val="0"/>
        <w:spacing w:before="360" w:after="0"/>
        <w:jc w:val="both"/>
        <w:rPr>
          <w:rFonts w:ascii="Times New Roman" w:hAnsi="Times New Roman"/>
          <w:sz w:val="20"/>
        </w:rPr>
      </w:pPr>
      <w:r>
        <w:rPr>
          <w:rFonts w:ascii="Times New Roman;serif" w:hAnsi="Times New Roman;serif"/>
          <w:b/>
          <w:sz w:val="20"/>
        </w:rPr>
        <w:t>Legal Matters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medical device market in which LENSAR participates is largely technology driven. As a result, intellectual property rights, particularly patents and trade secrets, play a significant role in product development and differentiation. The Company makes provisions for liabilities when it is both probable that a liability has been incurred and the amount of the loss can be reasonably estimated. Management believes that there are currently no claims or legal actions that would reasonably be expected to have a material adverse effect on the Company’s results of operations, financial condition or cash flows.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Note 9. Stockholders’ Equity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Preferred Stock</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has a single class of preferred stock, of which no</w:t>
      </w:r>
      <w:r>
        <w:rPr>
          <w:rFonts w:ascii="Times New Roman" w:hAnsi="Times New Roman"/>
          <w:sz w:val="20"/>
        </w:rPr>
        <w:t xml:space="preserve"> </w:t>
      </w:r>
      <w:r>
        <w:rPr>
          <w:rFonts w:ascii="Times New Roman;serif" w:hAnsi="Times New Roman;serif"/>
          <w:b w:val="false"/>
          <w:sz w:val="20"/>
        </w:rPr>
        <w:t>shares were issued and outstanding as of March 31, 2023.</w:t>
      </w:r>
    </w:p>
    <w:p>
      <w:pPr>
        <w:pStyle w:val="TextBody"/>
        <w:bidi w:val="0"/>
        <w:spacing w:before="360" w:after="0"/>
        <w:jc w:val="left"/>
        <w:rPr>
          <w:rFonts w:ascii="Times New Roman" w:hAnsi="Times New Roman"/>
          <w:sz w:val="20"/>
        </w:rPr>
      </w:pPr>
      <w:r>
        <w:rPr>
          <w:rFonts w:ascii="Times New Roman;serif" w:hAnsi="Times New Roman;serif"/>
          <w:b/>
          <w:sz w:val="20"/>
        </w:rPr>
        <w:t>Common Stock</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has a single class of common stock in which stockholders are entitled to one vote for each share of common stock. No</w:t>
      </w:r>
      <w:r>
        <w:rPr>
          <w:rFonts w:ascii="Times New Roman" w:hAnsi="Times New Roman"/>
          <w:sz w:val="20"/>
        </w:rPr>
        <w:t xml:space="preserve"> </w:t>
      </w:r>
      <w:r>
        <w:rPr>
          <w:rFonts w:ascii="Times New Roman;serif" w:hAnsi="Times New Roman;serif"/>
          <w:b w:val="false"/>
          <w:sz w:val="20"/>
        </w:rPr>
        <w:t>cash dividend was declared on common stock during the three months ended March 31, 2023 and 2022.</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currently has an effective shelf registration statement on Form S-3 (No. 333-255136), which was filed with the SEC on April 8, 2021 (the “Registration Statement”), under which the Company may offer from time to time in one or more offerings any combination of common and preferred stock, debt securities, depositary shares, warrants, purchase contracts and units of up to $100.0</w:t>
      </w:r>
      <w:r>
        <w:rPr>
          <w:rFonts w:ascii="Times New Roman" w:hAnsi="Times New Roman"/>
          <w:sz w:val="20"/>
        </w:rPr>
        <w:t xml:space="preserve"> </w:t>
      </w:r>
      <w:r>
        <w:rPr>
          <w:rFonts w:ascii="Times New Roman;serif" w:hAnsi="Times New Roman;serif"/>
          <w:b w:val="false"/>
          <w:sz w:val="20"/>
        </w:rPr>
        <w:t>million in the aggregate. The Company also simultaneously entered into a sales agreement providing for the offering, issuance and sale by the Company of up to an aggregate $35.0</w:t>
      </w:r>
      <w:r>
        <w:rPr>
          <w:rFonts w:ascii="Times New Roman" w:hAnsi="Times New Roman"/>
          <w:sz w:val="20"/>
        </w:rPr>
        <w:t xml:space="preserve"> </w:t>
      </w:r>
      <w:r>
        <w:rPr>
          <w:rFonts w:ascii="Times New Roman;serif" w:hAnsi="Times New Roman;serif"/>
          <w:b w:val="false"/>
          <w:sz w:val="20"/>
        </w:rPr>
        <w:t>million of its common stock from time to time in “at-the-market” (“ATM”) offerings under the Registration Statement. No</w:t>
      </w:r>
      <w:r>
        <w:rPr>
          <w:rFonts w:ascii="Times New Roman" w:hAnsi="Times New Roman"/>
          <w:sz w:val="20"/>
        </w:rPr>
        <w:t xml:space="preserve"> </w:t>
      </w:r>
      <w:r>
        <w:rPr>
          <w:rFonts w:ascii="Times New Roman;serif" w:hAnsi="Times New Roman;serif"/>
          <w:b w:val="false"/>
          <w:sz w:val="20"/>
        </w:rPr>
        <w:t>shares were sold under the ATM during the quarters ended March 31, 2023 and 2022.</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Refer to Note 12, Subsequent Event, for further details related to the Company’s entrance into a Securities Purchase Agreement, dated as of May 12, 2023, providing for the sale of preferred stock and warrants to NR-GRI Partners, LP.</w:t>
      </w:r>
    </w:p>
    <w:p>
      <w:pPr>
        <w:pStyle w:val="TextBody"/>
        <w:bidi w:val="0"/>
        <w:spacing w:before="120" w:after="0"/>
        <w:jc w:val="both"/>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(Dollars and shares in thousands)</w:t>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Note 10. Stock-Based Compensation</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Stock-Based Incentive Plans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2020 Plan</w:t>
      </w:r>
    </w:p>
    <w:p>
      <w:pPr>
        <w:pStyle w:val="TextBody"/>
        <w:bidi w:val="0"/>
        <w:spacing w:before="120" w:after="0"/>
        <w:jc w:val="both"/>
        <w:rPr>
          <w:rFonts w:ascii="Times New Roman" w:hAnsi="Times New Roman"/>
          <w:sz w:val="20"/>
        </w:rPr>
      </w:pPr>
      <w:r>
        <w:rPr>
          <w:rFonts w:ascii="Times New Roman;serif" w:hAnsi="Times New Roman;serif"/>
          <w:b w:val="false"/>
          <w:sz w:val="20"/>
        </w:rPr>
        <w:t>In July 2020, the Board of Directors approved the LENSAR Inc. 2020 Incentive Award Plan (the “2020 Plan”). The 2020 Plan provides for the grant of stock options, restricted stock, restricted stock unit awards and other stock-based awards to recipients. The amount and terms of grants are determined by the Company’s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w:t>
      </w:r>
      <w:r>
        <w:rPr>
          <w:rFonts w:ascii="Times New Roman" w:hAnsi="Times New Roman"/>
          <w:sz w:val="20"/>
        </w:rPr>
        <w:t xml:space="preserve"> </w:t>
      </w:r>
      <w:r>
        <w:rPr>
          <w:rFonts w:ascii="Times New Roman;serif" w:hAnsi="Times New Roman;serif"/>
          <w:b w:val="false"/>
          <w:sz w:val="20"/>
        </w:rPr>
        <w:t>shares of common stock were initially reserved for issuance pursuant to the 2020 Plan. The number of shares available for issuance under the 2020 Plan includes an annual increase on the first day of each fiscal year beginning fiscal 2021, equal to the lesser of (i) 5% of the aggregate number of shares outstanding on the final day of the immediately preceding calendar year and (ii) such smaller number of shares as determined by the Board of Directors. As of March 31, 2023</w:t>
      </w:r>
      <w:r>
        <w:rPr>
          <w:rFonts w:ascii="Times New Roman" w:hAnsi="Times New Roman"/>
          <w:sz w:val="20"/>
        </w:rPr>
        <w:t xml:space="preserve"> </w:t>
      </w:r>
      <w:r>
        <w:rPr>
          <w:rFonts w:ascii="Times New Roman;serif" w:hAnsi="Times New Roman;serif"/>
          <w:b w:val="false"/>
          <w:sz w:val="20"/>
        </w:rPr>
        <w:t>the Company has reserved 4,984</w:t>
      </w:r>
      <w:r>
        <w:rPr>
          <w:rFonts w:ascii="Times New Roman" w:hAnsi="Times New Roman"/>
          <w:sz w:val="20"/>
        </w:rPr>
        <w:t xml:space="preserve"> </w:t>
      </w:r>
      <w:r>
        <w:rPr>
          <w:rFonts w:ascii="Times New Roman;serif" w:hAnsi="Times New Roman;serif"/>
          <w:b w:val="false"/>
          <w:sz w:val="20"/>
        </w:rPr>
        <w:t>shares of common stock for issuance under the 2020 Plan.</w:t>
      </w:r>
      <w:r>
        <w:rPr>
          <w:rFonts w:ascii="Times New Roman" w:hAnsi="Times New Roman"/>
          <w:sz w:val="20"/>
        </w:rPr>
        <w:t xml:space="preserve"> </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A summary of the shares available for issuance under the 2020 Plan is as follows:</w:t>
      </w:r>
    </w:p>
    <w:tbl>
      <w:tblPr>
        <w:tblW w:w="4463" w:type="dxa"/>
        <w:jc w:val="left"/>
        <w:tblInd w:w="0" w:type="dxa"/>
        <w:tblLayout w:type="fixed"/>
        <w:tblCellMar>
          <w:top w:w="28" w:type="dxa"/>
          <w:left w:w="28" w:type="dxa"/>
          <w:bottom w:w="28" w:type="dxa"/>
          <w:right w:w="28" w:type="dxa"/>
        </w:tblCellMar>
      </w:tblPr>
      <w:tblGrid>
        <w:gridCol w:w="2596"/>
        <w:gridCol w:w="146"/>
        <w:gridCol w:w="287"/>
        <w:gridCol w:w="1123"/>
        <w:gridCol w:w="3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Shares</w:t>
            </w:r>
          </w:p>
        </w:tc>
        <w:tc>
          <w:tcPr>
            <w:tcW w:w="311" w:type="dxa"/>
            <w:tcBorders/>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1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w:t>
            </w:r>
          </w:p>
        </w:tc>
        <w:tc>
          <w:tcPr>
            <w:tcW w:w="311" w:type="dxa"/>
            <w:tcBorders/>
            <w:vAlign w:val="center"/>
          </w:tcPr>
          <w:p>
            <w:pPr>
              <w:pStyle w:val="TableContents"/>
              <w:bidi w:val="0"/>
              <w:spacing w:before="0" w:after="0"/>
              <w:ind w:left="0" w:right="0" w:firstLine="100"/>
              <w:jc w:val="left"/>
              <w:rPr/>
            </w:pPr>
            <w:r>
              <w:rPr/>
              <w:t> </w:t>
            </w:r>
          </w:p>
        </w:tc>
      </w:tr>
      <w:tr>
        <w:trPr/>
        <w:tc>
          <w:tcPr>
            <w:tcW w:w="25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Authorized</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1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w:t>
            </w:r>
          </w:p>
        </w:tc>
        <w:tc>
          <w:tcPr>
            <w:tcW w:w="311" w:type="dxa"/>
            <w:tcBorders/>
            <w:vAlign w:val="center"/>
          </w:tcPr>
          <w:p>
            <w:pPr>
              <w:pStyle w:val="TableContents"/>
              <w:bidi w:val="0"/>
              <w:spacing w:before="0" w:after="0"/>
              <w:ind w:left="0" w:right="0" w:firstLine="100"/>
              <w:jc w:val="left"/>
              <w:rPr/>
            </w:pPr>
            <w:r>
              <w:rPr/>
              <w:t> </w:t>
            </w:r>
          </w:p>
        </w:tc>
      </w:tr>
      <w:tr>
        <w:trPr/>
        <w:tc>
          <w:tcPr>
            <w:tcW w:w="25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Granted/Awarded</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1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5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1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31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1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w:t>
            </w:r>
          </w:p>
        </w:tc>
        <w:tc>
          <w:tcPr>
            <w:tcW w:w="31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Stock Options</w:t>
      </w:r>
    </w:p>
    <w:p>
      <w:pPr>
        <w:pStyle w:val="TextBody"/>
        <w:bidi w:val="0"/>
        <w:spacing w:before="240" w:after="0"/>
        <w:jc w:val="both"/>
        <w:rPr>
          <w:rFonts w:ascii="Times New Roman" w:hAnsi="Times New Roman"/>
          <w:sz w:val="20"/>
        </w:rPr>
      </w:pPr>
      <w:r>
        <w:rPr>
          <w:rFonts w:ascii="Times New Roman;serif" w:hAnsi="Times New Roman;serif"/>
          <w:b w:val="false"/>
          <w:sz w:val="20"/>
        </w:rPr>
        <w:t>The exercise price of incentive stock options (“ISOs”) and nonqualified stock options (“NSOs”) shall not be less than 100% of the fair market value on the grant date of the option and the term may not exceed 10</w:t>
      </w:r>
      <w:r>
        <w:rPr>
          <w:rFonts w:ascii="Times New Roman" w:hAnsi="Times New Roman"/>
          <w:sz w:val="20"/>
        </w:rPr>
        <w:t xml:space="preserve"> </w:t>
      </w:r>
      <w:r>
        <w:rPr>
          <w:rFonts w:ascii="Times New Roman;serif" w:hAnsi="Times New Roman;serif"/>
          <w:b w:val="false"/>
          <w:sz w:val="20"/>
        </w:rPr>
        <w:t>years. The exercise price of ISOs granted to a 10% stockholder shall not be less than 110% of the estimated fair market value on the grant date of the option and the term may not exceed five years. To date, options have a term of 10</w:t>
      </w:r>
      <w:r>
        <w:rPr>
          <w:rFonts w:ascii="Times New Roman" w:hAnsi="Times New Roman"/>
          <w:sz w:val="20"/>
        </w:rPr>
        <w:t xml:space="preserve"> </w:t>
      </w:r>
      <w:r>
        <w:rPr>
          <w:rFonts w:ascii="Times New Roman;serif" w:hAnsi="Times New Roman;serif"/>
          <w:b w:val="false"/>
          <w:sz w:val="20"/>
        </w:rPr>
        <w:t>years and generally vest over one</w:t>
      </w:r>
      <w:r>
        <w:rPr>
          <w:rFonts w:ascii="Times New Roman" w:hAnsi="Times New Roman"/>
          <w:sz w:val="20"/>
        </w:rPr>
        <w:t xml:space="preserve"> </w:t>
      </w:r>
      <w:r>
        <w:rPr>
          <w:rFonts w:ascii="Times New Roman;serif" w:hAnsi="Times New Roman;serif"/>
          <w:b w:val="false"/>
          <w:sz w:val="20"/>
        </w:rPr>
        <w:t>to four years</w:t>
      </w:r>
      <w:r>
        <w:rPr>
          <w:rFonts w:ascii="Times New Roman" w:hAnsi="Times New Roman"/>
          <w:sz w:val="20"/>
        </w:rPr>
        <w:t xml:space="preserve"> </w:t>
      </w:r>
      <w:r>
        <w:rPr>
          <w:rFonts w:ascii="Times New Roman;serif" w:hAnsi="Times New Roman;serif"/>
          <w:b w:val="false"/>
          <w:sz w:val="20"/>
        </w:rPr>
        <w:t>from the grant date.</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Option award activity under the 2020 Plan is set forth below:</w:t>
      </w:r>
    </w:p>
    <w:tbl>
      <w:tblPr>
        <w:tblW w:w="10205" w:type="dxa"/>
        <w:jc w:val="left"/>
        <w:tblInd w:w="0" w:type="dxa"/>
        <w:tblLayout w:type="fixed"/>
        <w:tblCellMar>
          <w:top w:w="28" w:type="dxa"/>
          <w:left w:w="28" w:type="dxa"/>
          <w:bottom w:w="28" w:type="dxa"/>
          <w:right w:w="28" w:type="dxa"/>
        </w:tblCellMar>
      </w:tblPr>
      <w:tblGrid>
        <w:gridCol w:w="2405"/>
        <w:gridCol w:w="146"/>
        <w:gridCol w:w="210"/>
        <w:gridCol w:w="824"/>
        <w:gridCol w:w="166"/>
        <w:gridCol w:w="146"/>
        <w:gridCol w:w="494"/>
        <w:gridCol w:w="1092"/>
        <w:gridCol w:w="146"/>
        <w:gridCol w:w="146"/>
        <w:gridCol w:w="737"/>
        <w:gridCol w:w="1828"/>
        <w:gridCol w:w="146"/>
        <w:gridCol w:w="146"/>
        <w:gridCol w:w="521"/>
        <w:gridCol w:w="858"/>
        <w:gridCol w:w="194"/>
      </w:tblGrid>
      <w:tr>
        <w:trPr/>
        <w:tc>
          <w:tcPr>
            <w:tcW w:w="2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6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 Outstanding</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Remaining Contractual Term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 Intrinsic Value</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left"/>
              <w:rPr/>
            </w:pPr>
            <w:r>
              <w:rPr/>
              <w:t> </w:t>
            </w:r>
          </w:p>
        </w:tc>
        <w:tc>
          <w:tcPr>
            <w:tcW w:w="18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r>
        <w:trPr/>
        <w:tc>
          <w:tcPr>
            <w:tcW w:w="2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79" w:type="dxa"/>
            <w:gridSpan w:val="2"/>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r>
      <w:tr>
        <w:trPr/>
        <w:tc>
          <w:tcPr>
            <w:tcW w:w="2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exercised</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79" w:type="dxa"/>
            <w:gridSpan w:val="2"/>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r>
      <w:tr>
        <w:trPr/>
        <w:tc>
          <w:tcPr>
            <w:tcW w:w="2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cancelled</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79" w:type="dxa"/>
            <w:gridSpan w:val="2"/>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r>
      <w:tr>
        <w:trPr/>
        <w:tc>
          <w:tcPr>
            <w:tcW w:w="2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March 31, 2023</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left"/>
              <w:rPr/>
            </w:pPr>
            <w:r>
              <w:rPr/>
              <w:t> </w:t>
            </w:r>
          </w:p>
        </w:tc>
        <w:tc>
          <w:tcPr>
            <w:tcW w:w="18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r>
        <w:trPr/>
        <w:tc>
          <w:tcPr>
            <w:tcW w:w="240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3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56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79" w:type="dxa"/>
            <w:gridSpan w:val="2"/>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r>
      <w:tr>
        <w:trPr/>
        <w:tc>
          <w:tcPr>
            <w:tcW w:w="2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expected to vest at March 31, 2023</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left"/>
              <w:rPr/>
            </w:pPr>
            <w:r>
              <w:rPr/>
              <w:t> </w:t>
            </w:r>
          </w:p>
        </w:tc>
        <w:tc>
          <w:tcPr>
            <w:tcW w:w="18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r>
        <w:trPr/>
        <w:tc>
          <w:tcPr>
            <w:tcW w:w="2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exercisable at March 31, 2023</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left"/>
              <w:rPr/>
            </w:pPr>
            <w:r>
              <w:rPr/>
              <w:t> </w:t>
            </w:r>
          </w:p>
        </w:tc>
        <w:tc>
          <w:tcPr>
            <w:tcW w:w="18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The weighted average grant date fair value of options granted during the three months ended March 31, 2023</w:t>
      </w:r>
      <w:r>
        <w:rPr>
          <w:rFonts w:ascii="Times New Roman" w:hAnsi="Times New Roman"/>
          <w:sz w:val="20"/>
        </w:rPr>
        <w:t xml:space="preserve"> </w:t>
      </w:r>
      <w:r>
        <w:rPr>
          <w:rFonts w:ascii="Times New Roman;serif" w:hAnsi="Times New Roman;serif"/>
          <w:b w:val="false"/>
          <w:sz w:val="20"/>
        </w:rPr>
        <w:t>was $1.73. The total fair value of options vested during the three months ended March 31, 2023</w:t>
      </w:r>
      <w:r>
        <w:rPr>
          <w:rFonts w:ascii="Times New Roman" w:hAnsi="Times New Roman"/>
          <w:sz w:val="20"/>
        </w:rPr>
        <w:t xml:space="preserve"> </w:t>
      </w:r>
      <w:r>
        <w:rPr>
          <w:rFonts w:ascii="Times New Roman;serif" w:hAnsi="Times New Roman;serif"/>
          <w:b w:val="false"/>
          <w:sz w:val="20"/>
        </w:rPr>
        <w:t>was approximately $1,209. Total unrecognized compensation expense of $2,891</w:t>
      </w:r>
      <w:r>
        <w:rPr>
          <w:rFonts w:ascii="Times New Roman" w:hAnsi="Times New Roman"/>
          <w:sz w:val="20"/>
        </w:rPr>
        <w:t xml:space="preserve"> </w:t>
      </w:r>
      <w:r>
        <w:rPr>
          <w:rFonts w:ascii="Times New Roman;serif" w:hAnsi="Times New Roman;serif"/>
          <w:b w:val="false"/>
          <w:sz w:val="20"/>
        </w:rPr>
        <w:t>related to stock options will be recognized over a weighted average period of 2.8</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(Dollars and shares in thousands)</w:t>
      </w:r>
    </w:p>
    <w:p>
      <w:pPr>
        <w:pStyle w:val="TextBody"/>
        <w:bidi w:val="0"/>
        <w:spacing w:before="0" w:after="0"/>
        <w:jc w:val="left"/>
        <w:rPr/>
      </w:pPr>
      <w:r>
        <w:rPr/>
        <w:t> </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following table summarizes information about stock options outstanding and vested as of December 31, 2022:</w:t>
      </w:r>
    </w:p>
    <w:tbl>
      <w:tblPr>
        <w:tblW w:w="10205" w:type="dxa"/>
        <w:jc w:val="left"/>
        <w:tblInd w:w="0" w:type="dxa"/>
        <w:tblLayout w:type="fixed"/>
        <w:tblCellMar>
          <w:top w:w="28" w:type="dxa"/>
          <w:left w:w="28" w:type="dxa"/>
          <w:bottom w:w="28" w:type="dxa"/>
          <w:right w:w="28" w:type="dxa"/>
        </w:tblCellMar>
      </w:tblPr>
      <w:tblGrid>
        <w:gridCol w:w="1201"/>
        <w:gridCol w:w="146"/>
        <w:gridCol w:w="249"/>
        <w:gridCol w:w="981"/>
        <w:gridCol w:w="146"/>
        <w:gridCol w:w="146"/>
        <w:gridCol w:w="646"/>
        <w:gridCol w:w="1600"/>
        <w:gridCol w:w="146"/>
        <w:gridCol w:w="146"/>
        <w:gridCol w:w="445"/>
        <w:gridCol w:w="984"/>
        <w:gridCol w:w="146"/>
        <w:gridCol w:w="146"/>
        <w:gridCol w:w="298"/>
        <w:gridCol w:w="863"/>
        <w:gridCol w:w="146"/>
        <w:gridCol w:w="146"/>
        <w:gridCol w:w="445"/>
        <w:gridCol w:w="984"/>
        <w:gridCol w:w="195"/>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8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 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8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 Vested</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 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Remaining Contractual Term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Exercisable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Exercise Price</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$2.65</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$3.05</w:t>
            </w:r>
            <w:r>
              <w:rPr>
                <w:rFonts w:ascii="Times New Roman" w:hAnsi="Times New Roman"/>
                <w:sz w:val="20"/>
              </w:rPr>
              <w:t> </w:t>
            </w:r>
            <w:r>
              <w:rPr>
                <w:rFonts w:ascii="Times New Roman;serif" w:hAnsi="Times New Roman;serif"/>
                <w:b w:val="false"/>
                <w:sz w:val="20"/>
              </w:rPr>
              <w:t>- $5.95</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w:t>
            </w:r>
          </w:p>
        </w:tc>
        <w:tc>
          <w:tcPr>
            <w:tcW w:w="195"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$6.04</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w:t>
            </w:r>
          </w:p>
        </w:tc>
        <w:tc>
          <w:tcPr>
            <w:tcW w:w="195"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$6.07</w:t>
            </w:r>
            <w:r>
              <w:rPr>
                <w:rFonts w:ascii="Times New Roman" w:hAnsi="Times New Roman"/>
                <w:sz w:val="20"/>
              </w:rPr>
              <w:t> </w:t>
            </w:r>
            <w:r>
              <w:rPr>
                <w:rFonts w:ascii="Times New Roman;serif" w:hAnsi="Times New Roman;serif"/>
                <w:b w:val="false"/>
                <w:sz w:val="20"/>
              </w:rPr>
              <w:t>- $7.08</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w:t>
            </w:r>
          </w:p>
        </w:tc>
        <w:tc>
          <w:tcPr>
            <w:tcW w:w="195"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$7.13</w:t>
            </w:r>
            <w:r>
              <w:rPr>
                <w:rFonts w:ascii="Times New Roman" w:hAnsi="Times New Roman"/>
                <w:sz w:val="20"/>
              </w:rPr>
              <w:t> </w:t>
            </w:r>
            <w:r>
              <w:rPr>
                <w:rFonts w:ascii="Times New Roman;serif" w:hAnsi="Times New Roman;serif"/>
                <w:b w:val="false"/>
                <w:sz w:val="20"/>
              </w:rPr>
              <w:t>- $8.62</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w:t>
            </w:r>
          </w:p>
        </w:tc>
        <w:tc>
          <w:tcPr>
            <w:tcW w:w="195"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w:t>
            </w:r>
          </w:p>
        </w:tc>
        <w:tc>
          <w:tcPr>
            <w:tcW w:w="195" w:type="dxa"/>
            <w:tcBorders/>
            <w:vAlign w:val="center"/>
          </w:tcPr>
          <w:p>
            <w:pPr>
              <w:pStyle w:val="TableContents"/>
              <w:bidi w:val="0"/>
              <w:spacing w:before="0" w:after="0"/>
              <w:ind w:left="0" w:right="0" w:hanging="0"/>
              <w:jc w:val="left"/>
              <w:rPr/>
            </w:pPr>
            <w:r>
              <w:rPr/>
              <w:t> </w:t>
            </w:r>
          </w:p>
        </w:tc>
      </w:tr>
    </w:tbl>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Company estimated the fair value of stock-options using the Black-Scholes option pricing model. The fair value of stock options is being amortized on a straight-line basis over the requisite service period of the awards. The fair value of stock options was estimated using the following assumptions for the three months ended March 31, 2023 and 2022:</w:t>
      </w:r>
    </w:p>
    <w:tbl>
      <w:tblPr>
        <w:tblW w:w="4075" w:type="dxa"/>
        <w:jc w:val="left"/>
        <w:tblInd w:w="0" w:type="dxa"/>
        <w:tblLayout w:type="fixed"/>
        <w:tblCellMar>
          <w:top w:w="28" w:type="dxa"/>
          <w:left w:w="28" w:type="dxa"/>
          <w:bottom w:w="28" w:type="dxa"/>
          <w:right w:w="28" w:type="dxa"/>
        </w:tblCellMar>
      </w:tblPr>
      <w:tblGrid>
        <w:gridCol w:w="1876"/>
        <w:gridCol w:w="146"/>
        <w:gridCol w:w="931"/>
        <w:gridCol w:w="146"/>
        <w:gridCol w:w="97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r>
      <w:tr>
        <w:trPr/>
        <w:tc>
          <w:tcPr>
            <w:tcW w:w="18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3.5</w:t>
            </w:r>
            <w:r>
              <w:rPr>
                <w:rFonts w:ascii="Times New Roman" w:hAnsi="Times New Roman"/>
                <w:sz w:val="20"/>
              </w:rPr>
              <w:t> </w:t>
            </w:r>
            <w:r>
              <w:rPr>
                <w:rFonts w:ascii="Times New Roman;serif" w:hAnsi="Times New Roman;serif"/>
                <w:b w:val="false"/>
                <w:sz w:val="20"/>
              </w:rPr>
              <w:t>- 4.2%</w:t>
            </w:r>
          </w:p>
        </w:tc>
        <w:tc>
          <w:tcPr>
            <w:tcW w:w="14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1.5</w:t>
            </w:r>
            <w:r>
              <w:rPr>
                <w:rFonts w:ascii="Times New Roman" w:hAnsi="Times New Roman"/>
                <w:sz w:val="20"/>
              </w:rPr>
              <w:t> </w:t>
            </w:r>
            <w:r>
              <w:rPr>
                <w:rFonts w:ascii="Times New Roman;serif" w:hAnsi="Times New Roman;serif"/>
                <w:b w:val="false"/>
                <w:sz w:val="20"/>
              </w:rPr>
              <w:t>- 1.6%</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(years)</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4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14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i/>
          <w:sz w:val="20"/>
        </w:rPr>
        <w:t>Expected term</w:t>
      </w:r>
      <w:r>
        <w:rPr>
          <w:rFonts w:ascii="Times New Roman;serif" w:hAnsi="Times New Roman;serif"/>
          <w:b w:val="false"/>
          <w:sz w:val="20"/>
        </w:rPr>
        <w:t>: The expected term for the Company’s stock-based compensation awards was based on an index of the expected terms of a group of comparable publicly-traded medical device and other peer companies, which the Company believed was representative of the expected term of its awards.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i/>
          <w:sz w:val="20"/>
        </w:rPr>
        <w:t>Risk-free interest rate</w:t>
      </w:r>
      <w:r>
        <w:rPr>
          <w:rFonts w:ascii="Times New Roman;serif" w:hAnsi="Times New Roman;serif"/>
          <w:b w:val="false"/>
          <w:sz w:val="20"/>
        </w:rPr>
        <w:t>: The risk-free interest rate was based on the rates paid on securities issued by the U.S. Treasury with a term approximating the expected term.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i/>
          <w:sz w:val="20"/>
        </w:rPr>
        <w:t>Expected volatility</w:t>
      </w:r>
      <w:r>
        <w:rPr>
          <w:rFonts w:ascii="Times New Roman;serif" w:hAnsi="Times New Roman;serif"/>
          <w:b w:val="false"/>
          <w:sz w:val="20"/>
        </w:rPr>
        <w:t>: The expected volatility for the Company’s stock-based compensation awards was based on an index of the historical volatilities of a group of comparable publicly-traded medical device and other peer companies, which the Company believed was representative of the volatility of its common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i/>
          <w:sz w:val="20"/>
        </w:rPr>
        <w:t>Expected dividend yield</w:t>
      </w:r>
      <w:r>
        <w:rPr>
          <w:rFonts w:ascii="Times New Roman;serif" w:hAnsi="Times New Roman;serif"/>
          <w:b w:val="false"/>
          <w:sz w:val="20"/>
        </w:rPr>
        <w:t>: The Company does not intend to pay dividends for the foreseeable future. Accordingly, the Company used a dividend yield of zero</w:t>
      </w:r>
      <w:r>
        <w:rPr>
          <w:rFonts w:ascii="Times New Roman" w:hAnsi="Times New Roman"/>
          <w:sz w:val="20"/>
        </w:rPr>
        <w:t xml:space="preserve"> </w:t>
      </w:r>
      <w:r>
        <w:rPr>
          <w:rFonts w:ascii="Times New Roman;serif" w:hAnsi="Times New Roman;serif"/>
          <w:b w:val="false"/>
          <w:sz w:val="20"/>
        </w:rPr>
        <w:t>in the assumptions.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Restricted Stock Awards</w:t>
      </w:r>
    </w:p>
    <w:p>
      <w:pPr>
        <w:pStyle w:val="TextBody"/>
        <w:bidi w:val="0"/>
        <w:spacing w:before="240" w:after="240"/>
        <w:jc w:val="both"/>
        <w:rPr>
          <w:rFonts w:ascii="Times New Roman" w:hAnsi="Times New Roman"/>
          <w:sz w:val="20"/>
        </w:rPr>
      </w:pPr>
      <w:r>
        <w:rPr>
          <w:rFonts w:ascii="Times New Roman;serif" w:hAnsi="Times New Roman;serif"/>
          <w:b w:val="false"/>
          <w:sz w:val="20"/>
        </w:rPr>
        <w:t>Restricted stock has the same rights as other issued and outstanding shares of the Company’s common stock. The compensation expense related to these awards is determined using the fair market value of the Company’s common stock on the date of the grant. Under the Company’s restricted stock plans, restricted stock awards typically vest over three years and compensation expense associated with these awards is recognized on a straight-line basis over the vesting period.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(Dollars and shares in thousands)</w:t>
      </w:r>
    </w:p>
    <w:p>
      <w:pPr>
        <w:pStyle w:val="TextBody"/>
        <w:bidi w:val="0"/>
        <w:spacing w:before="0" w:after="0"/>
        <w:jc w:val="left"/>
        <w:rPr/>
      </w:pPr>
      <w:r>
        <w:rPr/>
        <w:t> </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Restricted stock award activity under the 2020 Plan is set forth below:</w:t>
      </w:r>
    </w:p>
    <w:tbl>
      <w:tblPr>
        <w:tblW w:w="8951" w:type="dxa"/>
        <w:jc w:val="left"/>
        <w:tblInd w:w="0" w:type="dxa"/>
        <w:tblLayout w:type="fixed"/>
        <w:tblCellMar>
          <w:top w:w="28" w:type="dxa"/>
          <w:left w:w="28" w:type="dxa"/>
          <w:bottom w:w="28" w:type="dxa"/>
          <w:right w:w="28" w:type="dxa"/>
        </w:tblCellMar>
      </w:tblPr>
      <w:tblGrid>
        <w:gridCol w:w="2866"/>
        <w:gridCol w:w="146"/>
        <w:gridCol w:w="303"/>
        <w:gridCol w:w="1002"/>
        <w:gridCol w:w="273"/>
        <w:gridCol w:w="240"/>
        <w:gridCol w:w="1059"/>
        <w:gridCol w:w="287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Restricted Stock Awards Outstanding</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Units</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39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Grant Date Fair Value Per Share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December 31, 2022</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w:t>
            </w:r>
          </w:p>
        </w:tc>
        <w:tc>
          <w:tcPr>
            <w:tcW w:w="273"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10.29</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granted</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pPr>
            <w:r>
              <w:rPr/>
              <w:t>—</w:t>
            </w:r>
          </w:p>
        </w:tc>
        <w:tc>
          <w:tcPr>
            <w:tcW w:w="273"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7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vested</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0"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10.20</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cancelled</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0"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10.81</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March 31, 2023</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10.34</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240"/>
        <w:jc w:val="both"/>
        <w:rPr>
          <w:rFonts w:ascii="Times New Roman" w:hAnsi="Times New Roman"/>
          <w:sz w:val="20"/>
        </w:rPr>
      </w:pPr>
      <w:r>
        <w:rPr>
          <w:rFonts w:ascii="Times New Roman;serif" w:hAnsi="Times New Roman;serif"/>
          <w:b w:val="false"/>
          <w:sz w:val="20"/>
        </w:rPr>
        <w:t>The total fair value of restricted stock awards vested during the three months ended March 31, 2023</w:t>
      </w:r>
      <w:r>
        <w:rPr>
          <w:rFonts w:ascii="Times New Roman" w:hAnsi="Times New Roman"/>
          <w:sz w:val="20"/>
        </w:rPr>
        <w:t xml:space="preserve"> </w:t>
      </w:r>
      <w:r>
        <w:rPr>
          <w:rFonts w:ascii="Times New Roman;serif" w:hAnsi="Times New Roman;serif"/>
          <w:b w:val="false"/>
          <w:sz w:val="20"/>
        </w:rPr>
        <w:t>was approximately $2,419. At March 31, 2023 there was approximately $1,643</w:t>
      </w:r>
      <w:r>
        <w:rPr>
          <w:rFonts w:ascii="Times New Roman" w:hAnsi="Times New Roman"/>
          <w:sz w:val="20"/>
        </w:rPr>
        <w:t xml:space="preserve"> </w:t>
      </w:r>
      <w:r>
        <w:rPr>
          <w:rFonts w:ascii="Times New Roman;serif" w:hAnsi="Times New Roman;serif"/>
          <w:b w:val="false"/>
          <w:sz w:val="20"/>
        </w:rPr>
        <w:t>of total unrecognized compensation expense related to restricted stock awards, which is expected to be recognized over a weighted-average period of 0.4</w:t>
      </w:r>
      <w:r>
        <w:rPr>
          <w:rFonts w:ascii="Times New Roman" w:hAnsi="Times New Roman"/>
          <w:sz w:val="20"/>
        </w:rPr>
        <w:t xml:space="preserve"> </w:t>
      </w:r>
      <w:r>
        <w:rPr>
          <w:rFonts w:ascii="Times New Roman;serif" w:hAnsi="Times New Roman;serif"/>
          <w:b w:val="false"/>
          <w:sz w:val="20"/>
        </w:rPr>
        <w:t>years. The number of restricted stock awards that are expected to vest are as follows: 136</w:t>
      </w:r>
      <w:r>
        <w:rPr>
          <w:rFonts w:ascii="Times New Roman" w:hAnsi="Times New Roman"/>
          <w:sz w:val="20"/>
        </w:rPr>
        <w:t xml:space="preserve"> </w:t>
      </w:r>
      <w:r>
        <w:rPr>
          <w:rFonts w:ascii="Times New Roman;serif" w:hAnsi="Times New Roman;serif"/>
          <w:b w:val="false"/>
          <w:sz w:val="20"/>
        </w:rPr>
        <w:t>in the quarter ending June 30, 2023; 169</w:t>
      </w:r>
      <w:r>
        <w:rPr>
          <w:rFonts w:ascii="Times New Roman" w:hAnsi="Times New Roman"/>
          <w:sz w:val="20"/>
        </w:rPr>
        <w:t xml:space="preserve"> </w:t>
      </w:r>
      <w:r>
        <w:rPr>
          <w:rFonts w:ascii="Times New Roman;serif" w:hAnsi="Times New Roman;serif"/>
          <w:b w:val="false"/>
          <w:sz w:val="20"/>
        </w:rPr>
        <w:t>in the quarter ending September 30, 2023; and 75</w:t>
      </w:r>
      <w:r>
        <w:rPr>
          <w:rFonts w:ascii="Times New Roman" w:hAnsi="Times New Roman"/>
          <w:sz w:val="20"/>
        </w:rPr>
        <w:t xml:space="preserve"> </w:t>
      </w:r>
      <w:r>
        <w:rPr>
          <w:rFonts w:ascii="Times New Roman;serif" w:hAnsi="Times New Roman;serif"/>
          <w:b w:val="false"/>
          <w:sz w:val="20"/>
        </w:rPr>
        <w:t>in the quarter ending December 31, 2023. These are based on restricted stock awards outstanding at March 31, 2023 and assumes the requisite service period is fulfilled for all awards outstanding. Actual vesting in future periods may vary from those reflected above.</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Restricted Stock Units</w:t>
      </w:r>
    </w:p>
    <w:p>
      <w:pPr>
        <w:pStyle w:val="TextBody"/>
        <w:bidi w:val="0"/>
        <w:spacing w:before="240" w:after="240"/>
        <w:jc w:val="both"/>
        <w:rPr>
          <w:rFonts w:ascii="Times New Roman" w:hAnsi="Times New Roman"/>
          <w:sz w:val="20"/>
        </w:rPr>
      </w:pPr>
      <w:r>
        <w:rPr>
          <w:rFonts w:ascii="Times New Roman;serif" w:hAnsi="Times New Roman;serif"/>
          <w:b w:val="false"/>
          <w:sz w:val="20"/>
        </w:rPr>
        <w:t>Restricted stock units granted to employees and non-employees generally vest over one</w:t>
      </w:r>
      <w:r>
        <w:rPr>
          <w:rFonts w:ascii="Times New Roman" w:hAnsi="Times New Roman"/>
          <w:sz w:val="20"/>
        </w:rPr>
        <w:t xml:space="preserve"> </w:t>
      </w:r>
      <w:r>
        <w:rPr>
          <w:rFonts w:ascii="Times New Roman;serif" w:hAnsi="Times New Roman;serif"/>
          <w:b w:val="false"/>
          <w:sz w:val="20"/>
        </w:rPr>
        <w:t>to four years</w:t>
      </w:r>
      <w:r>
        <w:rPr>
          <w:rFonts w:ascii="Times New Roman" w:hAnsi="Times New Roman"/>
          <w:sz w:val="20"/>
        </w:rPr>
        <w:t xml:space="preserve"> </w:t>
      </w:r>
      <w:r>
        <w:rPr>
          <w:rFonts w:ascii="Times New Roman;serif" w:hAnsi="Times New Roman;serif"/>
          <w:b w:val="false"/>
          <w:sz w:val="20"/>
        </w:rPr>
        <w:t>in annual equal increments. The fair value of restricted stock units is based on the Company’s closing stock price on the date of grant.</w:t>
      </w:r>
      <w:r>
        <w:rPr>
          <w:rFonts w:ascii="Times New Roman" w:hAnsi="Times New Roman"/>
          <w:sz w:val="20"/>
        </w:rPr>
        <w:t xml:space="preserve"> </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Restricted stock unit activity under the 2020 Plan is set forth below:</w:t>
      </w:r>
    </w:p>
    <w:tbl>
      <w:tblPr>
        <w:tblW w:w="8970" w:type="dxa"/>
        <w:jc w:val="left"/>
        <w:tblInd w:w="0" w:type="dxa"/>
        <w:tblLayout w:type="fixed"/>
        <w:tblCellMar>
          <w:top w:w="28" w:type="dxa"/>
          <w:left w:w="28" w:type="dxa"/>
          <w:bottom w:w="28" w:type="dxa"/>
          <w:right w:w="28" w:type="dxa"/>
        </w:tblCellMar>
      </w:tblPr>
      <w:tblGrid>
        <w:gridCol w:w="2866"/>
        <w:gridCol w:w="146"/>
        <w:gridCol w:w="336"/>
        <w:gridCol w:w="969"/>
        <w:gridCol w:w="283"/>
        <w:gridCol w:w="249"/>
        <w:gridCol w:w="1225"/>
        <w:gridCol w:w="2705"/>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Restricted Stock Units Outstanding</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Units</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39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Grant Date Fair Value Per Share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December 31, 2022</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283"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 granted</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w:t>
            </w:r>
          </w:p>
        </w:tc>
        <w:tc>
          <w:tcPr>
            <w:tcW w:w="283"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 vested</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 cancelled</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March 31, 2023</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240"/>
        <w:jc w:val="both"/>
        <w:rPr>
          <w:rFonts w:ascii="Times New Roman" w:hAnsi="Times New Roman"/>
          <w:sz w:val="20"/>
        </w:rPr>
      </w:pPr>
      <w:r>
        <w:rPr>
          <w:rFonts w:ascii="Times New Roman;serif" w:hAnsi="Times New Roman;serif"/>
          <w:b w:val="false"/>
          <w:sz w:val="20"/>
        </w:rPr>
        <w:t>The total fair value of restricted stock units vested during the three months ended March 31, 2023</w:t>
      </w:r>
      <w:r>
        <w:rPr>
          <w:rFonts w:ascii="Times New Roman" w:hAnsi="Times New Roman"/>
          <w:sz w:val="20"/>
        </w:rPr>
        <w:t xml:space="preserve"> </w:t>
      </w:r>
      <w:r>
        <w:rPr>
          <w:rFonts w:ascii="Times New Roman;serif" w:hAnsi="Times New Roman;serif"/>
          <w:b w:val="false"/>
          <w:sz w:val="20"/>
        </w:rPr>
        <w:t>was approximately $91. At March 31, 2023 there was approximately $1,334</w:t>
      </w:r>
      <w:r>
        <w:rPr>
          <w:rFonts w:ascii="Times New Roman" w:hAnsi="Times New Roman"/>
          <w:sz w:val="20"/>
        </w:rPr>
        <w:t xml:space="preserve"> </w:t>
      </w:r>
      <w:r>
        <w:rPr>
          <w:rFonts w:ascii="Times New Roman;serif" w:hAnsi="Times New Roman;serif"/>
          <w:b w:val="false"/>
          <w:sz w:val="20"/>
        </w:rPr>
        <w:t>of total unrecognized compensation expense related to restricted stock units, which is expected to be recognized over a weighted-average period of 2.0</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240" w:after="120"/>
        <w:jc w:val="left"/>
        <w:rPr>
          <w:rFonts w:ascii="Times New Roman;serif" w:hAnsi="Times New Roman;serif"/>
          <w:b w:val="false"/>
          <w:i/>
          <w:sz w:val="20"/>
        </w:rPr>
      </w:pPr>
      <w:r>
        <w:rPr>
          <w:rFonts w:ascii="Times New Roman;serif" w:hAnsi="Times New Roman;serif"/>
          <w:b w:val="false"/>
          <w:i/>
          <w:sz w:val="20"/>
        </w:rPr>
        <w:t>2020 Employee Stock Purchase Plan</w:t>
      </w:r>
    </w:p>
    <w:p>
      <w:pPr>
        <w:pStyle w:val="TextBody"/>
        <w:bidi w:val="0"/>
        <w:spacing w:before="0" w:after="240"/>
        <w:jc w:val="both"/>
        <w:rPr>
          <w:rFonts w:ascii="Times New Roman" w:hAnsi="Times New Roman"/>
          <w:sz w:val="20"/>
        </w:rPr>
      </w:pPr>
      <w:r>
        <w:rPr>
          <w:rFonts w:ascii="Times New Roman;serif" w:hAnsi="Times New Roman;serif"/>
          <w:b w:val="false"/>
          <w:sz w:val="20"/>
        </w:rPr>
        <w:t>In September 2020, the Board of Directors approved the LENSAR, Inc. 2020 Employee Stock Purchase Plan (the “2020 ESPP”), under which eligible employees are permitted to purchase common stock at a discount through payroll deductions. A total of 340</w:t>
      </w:r>
      <w:r>
        <w:rPr>
          <w:rFonts w:ascii="Times New Roman" w:hAnsi="Times New Roman"/>
          <w:sz w:val="20"/>
        </w:rPr>
        <w:t xml:space="preserve"> </w:t>
      </w:r>
      <w:r>
        <w:rPr>
          <w:rFonts w:ascii="Times New Roman;serif" w:hAnsi="Times New Roman;serif"/>
          <w:b w:val="false"/>
          <w:sz w:val="20"/>
        </w:rPr>
        <w:t>shares of common stock were initially reserved for issuance. The number of shares available for issuance under the 2020 ESPP includes an increase on the first day of each fiscal year, beginning in 2022, by an amount equal to the lesser of (i) 1.0% of the outstanding shares of common stock as of the last day of the immediately preceding fiscal year; or (ii) a lesser amount as determined by the Board of Directors. As of March 31, 2023, the Company has reserved 451</w:t>
      </w:r>
      <w:r>
        <w:rPr>
          <w:rFonts w:ascii="Times New Roman" w:hAnsi="Times New Roman"/>
          <w:sz w:val="20"/>
        </w:rPr>
        <w:t xml:space="preserve"> </w:t>
      </w:r>
      <w:r>
        <w:rPr>
          <w:rFonts w:ascii="Times New Roman;serif" w:hAnsi="Times New Roman;serif"/>
          <w:b w:val="false"/>
          <w:sz w:val="20"/>
        </w:rPr>
        <w:t>shares of common stock for issuance under the 2020 ESPP. The price of the common stock purchased will be the lower of 85% of the fair market value of the common stock at the beginning of an offering period or at the end of a purchase period. The 2020 ESPP is intended to qualify as an "employee stock purchase plan" within the meaning of Section 423 of the Internal Revenue Code of 1986.</w:t>
      </w:r>
    </w:p>
    <w:p>
      <w:pPr>
        <w:pStyle w:val="TextBody"/>
        <w:bidi w:val="0"/>
        <w:spacing w:before="240" w:after="240"/>
        <w:jc w:val="both"/>
        <w:rPr>
          <w:rFonts w:ascii="Times New Roman" w:hAnsi="Times New Roman"/>
          <w:sz w:val="20"/>
        </w:rPr>
      </w:pPr>
      <w:r>
        <w:rPr>
          <w:rFonts w:ascii="Times New Roman;serif" w:hAnsi="Times New Roman;serif"/>
          <w:b w:val="false"/>
          <w:sz w:val="20"/>
        </w:rPr>
        <w:t>As of March 31, 2023, 164</w:t>
      </w:r>
      <w:r>
        <w:rPr>
          <w:rFonts w:ascii="Times New Roman" w:hAnsi="Times New Roman"/>
          <w:sz w:val="20"/>
        </w:rPr>
        <w:t xml:space="preserve"> </w:t>
      </w:r>
      <w:r>
        <w:rPr>
          <w:rFonts w:ascii="Times New Roman;serif" w:hAnsi="Times New Roman;serif"/>
          <w:b w:val="false"/>
          <w:sz w:val="20"/>
        </w:rPr>
        <w:t>shares of common stock have been issued to employees participating in the 2020 ESPP and 287</w:t>
      </w:r>
      <w:r>
        <w:rPr>
          <w:rFonts w:ascii="Times New Roman" w:hAnsi="Times New Roman"/>
          <w:sz w:val="20"/>
        </w:rPr>
        <w:t xml:space="preserve"> </w:t>
      </w:r>
      <w:r>
        <w:rPr>
          <w:rFonts w:ascii="Times New Roman;serif" w:hAnsi="Times New Roman;serif"/>
          <w:b w:val="false"/>
          <w:sz w:val="20"/>
        </w:rPr>
        <w:t>shares were available for future issuance under the 2020 ESPP. The grant date fair value of the shares to be issued under the Company’s 2020 ESPP was estimated using the Black-Scholes valuation model.</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(Dollars and shares in thousands)</w:t>
      </w:r>
    </w:p>
    <w:p>
      <w:pPr>
        <w:pStyle w:val="TextBody"/>
        <w:bidi w:val="0"/>
        <w:spacing w:before="0" w:after="0"/>
        <w:jc w:val="left"/>
        <w:rPr/>
      </w:pPr>
      <w:r>
        <w:rPr/>
        <w:t> </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following table sets forth the total stock-based compensation expense recognized under the 2020 Plan and the 2020 ESPP in the Company's condensed statements of operations:</w:t>
      </w:r>
    </w:p>
    <w:tbl>
      <w:tblPr>
        <w:tblW w:w="5929" w:type="dxa"/>
        <w:jc w:val="left"/>
        <w:tblInd w:w="0" w:type="dxa"/>
        <w:tblLayout w:type="fixed"/>
        <w:tblCellMar>
          <w:top w:w="28" w:type="dxa"/>
          <w:left w:w="28" w:type="dxa"/>
          <w:bottom w:w="28" w:type="dxa"/>
          <w:right w:w="28" w:type="dxa"/>
        </w:tblCellMar>
      </w:tblPr>
      <w:tblGrid>
        <w:gridCol w:w="3736"/>
        <w:gridCol w:w="146"/>
        <w:gridCol w:w="211"/>
        <w:gridCol w:w="571"/>
        <w:gridCol w:w="146"/>
        <w:gridCol w:w="146"/>
        <w:gridCol w:w="211"/>
        <w:gridCol w:w="57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 – product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 – service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1,377</w:t>
            </w:r>
          </w:p>
        </w:tc>
        <w:tc>
          <w:tcPr>
            <w:tcW w:w="1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Total unrecognized stock-based compensation expense is expected to be amortized as follows:</w:t>
      </w:r>
    </w:p>
    <w:tbl>
      <w:tblPr>
        <w:tblW w:w="5725" w:type="dxa"/>
        <w:jc w:val="left"/>
        <w:tblInd w:w="0" w:type="dxa"/>
        <w:tblLayout w:type="fixed"/>
        <w:tblCellMar>
          <w:top w:w="28" w:type="dxa"/>
          <w:left w:w="28" w:type="dxa"/>
          <w:bottom w:w="28" w:type="dxa"/>
          <w:right w:w="28" w:type="dxa"/>
        </w:tblCellMar>
      </w:tblPr>
      <w:tblGrid>
        <w:gridCol w:w="4606"/>
        <w:gridCol w:w="146"/>
        <w:gridCol w:w="211"/>
        <w:gridCol w:w="571"/>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Fiscal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3,150</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1,681</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unrecognized 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The amounts included in this table are based on restricted stock awards, restricted stock units, and stock options outstanding at March 31, 2023</w:t>
      </w:r>
      <w:r>
        <w:rPr>
          <w:rFonts w:ascii="Times New Roman" w:hAnsi="Times New Roman"/>
          <w:sz w:val="20"/>
        </w:rPr>
        <w:t xml:space="preserve"> </w:t>
      </w:r>
      <w:r>
        <w:rPr>
          <w:rFonts w:ascii="Times New Roman;serif" w:hAnsi="Times New Roman;serif"/>
          <w:b w:val="false"/>
          <w:sz w:val="20"/>
        </w:rPr>
        <w:t>and assumes the requisite service period is fulfilled for all awards outstanding. Actual stock-based compensation expense in future periods may vary from those reflected in the table.</w:t>
      </w:r>
    </w:p>
    <w:p>
      <w:pPr>
        <w:pStyle w:val="TextBody"/>
        <w:bidi w:val="0"/>
        <w:spacing w:before="360" w:after="0"/>
        <w:jc w:val="left"/>
        <w:rPr>
          <w:rFonts w:ascii="Times New Roman" w:hAnsi="Times New Roman"/>
          <w:sz w:val="20"/>
        </w:rPr>
      </w:pPr>
      <w:r>
        <w:rPr>
          <w:rFonts w:ascii="Times New Roman;serif" w:hAnsi="Times New Roman;serif"/>
          <w:b/>
          <w:sz w:val="20"/>
        </w:rPr>
        <w:t>Note 11. Net Loss per Share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following is a reconciliation of the numerator (net loss) and the denominator (number of shares) used in the basic and diluted net loss per share calculations:</w:t>
      </w:r>
      <w:r>
        <w:rPr>
          <w:rFonts w:ascii="Times New Roman" w:hAnsi="Times New Roman"/>
          <w:sz w:val="20"/>
        </w:rPr>
        <w:t xml:space="preserve"> </w:t>
      </w:r>
    </w:p>
    <w:tbl>
      <w:tblPr>
        <w:tblW w:w="6839" w:type="dxa"/>
        <w:jc w:val="left"/>
        <w:tblInd w:w="0" w:type="dxa"/>
        <w:tblLayout w:type="fixed"/>
        <w:tblCellMar>
          <w:top w:w="28" w:type="dxa"/>
          <w:left w:w="28" w:type="dxa"/>
          <w:bottom w:w="28" w:type="dxa"/>
          <w:right w:w="28" w:type="dxa"/>
        </w:tblCellMar>
      </w:tblPr>
      <w:tblGrid>
        <w:gridCol w:w="4441"/>
        <w:gridCol w:w="146"/>
        <w:gridCol w:w="211"/>
        <w:gridCol w:w="676"/>
        <w:gridCol w:w="166"/>
        <w:gridCol w:w="146"/>
        <w:gridCol w:w="211"/>
        <w:gridCol w:w="631"/>
        <w:gridCol w:w="21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of common stock</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9,967</w:t>
            </w:r>
          </w:p>
        </w:tc>
        <w:tc>
          <w:tcPr>
            <w:tcW w:w="211" w:type="dxa"/>
            <w:tcBorders/>
            <w:vAlign w:val="center"/>
          </w:tcPr>
          <w:p>
            <w:pPr>
              <w:pStyle w:val="TableContents"/>
              <w:bidi w:val="0"/>
              <w:spacing w:before="0" w:after="0"/>
              <w:ind w:left="0" w:right="0" w:hanging="0"/>
              <w:jc w:val="left"/>
              <w:rPr/>
            </w:pPr>
            <w:r>
              <w:rPr/>
              <w:t> </w:t>
            </w:r>
          </w:p>
        </w:tc>
      </w:tr>
      <w:tr>
        <w:trPr/>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 net loss per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The Company’s basic net loss per share attributable to common stockholders is computed by dividing the net loss attributable to common stockholders by the weighted-average number of shares of common stock outstanding during the period.</w:t>
      </w:r>
      <w:r>
        <w:rPr>
          <w:rFonts w:ascii="Times New Roman" w:hAnsi="Times New Roman"/>
          <w:sz w:val="20"/>
        </w:rPr>
        <w:t xml:space="preserve"> </w:t>
      </w:r>
    </w:p>
    <w:p>
      <w:pPr>
        <w:pStyle w:val="TextBody"/>
        <w:bidi w:val="0"/>
        <w:spacing w:before="240" w:after="120"/>
        <w:jc w:val="both"/>
        <w:rPr>
          <w:rFonts w:ascii="Times New Roman" w:hAnsi="Times New Roman"/>
          <w:sz w:val="20"/>
        </w:rPr>
      </w:pPr>
      <w:r>
        <w:rPr>
          <w:rFonts w:ascii="Times New Roman;serif" w:hAnsi="Times New Roman;serif"/>
          <w:b w:val="false"/>
          <w:sz w:val="20"/>
        </w:rPr>
        <w:t>As the Company has reported a net loss for all periods presented, basic and diluted net loss per share attributable to common stockholders are the same for those periods. The Company excluded 894</w:t>
      </w:r>
      <w:r>
        <w:rPr>
          <w:rFonts w:ascii="Times New Roman" w:hAnsi="Times New Roman"/>
          <w:sz w:val="20"/>
        </w:rPr>
        <w:t xml:space="preserve"> </w:t>
      </w:r>
      <w:r>
        <w:rPr>
          <w:rFonts w:ascii="Times New Roman;serif" w:hAnsi="Times New Roman;serif"/>
          <w:b w:val="false"/>
          <w:sz w:val="20"/>
        </w:rPr>
        <w:t>shares of underlying unvested restricted stock awards and units and 1,547</w:t>
      </w:r>
      <w:r>
        <w:rPr>
          <w:rFonts w:ascii="Times New Roman" w:hAnsi="Times New Roman"/>
          <w:sz w:val="20"/>
        </w:rPr>
        <w:t xml:space="preserve"> </w:t>
      </w:r>
      <w:r>
        <w:rPr>
          <w:rFonts w:ascii="Times New Roman;serif" w:hAnsi="Times New Roman;serif"/>
          <w:b w:val="false"/>
          <w:sz w:val="20"/>
        </w:rPr>
        <w:t>outstanding stock options for the three months ended March 31, 2023</w:t>
      </w:r>
      <w:r>
        <w:rPr>
          <w:rFonts w:ascii="Times New Roman" w:hAnsi="Times New Roman"/>
          <w:sz w:val="20"/>
        </w:rPr>
        <w:t xml:space="preserve"> </w:t>
      </w:r>
      <w:r>
        <w:rPr>
          <w:rFonts w:ascii="Times New Roman;serif" w:hAnsi="Times New Roman;serif"/>
          <w:b w:val="false"/>
          <w:sz w:val="20"/>
        </w:rPr>
        <w:t>and 1,049</w:t>
      </w:r>
      <w:r>
        <w:rPr>
          <w:rFonts w:ascii="Times New Roman" w:hAnsi="Times New Roman"/>
          <w:sz w:val="20"/>
        </w:rPr>
        <w:t xml:space="preserve"> </w:t>
      </w:r>
      <w:r>
        <w:rPr>
          <w:rFonts w:ascii="Times New Roman;serif" w:hAnsi="Times New Roman;serif"/>
          <w:b w:val="false"/>
          <w:sz w:val="20"/>
        </w:rPr>
        <w:t>shares of underlying unvested restricted stock awards and units and 1,102</w:t>
      </w:r>
      <w:r>
        <w:rPr>
          <w:rFonts w:ascii="Times New Roman" w:hAnsi="Times New Roman"/>
          <w:sz w:val="20"/>
        </w:rPr>
        <w:t xml:space="preserve"> </w:t>
      </w:r>
      <w:r>
        <w:rPr>
          <w:rFonts w:ascii="Times New Roman;serif" w:hAnsi="Times New Roman;serif"/>
          <w:b w:val="false"/>
          <w:sz w:val="20"/>
        </w:rPr>
        <w:t>outstanding stock options for the three months ended March 31, 2022 from its net loss per diluted share calculations because their effect was anti-dilutive.</w:t>
      </w:r>
    </w:p>
    <w:p>
      <w:pPr>
        <w:pStyle w:val="TextBody"/>
        <w:bidi w:val="0"/>
        <w:spacing w:before="240" w:after="120"/>
        <w:jc w:val="left"/>
        <w:rPr>
          <w:rFonts w:ascii="Times New Roman;serif" w:hAnsi="Times New Roman;serif"/>
          <w:b w:val="false"/>
          <w:sz w:val="20"/>
        </w:rPr>
      </w:pPr>
      <w:r>
        <w:rPr>
          <w:rFonts w:ascii="Times New Roman;serif" w:hAnsi="Times New Roman;serif"/>
          <w:b w:val="false"/>
          <w:sz w:val="20"/>
        </w:rPr>
        <w:t>The anti-dilutive weighted average shares excluded from the diluted net loss per share diluted shares calculations were:</w:t>
      </w:r>
    </w:p>
    <w:tbl>
      <w:tblPr>
        <w:tblW w:w="4884" w:type="dxa"/>
        <w:jc w:val="left"/>
        <w:tblInd w:w="0" w:type="dxa"/>
        <w:tblLayout w:type="fixed"/>
        <w:tblCellMar>
          <w:top w:w="28" w:type="dxa"/>
          <w:left w:w="28" w:type="dxa"/>
          <w:bottom w:w="28" w:type="dxa"/>
          <w:right w:w="28" w:type="dxa"/>
        </w:tblCellMar>
      </w:tblPr>
      <w:tblGrid>
        <w:gridCol w:w="2821"/>
        <w:gridCol w:w="146"/>
        <w:gridCol w:w="146"/>
        <w:gridCol w:w="571"/>
        <w:gridCol w:w="146"/>
        <w:gridCol w:w="146"/>
        <w:gridCol w:w="146"/>
        <w:gridCol w:w="571"/>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and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1,073</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(Dollars and shares in thousands)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Note 12. Subsequent Event</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On May 12, 2023, the Company entered into a Securities Purchase Agreement (the “SPA”) with NR-GRI Partners, LP (“NR-GRI”), whereby it agreed to sell to NR-GRI, for an aggregate purchase price of $20,000, an aggregate of 20</w:t>
      </w:r>
      <w:r>
        <w:rPr>
          <w:rFonts w:ascii="Times New Roman" w:hAnsi="Times New Roman"/>
          <w:sz w:val="20"/>
        </w:rPr>
        <w:t xml:space="preserve"> </w:t>
      </w:r>
      <w:r>
        <w:rPr>
          <w:rFonts w:ascii="Times New Roman;serif" w:hAnsi="Times New Roman;serif"/>
          <w:b w:val="false"/>
          <w:sz w:val="20"/>
        </w:rPr>
        <w:t>shares of a newly established series of preferred stock designated as “Series A Convertible Preferred Stock”, par value $0.01</w:t>
      </w:r>
      <w:r>
        <w:rPr>
          <w:rFonts w:ascii="Times New Roman" w:hAnsi="Times New Roman"/>
          <w:sz w:val="20"/>
        </w:rPr>
        <w:t xml:space="preserve"> </w:t>
      </w:r>
      <w:r>
        <w:rPr>
          <w:rFonts w:ascii="Times New Roman;serif" w:hAnsi="Times New Roman;serif"/>
          <w:b w:val="false"/>
          <w:sz w:val="20"/>
        </w:rPr>
        <w:t>per share (the “Convertible Preferred Stock”), which have a stated value of $1,000</w:t>
      </w:r>
      <w:r>
        <w:rPr>
          <w:rFonts w:ascii="Times New Roman" w:hAnsi="Times New Roman"/>
          <w:sz w:val="20"/>
        </w:rPr>
        <w:t xml:space="preserve"> </w:t>
      </w:r>
      <w:r>
        <w:rPr>
          <w:rFonts w:ascii="Times New Roman;serif" w:hAnsi="Times New Roman;serif"/>
          <w:b w:val="false"/>
          <w:sz w:val="20"/>
        </w:rPr>
        <w:t>per share and are convertible into shares of the Company’s common stock (the “Conversion Shares”), and warrants (the “Warrants”) to purchase an aggregate of 4,367</w:t>
      </w:r>
      <w:r>
        <w:rPr>
          <w:rFonts w:ascii="Times New Roman" w:hAnsi="Times New Roman"/>
          <w:sz w:val="20"/>
        </w:rPr>
        <w:t xml:space="preserve"> </w:t>
      </w:r>
      <w:r>
        <w:rPr>
          <w:rFonts w:ascii="Times New Roman;serif" w:hAnsi="Times New Roman;serif"/>
          <w:b w:val="false"/>
          <w:sz w:val="20"/>
        </w:rPr>
        <w:t>shares of common stock (the “Warrant Shares”). Upon issuance at the closing, 50% of the Warrants will have an exercise price equal to $2.45</w:t>
      </w:r>
      <w:r>
        <w:rPr>
          <w:rFonts w:ascii="Times New Roman" w:hAnsi="Times New Roman"/>
          <w:sz w:val="20"/>
        </w:rPr>
        <w:t xml:space="preserve"> </w:t>
      </w:r>
      <w:r>
        <w:rPr>
          <w:rFonts w:ascii="Times New Roman;serif" w:hAnsi="Times New Roman;serif"/>
          <w:b w:val="false"/>
          <w:sz w:val="20"/>
        </w:rPr>
        <w:t>per share, and 50% of the Warrants will have an exercise price equal to $3.0625</w:t>
      </w:r>
      <w:r>
        <w:rPr>
          <w:rFonts w:ascii="Times New Roman" w:hAnsi="Times New Roman"/>
          <w:sz w:val="20"/>
        </w:rPr>
        <w:t xml:space="preserve"> </w:t>
      </w:r>
      <w:r>
        <w:rPr>
          <w:rFonts w:ascii="Times New Roman;serif" w:hAnsi="Times New Roman;serif"/>
          <w:b w:val="false"/>
          <w:sz w:val="20"/>
        </w:rPr>
        <w:t>per share, subject in each instance to adjustments as provided under the terms of the Warrants.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Holders of Convertible Preferred Stock will be entitled to vote on an as-converted basis with holders of common stock, subject to a limitation providing that that the shares of Convertible Preferred Stock will not be convertible to the extent that the conversion would cause NR-GRI to become the beneficial owner of more than 19.99% of the Company’s common stock (the “Ownership Blocker”). The Company will be obligated to call and hold a special meeting of its stockholders to approve the removal of the Ownership Blocker in compliance with Nasdaq rules. The Convertible Preferred Stock will rank senior to the common stock as to distributions and payments upon the liquidation, dissolution and winding up of the Company, and holders of Convertible Preferred Stock will participate with the holders of the common stock on an as-converted basis to the extent any dividends are declared on common stock. The shares of Convertible Preferred Stock will automatically be redeemed in connection with certain transactions (“Fundamental Transactions”), including a merger, sale of all or substantially all the assets of the Company, recapitalization, or the sale by the Company of shares resulting in more than 50% ownership by a person or group. In such event, the redemption price would be equal to the greater of the stated value of the shares of Convertible Preferred Stock or the consideration per share of common stock in the Fundamental Transaction (or in the absence of such consideration, the volume-weighted average price of the Company’s common stock immediately preceding the closing of the Fundamental Transaction).</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anticipates that the transaction will close on May 19, 2023, subject to customary closing conditions. The Company anticipates that net proceeds from the transaction will be approximately $19,100</w:t>
      </w:r>
      <w:r>
        <w:rPr>
          <w:rFonts w:ascii="Times New Roman" w:hAnsi="Times New Roman"/>
          <w:sz w:val="20"/>
        </w:rPr>
        <w:t xml:space="preserve"> </w:t>
      </w:r>
      <w:r>
        <w:rPr>
          <w:rFonts w:ascii="Times New Roman;serif" w:hAnsi="Times New Roman;serif"/>
          <w:b w:val="false"/>
          <w:sz w:val="20"/>
        </w:rPr>
        <w:t>after offering expenses. The Company plans to use the funds for working capital and other general corporate purposes.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connection with the parties’ entry into the SPA, on May 12, 2023, the Company and NR-GRI entered into a Registration Rights Agreement, pursuant to which the Company agreed to file a resale registration statement with respect to the resale of the Conversion Shares and the Warrant Shares not later than 45 calendar days following the closing and to use its reasonable best efforts to cause such resale registration statement to be declared effective by the SEC as soon as practicable, but in no event later than 90 calendar days following the closing.</w:t>
        <w:br/>
        <w:br/>
      </w:r>
      <w:r>
        <w:rPr>
          <w:rFonts w:ascii="Times New Roman" w:hAnsi="Times New Roman"/>
          <w:sz w:val="20"/>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1" w:name="item_2_managements_discussion_analysis_f"/>
      <w:bookmarkEnd w:id="11"/>
      <w:r>
        <w:rPr>
          <w:rFonts w:ascii="Times New Roman;serif" w:hAnsi="Times New Roman;serif"/>
          <w:b/>
          <w:sz w:val="20"/>
        </w:rPr>
        <w:t>Item 2. Management’s Discussion and Analysis of Financial Condition and Results of Operations.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condensed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the Annual Report. Some of the information contained in this discussion and analysis or set forth elsewhere in this Quarterly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“Risk Factors Summary” and “Risk Factors” sections for a discussion of the uncertainties, risks and assumptions associated with these statements.</w:t>
      </w:r>
    </w:p>
    <w:p>
      <w:pPr>
        <w:pStyle w:val="TextBody"/>
        <w:bidi w:val="0"/>
        <w:spacing w:before="360" w:after="0"/>
        <w:jc w:val="both"/>
        <w:rPr>
          <w:rFonts w:ascii="Times New Roman;serif" w:hAnsi="Times New Roman;serif"/>
          <w:b/>
          <w:sz w:val="20"/>
        </w:rPr>
      </w:pPr>
      <w:r>
        <w:rPr>
          <w:rFonts w:ascii="Times New Roman;serif" w:hAnsi="Times New Roman;serif"/>
          <w:b/>
          <w:sz w:val="20"/>
        </w:rPr>
        <w:t>Overview</w:t>
      </w:r>
    </w:p>
    <w:p>
      <w:pPr>
        <w:pStyle w:val="TextBody"/>
        <w:bidi w:val="0"/>
        <w:spacing w:before="120" w:after="0"/>
        <w:jc w:val="both"/>
        <w:rPr>
          <w:rFonts w:ascii="Times New Roman" w:hAnsi="Times New Roman"/>
          <w:sz w:val="20"/>
        </w:rPr>
      </w:pPr>
      <w:r>
        <w:rPr>
          <w:rFonts w:ascii="Times New Roman;serif" w:hAnsi="Times New Roman;serif"/>
          <w:b w:val="false"/>
          <w:sz w:val="20"/>
        </w:rPr>
        <w:t>We are a commercial-stage medical device company focused on designing, developing and marketing an advanced femtosecond laser system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surgeon’s existing practice, is easy to use and provides surgeons the ability to deliver improved visual outcomes.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current product portfolio includes the LENSAR Laser System and ALLY</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Adaptive Cataract Treatment System, or ALLY System,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occasional increases in demand. We believe this structure allows the surgeon to implement a budget while also providing us with a predictable revenue stream.</w:t>
      </w:r>
    </w:p>
    <w:p>
      <w:pPr>
        <w:pStyle w:val="TextBody"/>
        <w:bidi w:val="0"/>
        <w:spacing w:before="240" w:after="0"/>
        <w:jc w:val="both"/>
        <w:rPr>
          <w:rFonts w:ascii="Times New Roman" w:hAnsi="Times New Roman"/>
          <w:sz w:val="20"/>
        </w:rPr>
      </w:pPr>
      <w:r>
        <w:rPr>
          <w:rFonts w:ascii="Times New Roman;serif" w:hAnsi="Times New Roman;serif"/>
          <w:b w:val="false"/>
          <w:sz w:val="20"/>
        </w:rPr>
        <w:t>We are focused on continuous innovation and have launched our proprietary next generation ALLY System. The ALLY System, which has received clearance from the U.S. Food and Drug Administration, or FDA, enables cataract surgeons to complete the femtosecond-laser-assisted cataract surgery, or FLACS, procedure seamlessly in a single, sterile environment. Our ALLY System received clearance from the FDA in June 2022, and we executed a controlled and targeted initial launch of the ALLY System beginning in August 2022. The ALLY System is now available to all U.S. cataract surgeons and has also received regulatory clearance in India. Our ability to place systems in 2022 was limited by supply chain constraints that delayed the delivery of certain ALLY System raw materials and the completion and testing of ALLY Systems for use as launch-stock inventory. The FDA clearance is the first stage of a planned, two step commercial release strategy. As the second stage of the strategy, we plan to seek an additional 510(k) clearance for the phacoemulsification features of the ALLY System in a subsequent 510(k) submission subject to a third party’s phacoemulsification device receiving clearance and serving as a predicate device. As this device will be considered the predicate device for purposes of evaluating the ALLY System’s phacoemulsification functionality, we are unable to submit a 510(k) submission seeking clearance of the phacoemulsification features within the ALLY System until the predicate device receives FDA clearance. Accordingly, we are delivering the ALLY System to surgeons with the phacoemulsification features disabled and/or removed. In 2022, we transitioned from manufacturing and selling our LENSAR Laser System to focus on our ALLY System. In September 2022, we submitted the ALLY System for certification in the European Union, or EU, and we intend to submit additional marketing or certification applications outside the United States in an effort to commercialize the ALLY System in additional countries and operating regions. Our growth, market presence and ability to sell the ALLY System will depend on whether the ALLY System receives regulatory clearance in other regions outside the United States and the timing of these clearances or certifications, among other factors. In addition, based on inventory of our LENSAR Laser System, our future revenue and cash flows will depend on, among other factors, our installed base of systems and the timing of and applicable clearances for our ALLY System.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have built and are continuing to grow our commercial organization, which includes a direct sales force in the United States and distributors in Germany, China, South Korea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March 31, 2023, consisted of approximately 50 commercial professionals, including regional sales managers, clinical applications and outcomes specialists, field service, marketing, technical and customer support personnel. We manufacture our systems at a facility in Orlando, Florida. We purchase custom and off-the-shelf components from a number of suppliers, including some single-source suppliers. We purchase custom and off-the-shelf components from a number of suppliers, including some single-source suppliers. We purchase the majority of our components and major assemblies through purchase orders with limited long-term supply agreements and generally do not maintain large volumes of finished</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goods. We strive to maintain enough inventory of our various component parts to avoid the impact of potential disruptions in the supply chain; however, availability of these components can be outside of our control, especially with the impact of the global supply chain disruptions with respect to certain products, including increasing lead times required for the ordering of component parts to meet targeted production goals, unpredictability with respect to suppliers’ ability to fulfill orders in the requested quantities within the agreed timeframe, and the ability to find alternative component parts.</w:t>
      </w:r>
    </w:p>
    <w:p>
      <w:pPr>
        <w:pStyle w:val="TextBody"/>
        <w:bidi w:val="0"/>
        <w:spacing w:before="240" w:after="0"/>
        <w:jc w:val="both"/>
        <w:rPr>
          <w:rFonts w:ascii="Times New Roman" w:hAnsi="Times New Roman"/>
          <w:sz w:val="20"/>
        </w:rPr>
      </w:pPr>
      <w:r>
        <w:rPr>
          <w:rFonts w:ascii="Times New Roman;serif" w:hAnsi="Times New Roman;serif"/>
          <w:b w:val="false"/>
          <w:sz w:val="20"/>
        </w:rPr>
        <w:t>Our revenue decreased from $9.3 million for the three months ended March 31, 2022 to $8.3 million for the three months ended March 31, 2023, representing a decrease of 12%, primarily due to decreased systems sales and decreased procedure volume. Our net losses were $4.3 million and $6.7 million for the three months ended March 31, 2023 and 2022, respectively. The decrease in net loss is primarily due to decreased research and development costs for the ALLY System. Our installed base of LENSAR Laser Systems and ALLY Systems is approximately 275 as of March 31, 2023.</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r>
        <w:rPr>
          <w:rFonts w:ascii="Times New Roman;serif" w:hAnsi="Times New Roman;serif"/>
          <w:b/>
          <w:sz w:val="20"/>
        </w:rPr>
        <w:t>Factors to Consider</w:t>
      </w:r>
    </w:p>
    <w:p>
      <w:pPr>
        <w:pStyle w:val="TextBody"/>
        <w:bidi w:val="0"/>
        <w:spacing w:before="120" w:after="0"/>
        <w:jc w:val="both"/>
        <w:rPr>
          <w:rFonts w:ascii="Times New Roman" w:hAnsi="Times New Roman"/>
          <w:sz w:val="20"/>
        </w:rPr>
      </w:pPr>
      <w:r>
        <w:rPr>
          <w:rFonts w:ascii="Times New Roman;serif" w:hAnsi="Times New Roman;serif"/>
          <w:b w:val="false"/>
          <w:sz w:val="20"/>
        </w:rPr>
        <w:t>We operate in a highly competitive environment that involves a number of risks, some of which are beyond our control. We are subject to risks common to medical device companies, including risks inherent in:</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our laser system development and commercialization efforts;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clinical studies;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uncertainty of regulatory actions and marketing approvals or certifications;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reliance on a network of international distributors and a network of suppliers;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levels of coverage and reimbursement by government or other third-party payors for procedures using our products;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patients’ willingness and ability to pay for procedures with significant costs not covered by or reimbursable through government or other third-party payors;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enforcement of patent and proprietary rights;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need for future capital;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ongoing impact of the COVID-19 pandemic and all safety requirements and suggestions regarding patient treatment as required or suggested by health care authorities;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clearance or certification by regulatory agencies, including the FDA, or notified bodies for our ALLY System;</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supply chain shortages, labor market shifts and price increases resulting from various macroeconomic factors, including related to the ongoing COVID-19 pandemic;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competition associated with our products. </w:t>
      </w:r>
    </w:p>
    <w:p>
      <w:pPr>
        <w:pStyle w:val="TextBody"/>
        <w:bidi w:val="0"/>
        <w:spacing w:before="240" w:after="0"/>
        <w:jc w:val="both"/>
        <w:rPr>
          <w:rFonts w:ascii="Times New Roman" w:hAnsi="Times New Roman"/>
          <w:sz w:val="20"/>
        </w:rPr>
      </w:pPr>
      <w:r>
        <w:rPr>
          <w:rFonts w:ascii="Times New Roman;serif" w:hAnsi="Times New Roman;serif"/>
          <w:b w:val="false"/>
          <w:sz w:val="20"/>
        </w:rPr>
        <w:t>We cannot provide assurance that we will generate significant revenues or achieve and sustain profitability in the future. In addition, we can provide no assurance that we will have sufficient funding to meet our future capital requirements.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laser systems we manufacture, sell, and lease on an annual basis, the availability of capital and direction from regulatory agencies or notified bodies, which are difficult to predict. We may be able to control the timing and level of research and development and selling, general and administrative expenses, but many of these expenditures will occur irrespective of our actions due to contractually committed activities and payments.</w:t>
      </w:r>
    </w:p>
    <w:p>
      <w:pPr>
        <w:pStyle w:val="TextBody"/>
        <w:bidi w:val="0"/>
        <w:spacing w:before="240" w:after="0"/>
        <w:jc w:val="both"/>
        <w:rPr>
          <w:rFonts w:ascii="Times New Roman" w:hAnsi="Times New Roman"/>
          <w:sz w:val="20"/>
        </w:rPr>
      </w:pPr>
      <w:r>
        <w:rPr>
          <w:rFonts w:ascii="Times New Roman;serif" w:hAnsi="Times New Roman;serif"/>
          <w:b w:val="false"/>
          <w:sz w:val="20"/>
        </w:rPr>
        <w:t>Although procedure volume in 2021 and 2022 returned to levels consistent with those seen prior to the start of the COVID-19 pandemic in 2020, global supply chain disruptions that originated during the COVID-19 pandemic and other macroeconomic factors continue to influence our operations, particularly as it relates to building inventory for the ALLY System. We have experienced some supply chain disruptions and unavailability of various component parts needed for our systems, including increasing lead times required for the ordering of component parts to meet targeted production goals and unpredictability with respect to our suppliers’ ability to fulfill orders in the requested quantities, within the agreed timeframe, as well as an increase of costs associated with certain raw materials and component parts. To date, we have maintained sufficient inventory to mitigate significant adverse impact from such disruptions and unavailability in the near-term and to meet the expected needs of our launch of the ALLY System; however, we are continuing to monitor developments with respect to the outbreak and its potential impact on our operations and to our employees, distributors, partners, suppliers, and regulators. The lingering impacts of COVID-19 into early 2023, along with global economic uncertainty, have impeded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global supply chains, resulted in longer lead times and delays in procuring component parts and raw materials, and resulted in inflationary cost increases in certain raw materials, labor and transportation. In particular, a global semiconductor supply shortage has had, and is continuing to have, wide-ranging effects across multiple industries. We have seen significant disruptions in the supply of, timing of delivery of and fluctuations in pricing for various component parts needed for our products, including the integrated circuits used in our systems, and expect these trends to continue. While we are not directly exposed to economic conditions in Russia or Ukraine, the ongoing war between Russia and Ukraine has also had a substantial impact on global supply chains and may be a contributing factor to the supply chain shortages we are experiencing. Supply chain disruptions and broad-based inflationary impacts have negatively impacted the Company’s financial condition, results of operations and cash flows since 2020 and these supply chain constraints may result in future impacts to our business.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pStyle w:val="TextBody"/>
        <w:bidi w:val="0"/>
        <w:spacing w:before="240" w:after="0"/>
        <w:jc w:val="both"/>
        <w:rPr>
          <w:rFonts w:ascii="Times New Roman" w:hAnsi="Times New Roman"/>
          <w:sz w:val="20"/>
        </w:rPr>
      </w:pPr>
      <w:r>
        <w:rPr>
          <w:rFonts w:ascii="Times New Roman;serif" w:hAnsi="Times New Roman;serif"/>
          <w:b w:val="false"/>
          <w:sz w:val="20"/>
        </w:rPr>
        <w:t>As a result of these and other factors, our historical results are not necessarily indicative of future performance, and any interim results we present are not indicative of the results that may be expected for the full fiscal year.</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r>
        <w:rPr>
          <w:rFonts w:ascii="Times New Roman;serif" w:hAnsi="Times New Roman;serif"/>
          <w:b/>
          <w:sz w:val="20"/>
        </w:rPr>
        <w:t>Components of Our Results of Operations</w:t>
      </w:r>
    </w:p>
    <w:p>
      <w:pPr>
        <w:pStyle w:val="TextBody"/>
        <w:bidi w:val="0"/>
        <w:spacing w:before="120" w:after="0"/>
        <w:jc w:val="left"/>
        <w:rPr>
          <w:rFonts w:ascii="Times New Roman" w:hAnsi="Times New Roman"/>
          <w:sz w:val="20"/>
        </w:rPr>
      </w:pPr>
      <w:r>
        <w:rPr>
          <w:rFonts w:ascii="Times New Roman;serif" w:hAnsi="Times New Roman;serif"/>
          <w:b w:val="false"/>
          <w:i/>
          <w:sz w:val="20"/>
        </w:rPr>
        <w:t>Revenue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Total revenue comprises product revenue, service revenue and lease revenue. We derive product revenue from the sale of our laser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laser systems that provide additional maintenance and service beyond our standard limited warranty. In some situations, we lease our laser systems to surgeons, primarily through non-cancellable leases with a fixed lease payment. We consider all components of our revenue to be recurring source revenue, with the exception of sales of our systems. For the three months ended March 31, 2023, approximately 92% of our revenue was attributable to recurring sources, compared to 89% for the three months ended March 31, 2022.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Cost of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Total cost of revenue comprises cost of product revenue</w:t>
      </w:r>
      <w:r>
        <w:rPr>
          <w:rFonts w:ascii="Times New Roman;serif" w:hAnsi="Times New Roman;serif"/>
          <w:b w:val="false"/>
          <w:i/>
          <w:sz w:val="20"/>
        </w:rPr>
        <w:t xml:space="preserve">, </w:t>
      </w:r>
      <w:r>
        <w:rPr>
          <w:rFonts w:ascii="Times New Roman;serif" w:hAnsi="Times New Roman;serif"/>
          <w:b w:val="false"/>
          <w:sz w:val="20"/>
        </w:rPr>
        <w:t>cost of lease revenue and cost of service revenue.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with providing maintenance services under our standard limited warranty as well as extended warranty contracts. Cost of lease revenue primarily consists of depreciation expense associated with leased equipment and shipping costs associated with delivery of these systems.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Selling, General and Administrative Expense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Our selling, general and administrative expenses consist primarily of personnel costs, such as salaries and wages, including stock-based compensation and benefits, professional fees, marketing, insurance, travel and other expenses.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are continuing to grow our sales efforts in the United States. We expect our selling, general and administrative expenses to continue to increase in association with our planned growth. Additionally, we anticipate additional increases in selling, general and administrative expenses as we commercialize the ALLY System and make it more broadly available.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Research and Development Expense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Our research and development expenses consist primarily of engineering, product development, clinical studies to develop and support our products, personnel costs, such as salaries and wages, including stock-based compensation and benefits, regulatory expenses, and other costs associated with products and technologies that are in development. Currently, our research and development expense primarily consists of costs associated with the continued development of our next generation system, the ALLY System, which combines all of the features from our LENSAR Laser System with a dual-pulse laser, integrated in a small, compact cataract treatment system that is designed to allow surgeons to perform a sterile femtosecond laser assisted cataract procedure in a single operating room or in-office surgical suite. Further development of the ALLY System is designed to combine our existing femtosecond laser technology with an option to add a phacoemulsification system into an integrated cataract treatment system. The Company recognized pre-launch inventory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costs as research and development expenses through April 30, 2022, when future commercialization of our ALLY System was considered probable and the future economic benefit was expected to be realized.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Amortization of Intangible Assets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Income Taxes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Changes in our tax rates or exposure to additional tax liabilities could adversely affect our earnings and financial condition. Beginning in 2022, the Tax Cuts and Jobs Act eliminated the option of expensing all research and development expenditures in the current year, instead requiring amortization over five years for expenditures in the United States and over fifteen years for foreign-based expenditures, pursuant to Internal Revenue Code of 1986, Section 174, or Section 174. In the future, Congress may consider legislation that would eliminate the capitalization and amortization requirement. There is no assurance that the requirement will be deferred, repealed or otherwise modified. The impact of Section 174 on the Company’s cash from operations depends primarily on the amount of research and development expenditures incurred and whether the Internal Revenue Service issues guidance on the provision which differs from our current interpretation.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160" w:after="0"/>
        <w:jc w:val="both"/>
        <w:rPr>
          <w:rFonts w:ascii="Times New Roman;serif" w:hAnsi="Times New Roman;serif"/>
          <w:b/>
          <w:sz w:val="20"/>
        </w:rPr>
      </w:pPr>
      <w:r>
        <w:rPr>
          <w:rFonts w:ascii="Times New Roman;serif" w:hAnsi="Times New Roman;serif"/>
          <w:b/>
          <w:sz w:val="20"/>
        </w:rPr>
        <w:t>Seasonality</w:t>
      </w:r>
    </w:p>
    <w:p>
      <w:pPr>
        <w:pStyle w:val="TextBody"/>
        <w:bidi w:val="0"/>
        <w:spacing w:before="120" w:after="0"/>
        <w:jc w:val="both"/>
        <w:rPr>
          <w:rFonts w:ascii="Times New Roman" w:hAnsi="Times New Roman"/>
          <w:sz w:val="20"/>
        </w:rPr>
      </w:pPr>
      <w:r>
        <w:rPr>
          <w:rFonts w:ascii="Times New Roman;serif" w:hAnsi="Times New Roman;serif"/>
          <w:b w:val="false"/>
          <w:sz w:val="20"/>
        </w:rPr>
        <w:t>We have historically experienced seasonal variations in the sales and leases of our products, with our fourth quarter typically being the strongest and the first or third quarter being the slowest. We believe these seasonal variations are consistent across our industry.</w:t>
      </w:r>
      <w:r>
        <w:rPr>
          <w:rFonts w:ascii="Times New Roman" w:hAnsi="Times New Roman"/>
          <w:sz w:val="20"/>
        </w:rPr>
        <w:t xml:space="preserve"> </w:t>
      </w:r>
    </w:p>
    <w:p>
      <w:pPr>
        <w:pStyle w:val="TextBody"/>
        <w:bidi w:val="0"/>
        <w:spacing w:before="0" w:after="0"/>
        <w:jc w:val="left"/>
        <w:rPr/>
      </w:pPr>
      <w:r>
        <w:rPr/>
        <w:t> </w:t>
      </w:r>
    </w:p>
    <w:p>
      <w:pPr>
        <w:pStyle w:val="TextBody"/>
        <w:bidi w:val="0"/>
        <w:spacing w:before="160" w:after="0"/>
        <w:jc w:val="both"/>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Comparison of the Three Months Ended March 31, 2023 and 2022</w:t>
      </w:r>
    </w:p>
    <w:p>
      <w:pPr>
        <w:pStyle w:val="TextBody"/>
        <w:bidi w:val="0"/>
        <w:spacing w:before="0" w:after="0"/>
        <w:jc w:val="both"/>
        <w:rPr/>
      </w:pPr>
      <w:r>
        <w:rPr/>
        <w:t> </w:t>
      </w:r>
    </w:p>
    <w:tbl>
      <w:tblPr>
        <w:tblW w:w="7706" w:type="dxa"/>
        <w:jc w:val="left"/>
        <w:tblInd w:w="0" w:type="dxa"/>
        <w:tblLayout w:type="fixed"/>
        <w:tblCellMar>
          <w:top w:w="28" w:type="dxa"/>
          <w:left w:w="28" w:type="dxa"/>
          <w:bottom w:w="28" w:type="dxa"/>
          <w:right w:w="28" w:type="dxa"/>
        </w:tblCellMar>
      </w:tblPr>
      <w:tblGrid>
        <w:gridCol w:w="3736"/>
        <w:gridCol w:w="146"/>
        <w:gridCol w:w="211"/>
        <w:gridCol w:w="571"/>
        <w:gridCol w:w="146"/>
        <w:gridCol w:w="146"/>
        <w:gridCol w:w="211"/>
        <w:gridCol w:w="571"/>
        <w:gridCol w:w="146"/>
        <w:gridCol w:w="146"/>
        <w:gridCol w:w="250"/>
        <w:gridCol w:w="650"/>
        <w:gridCol w:w="77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Change </w:t>
              <w:br/>
              <w:t>from Prior</w:t>
            </w:r>
          </w:p>
        </w:tc>
        <w:tc>
          <w:tcPr>
            <w:tcW w:w="776" w:type="dxa"/>
            <w:tcBorders/>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(Dollars in thousands)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0" w:type="dxa"/>
            <w:gridSpan w:val="2"/>
            <w:tcBorders/>
            <w:vAlign w:val="center"/>
          </w:tcPr>
          <w:p>
            <w:pPr>
              <w:pStyle w:val="TableContents"/>
              <w:bidi w:val="0"/>
              <w:spacing w:before="0" w:after="0"/>
              <w:ind w:left="0" w:right="0" w:hanging="0"/>
              <w:jc w:val="right"/>
              <w:rPr/>
            </w:pPr>
            <w:r>
              <w:rPr/>
              <w:t> </w:t>
            </w:r>
          </w:p>
        </w:tc>
        <w:tc>
          <w:tcPr>
            <w:tcW w:w="776" w:type="dxa"/>
            <w:tcBorders/>
            <w:vAlign w:val="center"/>
          </w:tcPr>
          <w:p>
            <w:pPr>
              <w:pStyle w:val="TableContents"/>
              <w:bidi w:val="0"/>
              <w:spacing w:before="0" w:after="0"/>
              <w:ind w:left="0" w:right="0" w:firstLine="200"/>
              <w:jc w:val="right"/>
              <w:rPr/>
            </w:pPr>
            <w:r>
              <w:rPr/>
              <w:t> </w:t>
            </w:r>
          </w:p>
        </w:tc>
      </w:tr>
      <w:tr>
        <w:trPr/>
        <w:tc>
          <w:tcPr>
            <w:tcW w:w="37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77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Cost of revenue (exclusive of amortization)</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0" w:type="dxa"/>
            <w:gridSpan w:val="2"/>
            <w:tcBorders/>
            <w:vAlign w:val="center"/>
          </w:tcPr>
          <w:p>
            <w:pPr>
              <w:pStyle w:val="TableContents"/>
              <w:bidi w:val="0"/>
              <w:spacing w:before="0" w:after="0"/>
              <w:ind w:left="0" w:right="0" w:hanging="0"/>
              <w:jc w:val="right"/>
              <w:rPr/>
            </w:pPr>
            <w:r>
              <w:rPr/>
              <w:t> </w:t>
            </w:r>
          </w:p>
        </w:tc>
        <w:tc>
          <w:tcPr>
            <w:tcW w:w="776" w:type="dxa"/>
            <w:tcBorders/>
            <w:vAlign w:val="center"/>
          </w:tcPr>
          <w:p>
            <w:pPr>
              <w:pStyle w:val="TableContents"/>
              <w:bidi w:val="0"/>
              <w:spacing w:before="0" w:after="0"/>
              <w:ind w:left="0" w:right="0" w:firstLine="200"/>
              <w:jc w:val="right"/>
              <w:rPr/>
            </w:pPr>
            <w:r>
              <w:rPr/>
              <w:t> </w:t>
            </w:r>
          </w:p>
        </w:tc>
      </w:tr>
      <w:tr>
        <w:trPr/>
        <w:tc>
          <w:tcPr>
            <w:tcW w:w="37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7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77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Total revenue for the three months ended March 31, 2023 decreased by $1.1 million, or 12%, compared to the three months ended March 31, 2022.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Product revenue for the three months ended March 31, 2023 decreased by $1.3 million, or 19%, compared to the three months ended March 31, 2022. The decrease was primarily attributable to decreased procedure volume outside of the U.S. and Europe, primarily associated with an approximate $1.5 million decrease in procedure revenue in South Korea, during the three months ended March 31, 2023, as compared to the three month period ended March 31, 2022. The decrease in procedure volume was driven by ongoing cataract procedure reimbursement challenges between ophthalmic surgical practices and third-party payors in South Korea partially offset by an increase in procedure volume in the United States and Europe of 13% and 5%, respectively. We anticipate these challenges in South Korea will continue for the near term.</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Service revenue for each of the three months ended March 31, 2023 and 2022 was $1.0 million. Our U.S. sales represented 64% and 50% of product and service revenue for the three months ended March 31, 2023 and 2022, respectively.</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Lease revenue for the three months ended March 31, 2023 increased by $0.2 million, or 16%, compared to the three months ended March 31, 2022.</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Cost of Revenue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Total cost of revenue for the three months ended March 31, 2023 decreased by $0.7 million, or 15%, compared to the three months ended March 31, 2022.</w:t>
      </w:r>
    </w:p>
    <w:p>
      <w:pPr>
        <w:pStyle w:val="TextBody"/>
        <w:bidi w:val="0"/>
        <w:spacing w:before="240" w:after="0"/>
        <w:jc w:val="both"/>
        <w:rPr>
          <w:rFonts w:ascii="Times New Roman" w:hAnsi="Times New Roman"/>
          <w:sz w:val="20"/>
        </w:rPr>
      </w:pPr>
      <w:r>
        <w:rPr>
          <w:rFonts w:ascii="Times New Roman;serif" w:hAnsi="Times New Roman;serif"/>
          <w:b w:val="false"/>
          <w:sz w:val="20"/>
        </w:rPr>
        <w:t>Cost of product revenue for the three months ended March 31, 2023 decreased by $0.4 million, or 15%, compared to the three months ended March 31, 2022. The lower cost of product revenue was attributable to decreased procedure volume between the periods. We expect cost of product revenue to fluctuate in future periods as supply chain challenges have resulted in higher costs of ALLY System inventory and availability of systems; however, these increases are partially offset by ALLY System raw materials and production costs through April 2022 being charged to research and development expenses rather than inventory.</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Cost of service revenue for the three months ended March 31, 2023 decreased by $0.3 million, or 23%, compared to the three months ended March 31, 2022 primarily due to lower service costs.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Cost of lease revenue for the three months ended March 31, 2023 and 2022 was $0.5 million and consists primarily of depreciation of leased systems.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Operating Expenses</w:t>
      </w:r>
    </w:p>
    <w:p>
      <w:pPr>
        <w:pStyle w:val="TextBody"/>
        <w:bidi w:val="0"/>
        <w:spacing w:before="120" w:after="0"/>
        <w:jc w:val="both"/>
        <w:rPr>
          <w:rFonts w:ascii="Times New Roman" w:hAnsi="Times New Roman"/>
          <w:sz w:val="20"/>
        </w:rPr>
      </w:pPr>
      <w:r>
        <w:rPr>
          <w:rFonts w:ascii="Times New Roman;serif" w:hAnsi="Times New Roman;serif"/>
          <w:b w:val="false"/>
          <w:i/>
          <w:sz w:val="20"/>
        </w:rPr>
        <w:t>Selling, General and Administrative</w:t>
      </w:r>
      <w:r>
        <w:rPr>
          <w:rFonts w:ascii="Times New Roman;serif" w:hAnsi="Times New Roman;serif"/>
          <w:b w:val="false"/>
          <w:sz w:val="20"/>
        </w:rPr>
        <w:t>. Selling, general and administrative expenses for the three months ended March 31, 2023 were $6.8 million, an increase of $0.5 million, or 8%, compared to $6.3 million for the three months ended March 31, 2022. The increase was due primarily to an increase in sales and marketing expenses due to the commercial launch of the ALLY System. We expect selling, general and administrative expense to increase from current levels as we continue to launch the ALLY System.</w:t>
      </w:r>
    </w:p>
    <w:p>
      <w:pPr>
        <w:pStyle w:val="TextBody"/>
        <w:bidi w:val="0"/>
        <w:spacing w:before="240" w:after="0"/>
        <w:jc w:val="both"/>
        <w:rPr>
          <w:rFonts w:ascii="Times New Roman" w:hAnsi="Times New Roman"/>
          <w:sz w:val="20"/>
        </w:rPr>
      </w:pPr>
      <w:r>
        <w:rPr>
          <w:rFonts w:ascii="Times New Roman;serif" w:hAnsi="Times New Roman;serif"/>
          <w:b w:val="false"/>
          <w:i/>
          <w:sz w:val="20"/>
        </w:rPr>
        <w:t>Research and Development</w:t>
      </w:r>
      <w:r>
        <w:rPr>
          <w:rFonts w:ascii="Times New Roman;serif" w:hAnsi="Times New Roman;serif"/>
          <w:b w:val="false"/>
          <w:sz w:val="20"/>
        </w:rPr>
        <w:t>. Research and development expenses for the three months ended March 31, 2023 were $1.7 million, a decrease of $3.1 million, or 66%, compared to $4.8 million for the three months ended March 31, 2022. The decrease was primarily attributable to significantly lower development costs associated with the ALLY System's clearance by the FDA in the second quarter of 2022, which included approximately $2.4 million of inventory costs that was expensed to research and development in the three months ended March 31, 2022. Following our receipt of 510(k) clearance for the ALLY System from the FDA in June 2022, all ALLY System inventory costs are being capitalized to inventory. With the clearance of the ALLY System in the United States, we expect a decrease in development activity and related costs incurred in the future.</w:t>
      </w:r>
    </w:p>
    <w:p>
      <w:pPr>
        <w:pStyle w:val="TextBody"/>
        <w:bidi w:val="0"/>
        <w:spacing w:before="240" w:after="0"/>
        <w:jc w:val="both"/>
        <w:rPr>
          <w:rFonts w:ascii="Times New Roman" w:hAnsi="Times New Roman"/>
          <w:sz w:val="20"/>
        </w:rPr>
      </w:pPr>
      <w:r>
        <w:rPr>
          <w:rFonts w:ascii="Times New Roman;serif" w:hAnsi="Times New Roman;serif"/>
          <w:b w:val="false"/>
          <w:i/>
          <w:sz w:val="20"/>
        </w:rPr>
        <w:t>Amortization of Intangible Assets</w:t>
      </w:r>
      <w:r>
        <w:rPr>
          <w:rFonts w:ascii="Times New Roman;serif" w:hAnsi="Times New Roman;serif"/>
          <w:b w:val="false"/>
          <w:sz w:val="20"/>
        </w:rPr>
        <w:t>. Amortization of intangible assets was $0.3 million for the three months ended March 31, 2023, consistent with the three months ended March 31, 2022.</w:t>
      </w:r>
    </w:p>
    <w:p>
      <w:pPr>
        <w:pStyle w:val="TextBody"/>
        <w:bidi w:val="0"/>
        <w:spacing w:before="360" w:after="0"/>
        <w:jc w:val="left"/>
        <w:rPr>
          <w:rFonts w:ascii="Times New Roman;serif" w:hAnsi="Times New Roman;serif"/>
          <w:b/>
          <w:sz w:val="20"/>
        </w:rPr>
      </w:pPr>
      <w:r>
        <w:rPr>
          <w:rFonts w:ascii="Times New Roman;serif" w:hAnsi="Times New Roman;serif"/>
          <w:b/>
          <w:sz w:val="20"/>
        </w:rPr>
        <w:t>Non-GAAP Financial Measures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prepare and analyze operating and financial data and non-GAAP measures to assess the performance of our business, make strategic and offering decisions and build our financial projections. The key non-GAAP measures we use, EBITDA and Adjusted EBITDA, are reconciled to net loss below for the three months ended March 31, 2023 and 2022.</w:t>
      </w:r>
    </w:p>
    <w:p>
      <w:pPr>
        <w:pStyle w:val="TextBody"/>
        <w:bidi w:val="0"/>
        <w:spacing w:before="0" w:after="0"/>
        <w:jc w:val="left"/>
        <w:rPr/>
      </w:pPr>
      <w:r>
        <w:rPr/>
        <w:t> </w:t>
      </w:r>
    </w:p>
    <w:tbl>
      <w:tblPr>
        <w:tblW w:w="5804" w:type="dxa"/>
        <w:jc w:val="left"/>
        <w:tblInd w:w="0" w:type="dxa"/>
        <w:tblLayout w:type="fixed"/>
        <w:tblCellMar>
          <w:top w:w="28" w:type="dxa"/>
          <w:left w:w="28" w:type="dxa"/>
          <w:bottom w:w="28" w:type="dxa"/>
          <w:right w:w="28" w:type="dxa"/>
        </w:tblCellMar>
      </w:tblPr>
      <w:tblGrid>
        <w:gridCol w:w="3451"/>
        <w:gridCol w:w="146"/>
        <w:gridCol w:w="211"/>
        <w:gridCol w:w="631"/>
        <w:gridCol w:w="166"/>
        <w:gridCol w:w="146"/>
        <w:gridCol w:w="211"/>
        <w:gridCol w:w="631"/>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(Dollars in thousands)</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Depreciation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w:t>
            </w:r>
          </w:p>
        </w:tc>
        <w:tc>
          <w:tcPr>
            <w:tcW w:w="21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Amortization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EBITDA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excludes stock-based compensation expense, provides meaningful supplemental information for investors when evaluating our results and comparing us to peer companies as stock-based compensation expense is a significant non-cash charge due to the recapitalization of the Company.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pStyle w:val="TextBody"/>
        <w:bidi w:val="0"/>
        <w:spacing w:before="360" w:after="0"/>
        <w:jc w:val="both"/>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 w:hAnsi="Times New Roman"/>
          <w:sz w:val="20"/>
        </w:rPr>
      </w:pPr>
      <w:r>
        <w:rPr>
          <w:rFonts w:ascii="Times New Roman;serif" w:hAnsi="Times New Roman;serif"/>
          <w:b/>
          <w:i/>
          <w:sz w:val="20"/>
        </w:rPr>
        <w:t>Overview</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For the three months ended March 31, 2023 and 2022, we had net losses of $4.3 million and $6.7 million, respectively, and as of March 31, 2023, we had an accumulated deficit of $101.8 million. We expect to continue to incur losses and operating cash outflows for the near future as we continue to build our commercial and clinical infrastructure and pursue further regulatory clearances of our ALLY System.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primary sources of liquidity are our cash and cash equivalents, cash from the sale and lease of our systems and the sale of our consumables. We maintain cash balances with financial institutions in excess of insured limits. As discussed above, ongoing global supply chain disruptions, inflationary pressures and other macroeconomic conditions have negatively affected our capital requirements and more operating capital may be needed to fund our operations in the future. As of March 31, 2023, we expect our current cash and cash equivalents, together with cash generated from the future sale and lease of our products and issuance of convertible preferred stock and warrants, to be sufficient to operate our business. Based on our current operating plan, we believe we have sufficient cash and cash equivalents on hand to support current operations for at least one year from the date of issuance of the financial statements included in this Quarterly Report.</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expect selling, general and administrative expenses to increase from current levels due to the continued commercial launch of the ALLY System, particularly if supply chain constraints begin to ease. The successful commercialization of the ALLY System depends in part on the Company’s ability to produce the ALLY System in sufficient quantities, within requested timing and at an acceptable price to satisfy customer demand. Ongoing supply chain disruptions, unavailability of various parts needed to manufacture the ALLY System and price increases of component parts may have an adverse impact on the Company’s ability to meet customer demand for the ALLY System.</w:t>
      </w:r>
    </w:p>
    <w:p>
      <w:pPr>
        <w:pStyle w:val="TextBody"/>
        <w:bidi w:val="0"/>
        <w:spacing w:before="240" w:after="0"/>
        <w:jc w:val="both"/>
        <w:rPr>
          <w:rFonts w:ascii="Times New Roman" w:hAnsi="Times New Roman"/>
          <w:sz w:val="20"/>
        </w:rPr>
      </w:pPr>
      <w:r>
        <w:rPr>
          <w:rFonts w:ascii="Times New Roman;serif" w:hAnsi="Times New Roman;serif"/>
          <w:b w:val="false"/>
          <w:sz w:val="20"/>
        </w:rPr>
        <w:t>Our liquidity needs will be largely determined by our ability to successfully commercialize our products and the progression, additional regulatory clearances or certifications and launch of the ALLY System in additional jurisdictions in the future.</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2022, we transitioned from manufacturing and selling our LENSAR Laser System to focus on our ALLY System. In September 2022, we submitted the ALLY System for certification in the EU and we intend to submit additional marketing or certification applications outside the United States in an effort to commercialize the ALLY System in additional countries and operating regions. Our growth, market presence and ability to sell the ALLY System will depend on whether the ALLY System receives regulatory clearance in other regions outside the United States and the timing of these clearance or certifications, among other factors. In addition, based on inventory of our LENSAR Laser System, our future revenue and cash flows will depend on, among other factors, our installed base of systems and the timing of and applicable clearances for our ALLY System.</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the future, we may need to raise additional capital through equity or debt financings, borrowings under credit facilities or from other sources. We may issue securities, including common stock, preferred stock, warrants, and/or debt securities through private placement transactions or registered public offerings in the 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On May 12, 2023, we entered into a Securities Purchase Agreement (the “SPA”) with NR-GRI Partners, LP (“NR-GRI”), whereby we agreed to sell to NR-GRI, for an aggregate purchase price of $20.0 million an aggregate of 20,000 shares of a newly established series of preferred stock designated as “Series A Convertible Preferred Stock, par value $0.01 per share” (the “Convertible Preferred Stock”), which have a stated value of $1,000 per share and will be convertible into shares of the Company’s common stock, and warrants (the “Warrants”) to purchase an aggregate of 4.4 million shares of our common stock. Upon issuance at the closing, 50% of the Warrants will have an exercise price equal to $2.45 per share, and 50% of the Warrants will have an exercise price equal to $3.0625 per share, subject in each instance to adjustments as provided under the terms of the Warrants. We anticipate that the transaction will close on May 19, 2023, subject to customary closing conditions, and that net proceeds from the transaction will be approximately $19.1 million after offering expenses. Additionally, the terms of our Convertible Preferred Stock we expect to issue will restrict our ability to incur debt in excess of $1.0 million.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ability to raise additional funds will depend, among other factors, on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 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 as a result, there may be a less active trading market for our common stock, our stock price may be more volatile, and our ability to raise capital could be impaired, which could in the future negatively affect our liquidity and financial position.</w:t>
      </w:r>
    </w:p>
    <w:p>
      <w:pPr>
        <w:pStyle w:val="TextBody"/>
        <w:bidi w:val="0"/>
        <w:spacing w:before="240" w:after="0"/>
        <w:jc w:val="both"/>
        <w:rPr>
          <w:rFonts w:ascii="Times New Roman" w:hAnsi="Times New Roman"/>
          <w:sz w:val="20"/>
        </w:rPr>
      </w:pPr>
      <w:r>
        <w:rPr>
          <w:rFonts w:ascii="Times New Roman;serif" w:hAnsi="Times New Roman;serif"/>
          <w:b w:val="false"/>
          <w:sz w:val="20"/>
        </w:rPr>
        <w:t>We expect our revenue and expenses to increase in connection with our on-going activities, particularly as we continue to execute on our growth strategy, including expansion of our sales and customer support teams. The primary factors determining our cash needs are the funding of operations, which we expect to continue to expand as the business grows, and enhancing our product offerings through the commercialization of the ALLY System, our next generation cataract treatment system. Our future liquidity needs, and ability to address those needs, will largely be determined by the success of our commercial efforts and those of our distributors; the ongoing impact of COVID-19 and supply chain issues on our business; and the timing, scope and magnitude of our commercial and development activities.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material contractual obligations and commercial commitments at March 31, 2023 primarily consist of $2.7 million in operating lease liabilities for our facility lease and $4.7 million in remaining minimum purchase obligations for inventory components for the manufacture and supply of certain components within the next 24 months. 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 the applicable regions. We expect to meet these requirements through cash and cash equivalents and cash provided by operations. Some of these amounts are based on management’s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 Furthermore, the Company acquired certain intellectual property, which would result in additional royalty payments at a rate of 3% of certain revenue upon the phacoemulsification features being cleared for commercialization and operational in the ALLY System.</w:t>
      </w:r>
    </w:p>
    <w:p>
      <w:pPr>
        <w:pStyle w:val="TextBody"/>
        <w:bidi w:val="0"/>
        <w:spacing w:before="240" w:after="0"/>
        <w:jc w:val="both"/>
        <w:rPr>
          <w:rFonts w:ascii="Times New Roman" w:hAnsi="Times New Roman"/>
          <w:sz w:val="20"/>
        </w:rPr>
      </w:pPr>
      <w:r>
        <w:rPr>
          <w:rFonts w:ascii="Times New Roman;serif" w:hAnsi="Times New Roman;serif"/>
          <w:b w:val="false"/>
          <w:sz w:val="20"/>
        </w:rPr>
        <w:t>We currently have an effective shelf registration statement on Form S-3 (No. 333-255136) filed with the SEC on April 8, 2021 (the “Registration Statement”) under which we may offer from time to time in one or more offerings any combination of common and preferred stock, debt securities, depositary shares, warrants, purchase contracts and units of up to $100.0 million in the aggregate. We also simultaneously entered into a sales agreement with SVB Leerink LLC, as sales agent, providing for the offering, issuance and sale by us of up to an aggregate $35.0 million of our common stock from time to time in “at-the-market” (“ATM”) offerings under the Registration Statement. Any sales by us pursuant to the Registration Statement, including any sales pursuant to the ATM offering, will be subject to any limits imposed under applicable law, including General Instructions I.B.1 and I.B.6 of Form S-3. No shares were sold under the ATM during the quarters ended March 31, 2023 and 2022.</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for the periods indicated, selected items in our condensed statements of cash flows:</w:t>
      </w:r>
      <w:r>
        <w:rPr>
          <w:rFonts w:ascii="Times New Roman" w:hAnsi="Times New Roman"/>
          <w:sz w:val="20"/>
        </w:rPr>
        <w:t xml:space="preserve"> </w:t>
      </w:r>
    </w:p>
    <w:p>
      <w:pPr>
        <w:pStyle w:val="TextBody"/>
        <w:bidi w:val="0"/>
        <w:spacing w:before="0" w:after="0"/>
        <w:jc w:val="left"/>
        <w:rPr/>
      </w:pPr>
      <w:r>
        <w:rPr/>
        <w:t> </w:t>
      </w:r>
    </w:p>
    <w:tbl>
      <w:tblPr>
        <w:tblW w:w="6569" w:type="dxa"/>
        <w:jc w:val="left"/>
        <w:tblInd w:w="0" w:type="dxa"/>
        <w:tblLayout w:type="fixed"/>
        <w:tblCellMar>
          <w:top w:w="28" w:type="dxa"/>
          <w:left w:w="28" w:type="dxa"/>
          <w:bottom w:w="28" w:type="dxa"/>
          <w:right w:w="28" w:type="dxa"/>
        </w:tblCellMar>
      </w:tblPr>
      <w:tblGrid>
        <w:gridCol w:w="4216"/>
        <w:gridCol w:w="146"/>
        <w:gridCol w:w="211"/>
        <w:gridCol w:w="631"/>
        <w:gridCol w:w="166"/>
        <w:gridCol w:w="146"/>
        <w:gridCol w:w="211"/>
        <w:gridCol w:w="631"/>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(Dollars in thousands)</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Net cash used in operating activities for the three months ended March 31, 2023 was $6.7 million, consisting primarily of a net loss of $4.3 million and a decrease in net operating assets of $5.1 million, partially offset by non-cash charges of $2.7 million. The decrease in net operating assets was primarily due to changes in inventories offset by changes in accounts receivable and accrued liabilities. Non-cash charges primarily consisted of depreciation, amortization, and stock-based compensation.</w:t>
      </w:r>
    </w:p>
    <w:p>
      <w:pPr>
        <w:pStyle w:val="TextBody"/>
        <w:bidi w:val="0"/>
        <w:spacing w:before="240" w:after="0"/>
        <w:jc w:val="both"/>
        <w:rPr>
          <w:rFonts w:ascii="Times New Roman" w:hAnsi="Times New Roman"/>
          <w:sz w:val="20"/>
        </w:rPr>
      </w:pPr>
      <w:r>
        <w:rPr>
          <w:rFonts w:ascii="Times New Roman;serif" w:hAnsi="Times New Roman;serif"/>
          <w:b w:val="false"/>
          <w:sz w:val="20"/>
        </w:rPr>
        <w:t>Net cash used in operating activities for the three months ended March 31, 2022 was $2.6 million, consisting primarily of a net loss of $6.7 million and a decrease in net operating assets of $1.3 million, partially offset by non-cash charges of $2.7 million. The decrease in net operating assets was primarily due to changes in accounts receivable, inventories and accrued liabilities offset by changes in prepaid and other current assets. Non-cash charges primarily consisted of depreciation, amortization, and stock-based compensation.</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Stock-Based Incentive Plan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2020 Incentive Award Plan provides for the grant of stock options, restricted stock, restricted stock unit awards and other stock-based awards to recipients. During 2021, we granted stock options to directors, employees, and non-employees. During the three months ended March 31, 2023, we granted stock options and restricted stock units to employees and non-employees. We intend to grant stock options and restricted stock units as part of our overall compensation package to directors and employees.</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At March 31, 2023, there was approximately $1.6 million, $1.3 million, and $2.9 million of total unrecognized compensation expense related to restricted stock awards, restricted stock units and stock options, respectively, which is expected to be recognized over a weighted-average period of 0.4 years, 2.0 years and 2.8 years, respectively. Total unrecognized stock-based compensation expense is expected to be amortized as follows:</w:t>
      </w:r>
    </w:p>
    <w:tbl>
      <w:tblPr>
        <w:tblW w:w="5725" w:type="dxa"/>
        <w:jc w:val="left"/>
        <w:tblInd w:w="0" w:type="dxa"/>
        <w:tblLayout w:type="fixed"/>
        <w:tblCellMar>
          <w:top w:w="28" w:type="dxa"/>
          <w:left w:w="28" w:type="dxa"/>
          <w:bottom w:w="28" w:type="dxa"/>
          <w:right w:w="28" w:type="dxa"/>
        </w:tblCellMar>
      </w:tblPr>
      <w:tblGrid>
        <w:gridCol w:w="4606"/>
        <w:gridCol w:w="146"/>
        <w:gridCol w:w="211"/>
        <w:gridCol w:w="571"/>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(Dollars in thousands)</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3,150</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1,681</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unrecognized 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amounts included in this table are based on restricted stock awards, restricted stock units, and stock options outstanding at March 31, 2023 and assumes the requisite service period is fulfilled for all awards outstanding. Actual stock-based compensation expense in future periods may vary from those reflected in the table.</w:t>
      </w:r>
    </w:p>
    <w:p>
      <w:pPr>
        <w:pStyle w:val="TextBody"/>
        <w:bidi w:val="0"/>
        <w:spacing w:before="360" w:after="0"/>
        <w:jc w:val="both"/>
        <w:rPr>
          <w:rFonts w:ascii="Times New Roman;serif" w:hAnsi="Times New Roman;serif"/>
          <w:b/>
          <w:sz w:val="20"/>
        </w:rPr>
      </w:pPr>
      <w:r>
        <w:rPr>
          <w:rFonts w:ascii="Times New Roman;serif" w:hAnsi="Times New Roman;serif"/>
          <w:b/>
          <w:sz w:val="20"/>
        </w:rPr>
        <w:t>Critical Accounting Estimates</w:t>
      </w:r>
    </w:p>
    <w:p>
      <w:pPr>
        <w:pStyle w:val="TextBody"/>
        <w:bidi w:val="0"/>
        <w:spacing w:before="120" w:after="0"/>
        <w:jc w:val="both"/>
        <w:rPr>
          <w:rFonts w:ascii="Times New Roman" w:hAnsi="Times New Roman"/>
          <w:sz w:val="20"/>
        </w:rPr>
      </w:pPr>
      <w:r>
        <w:rPr>
          <w:rFonts w:ascii="Times New Roman;serif" w:hAnsi="Times New Roman;serif"/>
          <w:b w:val="false"/>
          <w:sz w:val="20"/>
        </w:rPr>
        <w:t>The preparation of financial statements and related disclosures in conformity with U.S. Generally Accepted Accounting Principles, or GAAP, and the discussion and analysis of our financial condition and operating results require our management to make judgments, assumptions and estimates that affect the amounts reported in our condensed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the COVID-19 pandemic and global macroeconomic conditions originating during the pandemic has introduced additional uncertainties. We evaluate our estimates and assumptions on an ongoing basis. Actual results may differ from these estimates and such differences may be material.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There have been no significant and material changes in our critical accounting estimates during the three months ended March 31, 2023, as compared to those disclosed in “Management’s Discussion and Analysis of Financial Condition and Results of Operations” included in the Annual Report.</w:t>
      </w:r>
    </w:p>
    <w:p>
      <w:pPr>
        <w:pStyle w:val="TextBody"/>
        <w:bidi w:val="0"/>
        <w:spacing w:before="360" w:after="0"/>
        <w:jc w:val="both"/>
        <w:rPr>
          <w:rFonts w:ascii="Times New Roman;serif" w:hAnsi="Times New Roman;serif"/>
          <w:b/>
          <w:sz w:val="20"/>
        </w:rPr>
      </w:pPr>
      <w:r>
        <w:rPr>
          <w:rFonts w:ascii="Times New Roman;serif" w:hAnsi="Times New Roman;serif"/>
          <w:b/>
          <w:sz w:val="20"/>
        </w:rPr>
        <w:t>Recently Issued Accounting Standards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See Note 2, </w:t>
      </w:r>
      <w:r>
        <w:rPr>
          <w:rFonts w:ascii="Times New Roman;serif" w:hAnsi="Times New Roman;serif"/>
          <w:b w:val="false"/>
          <w:i/>
          <w:sz w:val="20"/>
        </w:rPr>
        <w:t>Summary of Significant Accounting Policies</w:t>
      </w:r>
      <w:r>
        <w:rPr>
          <w:rFonts w:ascii="Times New Roman;serif" w:hAnsi="Times New Roman;serif"/>
          <w:b w:val="false"/>
          <w:sz w:val="20"/>
        </w:rPr>
        <w:t>, to our unaudited condensed financial statements included in this Quarterly Report for a discussion of recently adopted accounting pronouncements and recently issued accounting pronouncements not yet adopted as of March 31, 2023.</w:t>
      </w:r>
      <w:r>
        <w:rPr>
          <w:rFonts w:ascii="Times New Roman" w:hAnsi="Times New Roman"/>
          <w:sz w:val="20"/>
        </w:rPr>
        <w:t xml:space="preserve"> </w:t>
      </w:r>
    </w:p>
    <w:p>
      <w:pPr>
        <w:pStyle w:val="TextBody"/>
        <w:bidi w:val="0"/>
        <w:spacing w:before="0" w:after="0"/>
        <w:jc w:val="left"/>
        <w:rPr>
          <w:rFonts w:ascii="Times New Roman;serif" w:hAnsi="Times New Roman;serif"/>
          <w:b/>
          <w:sz w:val="20"/>
        </w:rPr>
      </w:pPr>
      <w:bookmarkStart w:id="12" w:name="item_3_quantitative_qualitative_disclosu"/>
      <w:bookmarkEnd w:id="12"/>
      <w:r>
        <w:rPr>
          <w:rFonts w:ascii="Times New Roman;serif" w:hAnsi="Times New Roman;serif"/>
          <w:b/>
          <w:sz w:val="20"/>
        </w:rPr>
        <w:t>Item 3. Quantitative and Qualitative Disclosures About Market Risk.</w:t>
      </w:r>
    </w:p>
    <w:p>
      <w:pPr>
        <w:pStyle w:val="TextBody"/>
        <w:bidi w:val="0"/>
        <w:spacing w:before="120" w:after="0"/>
        <w:jc w:val="both"/>
        <w:rPr>
          <w:rFonts w:ascii="Times New Roman" w:hAnsi="Times New Roman"/>
          <w:sz w:val="20"/>
        </w:rPr>
      </w:pPr>
      <w:r>
        <w:rPr>
          <w:rFonts w:ascii="Times New Roman;serif" w:hAnsi="Times New Roman;serif"/>
          <w:b w:val="false"/>
          <w:sz w:val="20"/>
        </w:rPr>
        <w:t>We had cash and cash equivalents of $8.0 million as of March 31, 2023.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 there to be little or no credit risk to us. A hypothetical 10% change in interest rates would not have had a material impact on the value of our cash and cash equivalents as of March 31, 2023.</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 the system’s ability to operate for lack of payment and, in the case of notes receivable, repossess the system if scheduled payments lapse. As of March 31, 2023, one customer accounted for 13% of our accounts receivable, net.</w:t>
      </w:r>
    </w:p>
    <w:p>
      <w:pPr>
        <w:pStyle w:val="TextBody"/>
        <w:bidi w:val="0"/>
        <w:spacing w:before="240" w:after="0"/>
        <w:jc w:val="both"/>
        <w:rPr>
          <w:rFonts w:ascii="Times New Roman" w:hAnsi="Times New Roman"/>
          <w:sz w:val="20"/>
        </w:rPr>
      </w:pPr>
      <w:r>
        <w:rPr>
          <w:rFonts w:ascii="Times New Roman;serif" w:hAnsi="Times New Roman;serif"/>
          <w:b w:val="false"/>
          <w:sz w:val="20"/>
        </w:rPr>
        <w:t>We currently have limited exposure to foreign currency fluctuations and do not engage in any hedging activities as part of our normal course of business.</w:t>
      </w:r>
      <w:r>
        <w:rPr>
          <w:rFonts w:ascii="Times New Roman" w:hAnsi="Times New Roman"/>
          <w:sz w:val="20"/>
        </w:rPr>
        <w:t xml:space="preserve"> </w:t>
      </w:r>
    </w:p>
    <w:p>
      <w:pPr>
        <w:pStyle w:val="TextBody"/>
        <w:bidi w:val="0"/>
        <w:spacing w:before="360" w:after="0"/>
        <w:jc w:val="both"/>
        <w:rPr>
          <w:rFonts w:ascii="Times New Roman" w:hAnsi="Times New Roman"/>
          <w:sz w:val="20"/>
        </w:rPr>
      </w:pPr>
      <w:bookmarkStart w:id="13" w:name="item_4_controls_procedures"/>
      <w:bookmarkEnd w:id="13"/>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both"/>
        <w:rPr>
          <w:rFonts w:ascii="Times New Roman" w:hAnsi="Times New Roman"/>
          <w:sz w:val="20"/>
        </w:rPr>
      </w:pPr>
      <w:r>
        <w:rPr>
          <w:rFonts w:ascii="Times New Roman;serif" w:hAnsi="Times New Roman;serif"/>
          <w:b/>
          <w:sz w:val="20"/>
        </w:rPr>
        <w:t>Limitations on Effectiveness of Controls and Procedures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360" w:after="0"/>
        <w:jc w:val="both"/>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management has evaluated, with the participation of the chief executive officer and the chief financial officer, the effectiveness of our disclosure controls and procedures (as defined in Rules 13a-15(e) and 15d-15(e) under the Exchange Act) as of the end of the period covered by this Quarterly Report. Based on this evaluation, the chief executive officer and chief financial officer concluded that the Company’s disclosure controls and procedures were effective at the reasonable assurance level as of March 31, 2023.</w:t>
      </w:r>
    </w:p>
    <w:p>
      <w:pPr>
        <w:pStyle w:val="TextBody"/>
        <w:bidi w:val="0"/>
        <w:spacing w:before="360" w:after="0"/>
        <w:jc w:val="both"/>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Rules 13a-15(f) and 15d-15(f) under the Exchange Act) during the three months ended March 31, 2023 that have materially affected, or are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4" w:name="part_ii_or_information"/>
      <w:bookmarkEnd w:id="14"/>
      <w:r>
        <w:rPr>
          <w:rFonts w:ascii="Times New Roman;serif" w:hAnsi="Times New Roman;serif"/>
          <w:b/>
          <w:sz w:val="20"/>
        </w:rPr>
        <w:t>PART II – OTHER INFORMATION</w:t>
      </w:r>
    </w:p>
    <w:p>
      <w:pPr>
        <w:pStyle w:val="TextBody"/>
        <w:bidi w:val="0"/>
        <w:spacing w:before="200" w:after="0"/>
        <w:jc w:val="both"/>
        <w:rPr>
          <w:rFonts w:ascii="Times New Roman" w:hAnsi="Times New Roman"/>
          <w:sz w:val="20"/>
        </w:rPr>
      </w:pPr>
      <w:bookmarkStart w:id="15" w:name="item_1_legal_proceedings"/>
      <w:bookmarkEnd w:id="15"/>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240" w:after="0"/>
        <w:jc w:val="both"/>
        <w:rPr>
          <w:rFonts w:ascii="Times New Roman" w:hAnsi="Times New Roman"/>
          <w:sz w:val="20"/>
        </w:rPr>
      </w:pPr>
      <w:r>
        <w:rPr>
          <w:rFonts w:ascii="Times New Roman;serif" w:hAnsi="Times New Roman;serif"/>
          <w:b w:val="false"/>
          <w:sz w:val="20"/>
        </w:rPr>
        <w:t>From time to time we may be involved in claims and proceedings arising in the course of our business. The outcome of any such claims or proceedings, regardless of the merits, is inherently uncertain. We are not party to any material legal proceedings.</w:t>
      </w:r>
      <w:r>
        <w:rPr>
          <w:rFonts w:ascii="Times New Roman" w:hAnsi="Times New Roman"/>
          <w:sz w:val="20"/>
        </w:rPr>
        <w:t xml:space="preserve"> </w:t>
      </w:r>
    </w:p>
    <w:p>
      <w:pPr>
        <w:pStyle w:val="TextBody"/>
        <w:bidi w:val="0"/>
        <w:spacing w:before="240" w:after="0"/>
        <w:jc w:val="both"/>
        <w:rPr>
          <w:rFonts w:ascii="Times New Roman;serif" w:hAnsi="Times New Roman;serif"/>
          <w:b/>
          <w:sz w:val="20"/>
        </w:rPr>
      </w:pPr>
      <w:bookmarkStart w:id="16" w:name="item_1a_risk_factors"/>
      <w:bookmarkEnd w:id="16"/>
      <w:r>
        <w:rPr>
          <w:rFonts w:ascii="Times New Roman;serif" w:hAnsi="Times New Roman;serif"/>
          <w:b/>
          <w:sz w:val="20"/>
        </w:rPr>
        <w:t>Item 1A. Risk Factors</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Investing in our common stock involves a high degree of risk. You should carefully consider the risks described below, as well as the other information in this Quarterly Report, including our unaudited condensed financial statements and the related notes included elsewhere in this Quarterly Report,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pStyle w:val="TextBody"/>
        <w:bidi w:val="0"/>
        <w:spacing w:before="0" w:after="0"/>
        <w:jc w:val="both"/>
        <w:rPr/>
      </w:pPr>
      <w:r>
        <w:rPr/>
        <w:t> </w:t>
      </w:r>
    </w:p>
    <w:p>
      <w:pPr>
        <w:pStyle w:val="TextBody"/>
        <w:bidi w:val="0"/>
        <w:spacing w:before="40" w:after="0"/>
        <w:jc w:val="both"/>
        <w:rPr>
          <w:rFonts w:ascii="Times New Roman" w:hAnsi="Times New Roman"/>
          <w:sz w:val="20"/>
        </w:rPr>
      </w:pPr>
      <w:r>
        <w:rPr>
          <w:rFonts w:ascii="Times New Roman;serif" w:hAnsi="Times New Roman;serif"/>
          <w:b/>
          <w:sz w:val="20"/>
        </w:rPr>
        <w:t>Risks Related to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results have been in the past, and could be in the future, adversely affected by economic uncertainty or deteriorations in economic conditions.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Global economic uncertainty, including due to factors such as increased inflation and rising interest rates, have contributed to our business and operational performance. If economic uncertainty continues or increases or if economic conditions deteriorate, including due to the ongoing and legacy effects of the COVID-19 pandemic,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since 2020, and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expect to incur operating losses for the near-term future and we cannot assure you that we will be able to generate sufficient revenue to achieve or sustain profitability.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For the years ended December 31, 2021 and 2022, we had net losses of $19.6 million and $19.9 million, respectively, and for the three months ended March 31, 2022 and 2023, we had net losses of $6.7 million and $4.3 million, respectively. As of March 31, 2023, we had an accumulated deficit of $101.8 million. We expect to continue to incur losses for the near-term future as a result of building our commercial and clinical infrastructure, pursuing further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have historically derived our revenue from the sale or lease of our LENSAR Laser and ALLY Systems as well as the associated procedure licenses and sale of consumables used in each procedure involving our systems. The future commercial success of our ALLY System will depend upon receipt of additional regulatory clearances or certifications and our ability to maintain and grow significant market acceptance for it.</w:t>
      </w:r>
    </w:p>
    <w:p>
      <w:pPr>
        <w:pStyle w:val="TextBody"/>
        <w:bidi w:val="0"/>
        <w:spacing w:before="240" w:after="0"/>
        <w:jc w:val="both"/>
        <w:rPr>
          <w:rFonts w:ascii="Times New Roman" w:hAnsi="Times New Roman"/>
          <w:sz w:val="20"/>
        </w:rPr>
      </w:pPr>
      <w:r>
        <w:rPr>
          <w:rFonts w:ascii="Times New Roman;serif" w:hAnsi="Times New Roman;serif"/>
          <w:b w:val="false"/>
          <w:sz w:val="20"/>
        </w:rPr>
        <w:t>We have historically derived our revenue from the sale or lease of our LENSAR Laser and ALLY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In 2022, we transitioned from manufacturing and selling our LENSAR Laser System to focus on our ALLY System. In September 2022, we submitted the ALLY System for certification in the European Union, or EU, and intend to submit additional marketing or certification applications outside the United States in an effort to commercialize the ALLY System in additional countries and operating regions. Our growth, market presence and ability to sell the ALLY System will depend on whether the ALLY System receives regulatory clearance or certifications in other regions outside the United States and the timing of these clearance or certifications, among other factors. In addition, our future revenue and cash flows will depend on, among other factors, our installed base of systems.</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Our ability to maintain our market share, execute our growth strategy, achieve commercial success and become profitable will depend upon the adoption and continued acceptance of our LENSAR Laser System and ALLY System by surgeons, hospital outpatient surgical facilities, in-office surgical suites and ambulatory surgery centers, or ASCs. Our systems 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 to use our LENSAR Laser System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cataract surgeons and the medical community for the procedures in which they are designed to be used. Our ability to maintain and increase market acceptance of our products depends on a number of factors, including: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our ability to provide visual outcomes and economic data that show the safety, efficacy, cost effectiveness and other patient benefits from use of our LENSAR Laser System, ALLY System or other future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acceptance by cataract surgeons and others in the medical community of our LENSAR Laser System and ALLY System;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potential and perceived advantages and disadvantages of our LENSAR Laser System and ALLY System as compared to competing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willingness of patients to pay out-of-pocket for procedures in which our LENSAR Laser System, ALLY System or other future products is used but for which limited reimbursement by third-party payors, including government authorities, is available;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effectiveness of our sales and marketing efforts, and of those of our international distributors;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prevalence and severity of any complications associated with using our LENSAR Laser System or ALLY System;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ease of use, reliability and convenience of our LENSAR Laser System and ALLY System relative to competing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competitive response and negative selling efforts from providers of competing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quality of outcomes for patients in procedures in which surgeons use our LENSAR Laser System and ALLY System;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results of clinical trials and post-market clinical studies relating to the use of our LENSAR Laser System and ALLY System;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technical leadership of our research and development teams;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absence of third party blocking intellectual property;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our ability to introduce our products to the market with speed and on time with our projected timelines;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pricing pressure, including from larger, well-capitalized and product-diverse competitors, corporate-owned ASCs, group purchasing organizations, and government payors;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the availability of coverage and adequate reimbursement for procedures using our LENSAR Laser System, ALLY System or other future products from third-party payors, including government authorities. </w:t>
      </w:r>
    </w:p>
    <w:p>
      <w:pPr>
        <w:pStyle w:val="TextBody"/>
        <w:bidi w:val="0"/>
        <w:spacing w:before="240" w:after="0"/>
        <w:jc w:val="both"/>
        <w:rPr>
          <w:rFonts w:ascii="Times New Roman" w:hAnsi="Times New Roman"/>
          <w:sz w:val="20"/>
        </w:rPr>
      </w:pPr>
      <w:r>
        <w:rPr>
          <w:rFonts w:ascii="Times New Roman;serif" w:hAnsi="Times New Roman;serif"/>
          <w:b w:val="false"/>
          <w:sz w:val="20"/>
        </w:rPr>
        <w:t>Failure to maintain or increase market acceptance would limit our ability to generate revenue and would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growth depends on our ability to gain regulatory clearances and certifications, as well as our ability to meet production goals for our ALLY System.</w:t>
      </w:r>
    </w:p>
    <w:p>
      <w:pPr>
        <w:pStyle w:val="TextBody"/>
        <w:bidi w:val="0"/>
        <w:spacing w:before="240" w:after="0"/>
        <w:jc w:val="both"/>
        <w:rPr>
          <w:rFonts w:ascii="Times New Roman" w:hAnsi="Times New Roman"/>
          <w:sz w:val="20"/>
        </w:rPr>
      </w:pPr>
      <w:r>
        <w:rPr>
          <w:rFonts w:ascii="Times New Roman;serif" w:hAnsi="Times New Roman;serif"/>
          <w:b w:val="false"/>
          <w:sz w:val="20"/>
        </w:rPr>
        <w:t>The ALLY System, which has received clearance from the FDA, enables cataract surgeons to complete the femtosecond-laser-assisted cataract surgery, or FLACS, procedure seamlessly in a single, sterile environment. This clearance is the first stage of a planned, two-step commercial release strategy. The ALLY System is now available to all U.S. cataract surgeons and has also received regulatory clearance in India. In addition, we submitted the ALLY System for certification in the European Union, or EU, in September 2022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intend to submit additional marketing or certification applications outside the United States in an effort to commercialize the ALLY System in additional countries and operating regions. Our ability to place systems in 2022 was limited by supply chain constraints that delayed the delivery of certain ALLY System raw materials and the completion and testing of ALLY Systems for use as launch-stock inventory. If we continue to experience supply chain constraints, we may be unable to deliver ALLY Systems as planned.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the second stage of the strategy, we plan to seek an additional 510(k) clearance for the phacoemulsification features of the ALLY System in a subsequent 510(k) submission subject to a third party’s phacoemulsification device receiving clearance and serving as a predicate device. As this device will be considered the predicate device for purposes of evaluating the ALLY System’s phacoemulsification functionality, we are unable to submit a 510(k) submission seeking clearance of the phacoemulsification features within the ALLY System until the predicate device receives FDA clearance. Further, we are relying on a third party to manufacture and obtain clearance on the phacoemulsification component of our ALLY System, and do not currently possess the internal resources or know-how to do so without their assistance. Accordingly, we are delivering the ALLY System to surgeons with the phacoemulsification features disabled and/or removed.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the third party is unable to obtain clearance of its phacoemulsification device, we may not be able to obtain FDA clearance on the phacoemulsification features of our ALLY System in a timely manner, if at all. Accordingly, if we are unable to get the phacoemulsification feature of the ALLY System cleared by the FDA and authorized or certified by other regulatory bodies, it could further impact our future revenue and cash flows. Any additional adverse developments with our 510(k) submission or that of our third-party supplier, including that third party’s failure to obtain 510(k) clearance for their phacoemulsification device, for which the phacoemulsification component of our ALLY System is reliant as a predicate, could in turn further negatively impact our ability to obtain 510(k) clearance for the phacoemulsification features of our ALLY System or, even if clearance is obtained, the timing of any commercialization of both the femtosecond laser and phacoemulsification features within our ALLY System.</w:t>
      </w:r>
    </w:p>
    <w:p>
      <w:pPr>
        <w:pStyle w:val="TextBody"/>
        <w:bidi w:val="0"/>
        <w:spacing w:before="240" w:after="0"/>
        <w:jc w:val="both"/>
        <w:rPr>
          <w:rFonts w:ascii="Times New Roman" w:hAnsi="Times New Roman"/>
          <w:sz w:val="20"/>
        </w:rPr>
      </w:pPr>
      <w:r>
        <w:rPr>
          <w:rFonts w:ascii="Times New Roman;serif" w:hAnsi="Times New Roman;serif"/>
          <w:b w:val="false"/>
          <w:sz w:val="20"/>
        </w:rPr>
        <w:t>While we have engaged in market research to evaluate the interest in a dual-function device, the results of that research are based on a small population of cataract surgeons and may not be indicative of actual market interest. In addition, the success of our ALLY System or any other new product offering or product enhancements we pursue will depend on several factors, including our ability to:</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properly identify and anticipate cataract surgeon and patient needs;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develop and introduce new products and product enhancements in a timely manner;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exclude competition based on our intellectual property rights;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avoid infringing upon the intellectual property rights of third-parties;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demonstrate, if required, the safety and efficacy of new products with data from preclinical studies and clinical trials;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obtain the necessary regulatory clearances, certifications or approvals for expanded indications, new products or product modifications;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be fully FDA (or other regulatory authority)-compliant with manufacturing and marketing of new devices or modified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provide adequate training to potential users of these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receive adequate coverage and reimbursement for procedures performed with our ALLY System or any other products we may develop in the future;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develop an effective and dedicated sales and marketing team. </w:t>
      </w:r>
    </w:p>
    <w:p>
      <w:pPr>
        <w:pStyle w:val="TextBody"/>
        <w:bidi w:val="0"/>
        <w:spacing w:before="240" w:after="0"/>
        <w:jc w:val="both"/>
        <w:rPr>
          <w:rFonts w:ascii="Times New Roman" w:hAnsi="Times New Roman"/>
          <w:sz w:val="20"/>
        </w:rPr>
      </w:pPr>
      <w:r>
        <w:rPr>
          <w:rFonts w:ascii="Times New Roman;serif" w:hAnsi="Times New Roman;serif"/>
          <w:b w:val="false"/>
          <w:sz w:val="20"/>
        </w:rPr>
        <w:t>If we are not successful in expanding our product offering, our ability to increase our revenue may be impaired, which could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Global health developments and economic uncertainty resulting from COVID-19 have adversely impacted, and may continue to adversely impact, our business, results of operations, cash flows and financial position.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COVID-19 pandemic, and related global macroeconomic conditions, has significantly impacted our business, and could in the future have a material adverse impact. For example, if we or our commercial partners again experience prolonged shutdowns or business disruptions due to “shelter-in-place” orders, quarantines, suspension or restriction of elective surgeries and various business operations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or similar orders or restrictions to control the spread of COVID-19 or other health crises by restricting non-essential activities, our ability to conduct our business could be materially and adversely impacted, and our business, liquidity and financial results would be adversely affected. Adverse developments originating during the COVID-19 pandemic have adversely affected, and may continue to adversely affect, the availability of parts and components needed for our systems, which, if such conditions persist or worsen, may have a material adverse impact on the commercial success of the ALLY System. In particular, we have faced increased costs associated with supply chain disruptions, inflationary pressures and resulting price increases, and expect these trends to continue. For example, we expect our contractual obligations to increase due to supply chain issues that have necessitated us to enter into longer-term and more expensive per unit contracts to build and source inventory to satisfy the expected commercial demand for the ALLY System. If these costs are passed along to customers through an increase to the overall cost of the ALLY System, customer demand may be adversely impacted.</w:t>
      </w:r>
    </w:p>
    <w:p>
      <w:pPr>
        <w:pStyle w:val="TextBody"/>
        <w:bidi w:val="0"/>
        <w:spacing w:before="240" w:after="0"/>
        <w:jc w:val="both"/>
        <w:rPr>
          <w:rFonts w:ascii="Times New Roman" w:hAnsi="Times New Roman"/>
          <w:sz w:val="20"/>
        </w:rPr>
      </w:pPr>
      <w:r>
        <w:rPr>
          <w:rFonts w:ascii="Times New Roman;serif" w:hAnsi="Times New Roman;serif"/>
          <w:b w:val="false"/>
          <w:sz w:val="20"/>
        </w:rPr>
        <w:t>The COVID-19 pandemic also led to extreme disruption and volatility in the global capital markets, which has increased the cost of, and adversely impacted access to, capital and increased economic uncertainty, and could adversely affect our liquidity and capital resources in the future. We cannot predict with certainty the extent to which global economic uncertainty will impact our business, financial condition and results of operations, particularly if the factors contributing to this uncertainty persist or worsen over an extended period of time. Furthermore, any new pandemic, epidemic or outbreak of an infectious disease in the markets in which we operate or in which we sell or lease our products could have similar negative effects on macroeconomic conditions generally and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COVID-19 disruptions adversely impacting our business and financial results may also have the effect of heightening many of the other risks described in this “Risk Factors” section, including risks relating to changes in global economic conditions; consumer demand; our ability to maintain and grow significant market acceptance; our ability to enhance our systems; our ability to grow our marketing team; patients’ and surgeons’ willingness and ability to pay for an advanced cataract procedure over a standard cataract procedure; our future capital needs; disruption in the long-term supply and manufacturing of our products by suppliers; increased credit risks associated with our customers; and regulatory restrictions and clearances.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LENSAR Laser System or ALLY System, or procedures involving similar laser systems that meets their expectations. If patients are not adequately satisfied with the results of such procedures, they or their surgeons may be less willing to recommend these procedures to other patients.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Additionally, weak or uncertain economic conditions may cause individuals to be less willing to pay for advanced cataract procedures. Although we anticipate use of our ALLY System in certain aspects of the standard cataract procedure will be covered by or reimbursable through government or other third-party payors, our current LENSAR Laser System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we are not able to effectively grow our U.S. sales and marketing organization or maintain or grow an effective network of international distributors, our business prospects, results of operations and financial condition could be adversely affected.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order to generate future sales growth within the United States, we will need to expand the size and geographic scope of our U.S. direct sales organization. Accordingly, our future success will depend largely on our ability to train, retain 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Additionally, we rely exclusively on a network of independent distributors to generate sales and leases of our LENSAR Laser System and ALLY System as well as purchases of our consumables and licensed applications outside of the United States. For the three months ended March 31, 2023, one customer accounted for 13% of our revenue. This customer concentration exposes us to a material adverse effect if any of these significant distributors were to significantly reduce purchases for any reason or favor competitors or new market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participants. If a dispute arises with a distributor or if a distributor is terminated by us or goes out of business, it may take time to locate an alternative distributor, to seek appropriate regulatory approvals and to train new personnel to market our LENSAR Laser System, and our ALLY System upon receiving regulatory clearance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future capital needs are uncertain and we may need to raise additional funds in the future, and such funds may not be available on acceptable terms or at all.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expect our revenues and expenses to increase in connection with our on-going activities, particularly as we continue to execute on our growth strategy, including expansion of our sales and customer support teams. The primary factors determining our cash needs are the funding of operations, which we expect to continue to expand as the business grows, and enhancing our product offerings through the research and development, further regulatory clearances and launch of the ALLY System. Our future liquidity needs, and ability to address those needs, will largely be determined by the success of our commercial efforts and those of our distributors; the timing, scope and magnitude of our commercial and development activities; and the timing of further regulatory clearance or certification of our ALLY System. We have also experienced negative effects on our capital requirements from supply chain interruptions, and we expect that supply chain disruptions will negatively affect our capital requirements and the availability of funds to finance those requirements in the future.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pStyle w:val="TextBody"/>
        <w:bidi w:val="0"/>
        <w:spacing w:before="240" w:after="0"/>
        <w:jc w:val="both"/>
        <w:rPr>
          <w:rFonts w:ascii="Times New Roman" w:hAnsi="Times New Roman"/>
          <w:sz w:val="20"/>
        </w:rPr>
      </w:pPr>
      <w:r>
        <w:rPr>
          <w:rFonts w:ascii="Times New Roman;serif" w:hAnsi="Times New Roman;serif"/>
          <w:b w:val="false"/>
          <w:sz w:val="20"/>
        </w:rPr>
        <w:t>As of the date of this Quarterly Report, we expect our current cash and cash equivalents, together with cash generated from the future sale and lease of our products, to be sufficient to operate our business for at least one year from the date of issuance of these condensed financial statements. We may seek additional funds from public or private stock offerings, borrowings under credit facilities or other sources that we may not be able to maintain or obtain on acceptable or commercially reasonable terms, if at all. Our capital requirements will depend on many factors, including, but not limited to:</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revenue generated by the sale, lease or use of our systems;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costs associated with expanding our sales and marketing efforts;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expenses we incur in procuring, manufacturing and selling our systems, including increased costs, uncertainties, and delays associated with global supply chain disruptions and inflationary pressures;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costs of commercializing the ALLY System, including increased costs associated with supply chain disruptions and inflationary pressures or other new products or technologies;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scope, rate of progress and cost of our clinical studies that we are currently conducting or may conduct in the future;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 and timing of obtaining and maintaining regulatory approval, certification or clearance of our products and planned or future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costs associated with any product recall that may occur;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costs associated with complying with state, federal and foreign laws and regulations;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the cost of filing and prosecuting patent applications and defending and enforcing our patent and other intellectual property rights;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 of defending, in litigation or otherwise, any claims that we infringe third-party patent or other intellectual property rights;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 of enforcing or defending against non-competition claims;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number and timing of acquisitions and other strategic transactions;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costs associated with increased capital expenditures;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anticipated and unanticipated general and administrative expenses, including expenses related to operating as a public company and insurance expenses; and</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costs associated with any adverse market conditions or other macroeconomic factors.</w:t>
      </w:r>
    </w:p>
    <w:p>
      <w:pPr>
        <w:pStyle w:val="TextBody"/>
        <w:bidi w:val="0"/>
        <w:spacing w:before="240" w:after="0"/>
        <w:jc w:val="both"/>
        <w:rPr>
          <w:rFonts w:ascii="Times New Roman" w:hAnsi="Times New Roman"/>
          <w:sz w:val="20"/>
        </w:rPr>
      </w:pPr>
      <w:r>
        <w:rPr>
          <w:rFonts w:ascii="Times New Roman;serif" w:hAnsi="Times New Roman;serif"/>
          <w:b w:val="false"/>
          <w:sz w:val="20"/>
        </w:rPr>
        <w:t>Such capital may not be available on favorable terms, or at all. The existence of inflation in the economy has resulted in, and may continue to result in, higher interest rates and capital costs, which may impact our ability to obtain additional capital on favorable terms. Furthermore,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epidemic or infectious disease, this could materially impact our ability to operate.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We are also relying on a third party to manufacture the phacoemulsification component of the ALLY System. If one or more of our suppliers cease to provide us with sufficient quantities of materials in a timely manner or on terms acceptable to us,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particular, a global semiconductor supply shortage has had, and is continuing to have, wide-ranging effects across multiple industries.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pStyle w:val="TextBody"/>
        <w:bidi w:val="0"/>
        <w:spacing w:before="240" w:after="0"/>
        <w:jc w:val="both"/>
        <w:rPr>
          <w:rFonts w:ascii="Times New Roman" w:hAnsi="Times New Roman"/>
          <w:sz w:val="20"/>
        </w:rPr>
      </w:pPr>
      <w:r>
        <w:rPr>
          <w:rFonts w:ascii="Times New Roman;serif" w:hAnsi="Times New Roman;serif"/>
          <w:b w:val="false"/>
          <w:sz w:val="20"/>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 long-term loss of these suppliers, or their long-term inability to provide us with an adequate supply of components or products, could potentially cause delay in the manufacture of our products, thereby impairing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ability to meet the demand of our customers and causing significant harm to our business. If it becomes necessary to identify and qualify a suitable second source to replace one of our key suppliers, that replacement supplier would not have access to our previous supplier’s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 pricing increases in component parts for our systems resulting from inflationary pressures and other macroeconomic conditions may necessitate an increase in the overall cost to customers, which in turn may have an adverse impact on customer demand.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and some of our suppliers and contract facilities are required to comply with regulatory requirements of the FDA (and other regulatory authorities). In particular, the FDA’s Quality System Regulation, or QSR, which includes FDA’s current Good Manufacturing 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 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QSR and cGMPs, which would adversely impact our operations.</w:t>
      </w:r>
    </w:p>
    <w:p>
      <w:pPr>
        <w:pStyle w:val="TextBody"/>
        <w:bidi w:val="0"/>
        <w:spacing w:before="240" w:after="0"/>
        <w:jc w:val="both"/>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bidi w:val="0"/>
        <w:spacing w:before="240" w:after="0"/>
        <w:jc w:val="both"/>
        <w:rPr>
          <w:rFonts w:ascii="Times New Roman" w:hAnsi="Times New Roman"/>
          <w:sz w:val="20"/>
        </w:rPr>
      </w:pPr>
      <w:r>
        <w:rPr>
          <w:rFonts w:ascii="Times New Roman;serif" w:hAnsi="Times New Roman;serif"/>
          <w:b/>
          <w:i/>
          <w:sz w:val="20"/>
        </w:rPr>
        <w:t>We currently compete, and expect to compete in the future, against other companies, some of which have longer operating histories, more established products or greater resources than we do.</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industry is global, highly competitive and subject to rapid and profound technological, market and product-related changes. We face significant competition from large multinational medical device companies, as well as smaller, emerging players focused on product innovation.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primary competitors in providing surgical solutions for cataract patients are Alcon Inc.; Bausch + Lomb Corporation; Johnson &amp; Johnson; Carl Zeiss AG; Zeimer; and KERANOVA S.A. These competitors are focused on bringing new technologies to market and acquiring products and technologies that directly compete with our products or have potential product advantages that could render our products obsolete or noncompetitive.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Many of our current and potential competitors are large publicly traded companies or divisions of publicly-traded companies and have several competitive advantages, including: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greater financial and human resources for product development and sales and marketing;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significantly greater name recognition;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longer operating histories;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more established sales and marketing programs and distribution networks.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many of our competitors have their own intraocular lens, or IOLs, while we do not, which could put us at a competitive disadvantage. If we are unable to compete effectively in this environment, it could adversely affect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To successfully market, sell and lease our products in markets outside of the United States, we must address many international business risks with which we have limited experience.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have historically sold and leased a significant portion of our LENSAR Laser Systems outside of the United States through a network of independent distributors and intend to increase our international presence in Germany, China and South Korea, as well as other international markets, including through sales and leases of our ALLY System once regulatory clearance in these regions has been obtained. Our international business operations are subject to a number of risks, including: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difficulties in staffing and managing our international operations;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increased competition as a result of more products and procedures receiving regulatory approval, certification or clearance or otherwise becoming free to market in international markets;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longer accounts receivable payment cycles and difficulties in collecting accounts receivable;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reduced or varied protection for intellectual property rights in some countries;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export restrictions, trade regulations, and foreign tax laws;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fluctuations in currency exchange rates;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foreign certification and regulatory clearance or approval requirements;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difficulties in developing effective marketing campaigns in unfamiliar international markets;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customs clearance and shipping delays;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political, social, and economic instability abroad, including the ongoing war between Russia and Ukraine, potential conflict between China and Taiwan, terrorist attacks, and security concerns in general;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preference for locally produced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potentially adverse tax consequences, including the complexities of foreign value-added tax systems, tax inefficiencies related to our corporate structure, and restrictions on the repatriation of earnings;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burdens of complying with a wide variety of foreign laws and different legal standards;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increased financial accounting and reporting burdens and complexities.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For example, the war between Russia and Ukraine has not had a direct material impact on our revenue to date; however, that could change depending on the magnitude of the conflict and the imposition of additional sanctions by the U.S. and other countries or the spread of the conflict to surrounding areas. Further, while we are not directly exposed to economic conditions in Russia or Ukraine, the conflict has had a substantial impact on global supply chains and may be a contributing factor to the supply chain shortages we are experiencing.</w:t>
      </w:r>
    </w:p>
    <w:p>
      <w:pPr>
        <w:pStyle w:val="TextBody"/>
        <w:bidi w:val="0"/>
        <w:spacing w:before="240" w:after="0"/>
        <w:jc w:val="both"/>
        <w:rPr>
          <w:rFonts w:ascii="Times New Roman" w:hAnsi="Times New Roman"/>
          <w:sz w:val="20"/>
        </w:rPr>
      </w:pPr>
      <w:r>
        <w:rPr>
          <w:rFonts w:ascii="Times New Roman;serif" w:hAnsi="Times New Roman;serif"/>
          <w:b w:val="false"/>
          <w:sz w:val="20"/>
        </w:rPr>
        <w:t>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are exposed to the credit risk of some of our customers, which could result in material losses.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Customers may lease our systems or finance the system through the product utilization, and we believe there has been an increase in demand for these types of customer leasing in recent years, especially in the United States. We may experience loss from a customer’s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 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 ability to make timely payments according to the contractual lease 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pStyle w:val="TextBody"/>
        <w:bidi w:val="0"/>
        <w:spacing w:before="240" w:after="0"/>
        <w:jc w:val="both"/>
        <w:rPr>
          <w:rFonts w:ascii="Times New Roman" w:hAnsi="Times New Roman"/>
          <w:sz w:val="20"/>
        </w:rPr>
      </w:pPr>
      <w:r>
        <w:rPr>
          <w:rFonts w:ascii="Times New Roman;serif" w:hAnsi="Times New Roman;serif"/>
          <w:b w:val="false"/>
          <w:sz w:val="20"/>
        </w:rPr>
        <w:t>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adverse effect on our business, financial condition and results of operations or adversely affect our ability to sell such assets as part of our monetization strategy.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i/>
          <w:sz w:val="20"/>
        </w:rPr>
        <w:t>We may be unable to accurately forecast customer demand and our inventory levels.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generally do not maintain large volumes of finished goods and anticipating demand for our products may be challenging as cataract surgeon demand and adoption rates can be unpredictable. In addition, as use of our LENSAR Laser System and ALLY System is adopted by more cataract surgeons, we anticipate greater fluctuations in demand for our products, which makes demand forecasting more difficult. Our forecasts are based on management’s judgment and assumptions, each of which may introduce error into our estimates. If we underestimate customer demand or if insufficient manufacturing capacity is available, we would miss revenue opportunities and potentially lose market share and damage our customer relationships. In connection with the commercial launch of the ALLY System, we have modified our manufacturing operations from producing the LENSAR Laser Systems to the ALLY System. We could underestimate the worldwide demand for the ALLY System and be unable to fulfill customer requests. Conversely, if we overestimate customer demand, our excess or obsolete inventory may increase significantly, which would reduce our gross margin and adversely affect our financial results.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Failure to secure adequate coverage or reimbursement by government or other third-party payors for certain procedures using our ALLY Adaptive Cataract Treatment System or our other future products, or changes in current coverage or reimbursement, could materially impact our revenue and future growth.</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Adequate coverage and reimbursement from third-party payors, including government programs such as Medicare and Medicaid, private insurance plans and managed care programs, for certain procedures (e.g., phacoemulsification)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providers and the prices paid for a procedure using our ALLY System may decline, which could have a material adverse effect on our business, financial condition or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“eligible clinicians” (as defined in 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ALLY System or any other products we may develop in the future. However, there is no uniform policy of coverage and reimbursement among payors in the United States. Therefore, coverage and reimbursement for procedures can differ significantly from payor to payor. Many private payors require extensive documentation of a multi-step diagnosis before authorizing procedures 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other future products, may negatively affect the adoption and use of our ALLY System or other future products and technologies, and the prices paid for such products may decline.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 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Europe, reimbursement is entirely regulated at member state level and varies significantly between countries, and member states are facing increased pressure to limit public healthcare spending. We may not obtain additional international coverage and reimbursement approvals in a timely manner, if at all. Our failure to receive such approvals would negatively impact future market acceptance of our ALLY System or any of other products we may develop in the future in the international markets in which those approvals are sought.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provide a limited warranty for our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Product liability suits brought against us could cause us to incur substantial liabilities, limit the selling or leasing of our existing products and interfere with commercialization of any products that we may develop.</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management’s attention from our business, be expensive to defend, result in sizable damage awards against us, damage our reputation, increase our product liability insurance rates, prevent us from securing continuing coverage, or prevent or interfere with commercialization of our products. In addition, we may not have sufficient insurance coverage for all future claims. Product liability claims brought against us in excess of our insurance coverage would likely be paid out of cash reserves, harming our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insurance policies are expensive and protect us only from some business risks, which leaves us exposed to significant uninsured liabilities.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financial results may fluctuate significantly and may not fully reflect the underlying performance of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control and, as a result, may not fully reflect the underlying performance of our business. For example, we have historically experienced seasonal variations in the selling or leasing of our products and procedures involving our products, with our fourth quarter typically being the strongest and the first or third quarter being the slowest. We believe these seasonal changes are consistent across our industry. Other factors that may cause fluctuations in our quarterly and annual results include:</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fluctuations in the demand for the more advanced, patient-pay procedures in which our systems are used;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adoption of our LENSAR Laser Systems and ALLY Systems;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our ability to establish and maintain an effective and dedicated sales organization in the United States and network of independent distributors outside the United States;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pricing pressure applicable to our products from competitor pricing;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results of clinical research and trials on our products or competitive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mix of sales and leases of our systems;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timing of delivery of systems, new product offerings, acquisitions, licenses or other significant events by us or our competitors;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decisions by surgeons, hospitals and ASCs to defer acquisitions of systems in anticipation of the introduction of new products or product enhancements by us or our competitors;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sampling by and additional training requirements for cataract surgeons upon the commercialization of a new product by us or one of our competitors;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regulatory approvals, clearances or certifications and legislative changes affecting the products we may offer or those of our competitors;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interruption in the manufacturing or distribution of our systems;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delays in, or failure of, component and raw material deliveries by our suppliers;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ability of our suppliers to timely provide us with an adequate supply of components;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effect of competing technological, industry and market developments;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changes in our ability to obtain regulatory clearance, certification or approval for our product candidates. </w:t>
      </w:r>
    </w:p>
    <w:p>
      <w:pPr>
        <w:pStyle w:val="TextBody"/>
        <w:bidi w:val="0"/>
        <w:spacing w:before="240" w:after="0"/>
        <w:jc w:val="both"/>
        <w:rPr>
          <w:rFonts w:ascii="Times New Roman" w:hAnsi="Times New Roman"/>
          <w:sz w:val="20"/>
        </w:rPr>
      </w:pPr>
      <w:r>
        <w:rPr>
          <w:rFonts w:ascii="Times New Roman;serif" w:hAnsi="Times New Roman;serif"/>
          <w:b w:val="false"/>
          <w:sz w:val="20"/>
        </w:rPr>
        <w:t>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we fail to manage our anticipated growth effectively, or are unable to increase or maintain our manufacturing capacity, we may not be able to meet customer demand for our products and our business could suffer.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have experienced significant period-to-period growth in our business, with the exception of 2020 due to the impact of the COVID-19 pandemic on our operations, and we must continue to grow in order to meet our business and financial objectives. However, continued growth may create numerous challenges, including: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new and increased responsibilities for our management team;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increased pressure on our operating, financial and reporting systems;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increased pressure to anticipate and satisfy market demand;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additional manufacturing capacity requirements;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strain on our ability to source a larger supply of components, including as a result of ongoing supply chain issues, in order to meet our required specifications on a timely basis;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management of an increasing number of relationships with our customers, suppliers and other third parties;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entry into new international territories with unfamiliar regulations and business approaches;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need to hire, train and manage additional qualified personnel; and</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transitioning manufacturing from our LENSAR Laser System to our ALLY System.</w:t>
      </w:r>
    </w:p>
    <w:p>
      <w:pPr>
        <w:pStyle w:val="TextBody"/>
        <w:bidi w:val="0"/>
        <w:spacing w:before="240" w:after="0"/>
        <w:jc w:val="both"/>
        <w:rPr>
          <w:rFonts w:ascii="Times New Roman" w:hAnsi="Times New Roman"/>
          <w:sz w:val="20"/>
        </w:rPr>
      </w:pPr>
      <w:r>
        <w:rPr>
          <w:rFonts w:ascii="Times New Roman;serif" w:hAnsi="Times New Roman;serif"/>
          <w:b w:val="false"/>
          <w:sz w:val="20"/>
        </w:rPr>
        <w:t>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 Also, we may not manufacture the right product mix to meet customer demand as we introduce new products. As a result, we may experience difficulties in meeting customer demand, in which case we could lose customers or be required to delay new product introductions, and demand for our products could decline. If we fail to manage any of the above challenges effectively, our business may be harmed.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we choose to acquire new and complementary businesses, products or technologies, we may be unable to complete these acquisitions or to successfully integrate them in a cost-effective and non-disruptive manner.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be adversely affected. In addition, any amortization or charges resulting from the costs of acquisitions could increase our expenses.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future growth depends on our ability to retain members of our senior management and other key employees. If we are unable to retain or recruit qualified personnel for growth, our business results could suffer.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or that we will be able to do so without incurring substantial additional costs. We have begun to experience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rely significantly on the use of information technology. Cybersecurity risks – any technology failures causing a material disruption to operational technology or cyber-attacks on our systems affecting our ability to protect the integrity and security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i/>
          <w:sz w:val="20"/>
        </w:rPr>
        <w:t>customer and employee information – could harm our reputation and/or could disrupt our operations and negatively impact our business.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efficient operation of our business depends on our information technology systems. We rely on our information technology systems to effectively manage sales and marketing data, accounting and financial functions, inventory management, product development tasks, clinical data, customer service and technical support functions. The future operation, success and growth of our business depends on streamlined processes made available through our uninhibited access to information systems, global communications, internet activity and other network processes.</w:t>
      </w:r>
    </w:p>
    <w:p>
      <w:pPr>
        <w:pStyle w:val="TextBody"/>
        <w:bidi w:val="0"/>
        <w:spacing w:before="240" w:after="0"/>
        <w:jc w:val="both"/>
        <w:rPr>
          <w:rFonts w:ascii="Times New Roman" w:hAnsi="Times New Roman"/>
          <w:sz w:val="20"/>
        </w:rPr>
      </w:pPr>
      <w:r>
        <w:rPr>
          <w:rFonts w:ascii="Times New Roman;serif" w:hAnsi="Times New Roman;serif"/>
          <w:b w:val="false"/>
          <w:sz w:val="20"/>
        </w:rPr>
        <w:t>Like most companies, despite our current security measures, our information technology systems, and those of our third-party service providers, may be vulnerable to information security breaches, acts of vandalism, computer viruses and interruption or loss of valuable business data. Stored data might be improperly accessed due to a variety of events beyond our control, including, but not limited to, 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 risk to these vulnerabilities, but these measures may not be adequately designed or implemented to ensure that our operations are not disrupted or that data security breaches do not occur.</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Hackers and data thieves are increasingly sophisticated and operate large-scale and complex automated attacks which may remain undetected until after they occur. Any breach of our network may result in damage to our reputation, the loss of valuable business data, the misappropriation of our valuable intellectual property or trade secret information, misappropriation of personal information, key personnel being unable to perform duties or communicate throughout the organization, significant costs for data restoration and other adverse impacts on our business. Ransomware attacks, including those from organized criminal threat actors, nation-states, and nation-state supported actors, are becoming increasingly prevalent and severe, and if made against us could lead to significant interruptions in our operations, loss of data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if our network were compromised, it could give rise to unwanted media attention, materially damage our customer relationships, decrease sales and leases of our products, increase overhead costs, harm our business, reputation, results of operations, cash flows and financial condition, result in fines or litigation, and may increase the costs we incur to protect against such information security breaches, such as increased investment in technology, the costs of compliance with consumer protection laws and costs resulting from consumer fraud.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do not carry cyber insurance, which may expose us to certain potential losses for damages or result in penalization with fines in an amount exceeding our resources.</w:t>
      </w:r>
    </w:p>
    <w:p>
      <w:pPr>
        <w:pStyle w:val="TextBody"/>
        <w:bidi w:val="0"/>
        <w:spacing w:before="240" w:after="0"/>
        <w:jc w:val="both"/>
        <w:rPr>
          <w:rFonts w:ascii="Times New Roman" w:hAnsi="Times New Roman"/>
          <w:sz w:val="20"/>
        </w:rPr>
      </w:pPr>
      <w:r>
        <w:rPr>
          <w:rFonts w:ascii="Times New Roman;serif" w:hAnsi="Times New Roman;serif"/>
          <w:b/>
          <w:i/>
          <w:sz w:val="20"/>
        </w:rPr>
        <w:t>Failure to comply with data privacy and security laws could have a material adverse effect on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business processes health-related and other personal information. When conducting clinical studies, we face risks associated with collecting trial participants’ information, especially health information, in a manner consistent with applicable laws and regulations. We also face risks inherent in handling large volumes of information and in protecting the security of such information.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information or prevent use of their accounts. Data breaches could result in a violation of applicable U.S.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may be subject to state, federal and foreign laws relating to data privacy and security in the conduct of our business, including state breach notification laws, the Health Insurance Portability and Accountability Act, or HIPAA, as amended by the Health Information Technology for Economic and Clinical Health Act of 2009, or HITECH, the EU’s General Data Protection Regulation 2016/679 and applicable national supplementing laws, or GDPR, and the California Consumer Privacy Act, or CCPA, as amended by the California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Privacy Rights Act, or CPRA. The CCPA went into effect on January 1, 2020, and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been proposed in other states and at the federal level, reflecting a trend toward more stringent privacy legislation in the United States. This legislation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before="240" w:after="0"/>
        <w:jc w:val="both"/>
        <w:rPr>
          <w:rFonts w:ascii="Times New Roman" w:hAnsi="Times New Roman"/>
          <w:sz w:val="20"/>
        </w:rPr>
      </w:pPr>
      <w:r>
        <w:rPr>
          <w:rFonts w:ascii="Times New Roman;serif" w:hAnsi="Times New Roman;serif"/>
          <w:b w:val="false"/>
          <w:sz w:val="20"/>
        </w:rPr>
        <w:t>The GDPR imposes comprehensive compliance obligations regarding our processing of personal data, including a principle of accountability and the obligation to demonstrate that appropriate legal bases are in place to justify data processing activities. Additionally, we are subject to laws and regulations regarding cross-border transfers of personal data, including laws relating to transfer of personal data outside of the European Economic Area, (“EEA”). On July 16, 2020, the Court of Justice of the European Union (“CJEU”) invalidated the EU-US Privacy Shield Framework (“Privacy Shield”) under which personal data could be transferred from these jurisdictions to relevant self-certified U.S. entities. The CJEU further noted that reliance on the European Commission standard contractual clauses (a potential alternative transfer mechanism to the Privacy Shield) alone may not necessarily be sufficient in all circumstances and that transfers must be assessed on a case-by-case basis. We currently rely on the standard contractual clauses. If we cannot rely on existing mechanisms for transferring personal data from the EEA, or other jurisdictions, we could be prevented from transferring personal data of individuals in those regions; we could suffer additional costs, complaints and/or regulatory investigations or fines; we may have to stop using certain tools and vendors and make other operational changes; we will have to implement revised standard contractual clauses for existing arrangements within required time frame; and/or it could otherwise adversely affect the manner in which we provide our services and thus materially affect our operations and financial results. Failure to comply with the EU GDPR could result in penalties. Penalties for certain breaches are up to the greater of EUR 20 million or 4% of our global annual turnover. In addition to fines, a breach of the GDPR may result in regulatory investigations, reputational damage, orders to cease/change our data processing activities, enforcement notices, assessment notices (for a compulsory audit) and/ or civil claims (including class actions).</w:t>
        <w:br/>
      </w:r>
      <w:r>
        <w:rPr>
          <w:rFonts w:ascii="Times New Roman" w:hAnsi="Times New Roman"/>
          <w:sz w:val="20"/>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to host or otherwise process some of this data. In some instances, these third parties have experienced immaterial failures to protect data privacy. There can be no assurances that the privacy and security-related measures and safeguards we have put in place in relation to these third parties will be effective to protect us and/ or the relevant personal data from the risks associated with the third-party processing of such data. Any failure by a third party to prevent security breaches could have adverse consequences for us,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pStyle w:val="TextBody"/>
        <w:bidi w:val="0"/>
        <w:spacing w:before="240" w:after="0"/>
        <w:jc w:val="both"/>
        <w:rPr>
          <w:rFonts w:ascii="Times New Roman" w:hAnsi="Times New Roman"/>
          <w:sz w:val="20"/>
        </w:rPr>
      </w:pPr>
      <w:r>
        <w:rPr>
          <w:rFonts w:ascii="Times New Roman;serif" w:hAnsi="Times New Roman;serif"/>
          <w:b/>
          <w:i/>
          <w:sz w:val="20"/>
        </w:rPr>
        <w:t>Performance issues, service interruptions or price increases by our shipping carriers could adversely affect our business and harm our reputation and ability to provide our products on a timely basis.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Reliable shipping is essential to our operations. We rely on providers of transport services for reliable and secure point-to-point transport of our products to our customers and for tracking of these shipments. Should a carrier encounter delivery performance issues such as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loss, damage or destruction of any of our products, it would be costly to replace such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deliver our products (or any other products we commercialize in the future) on a timely basis.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Intangible assets on our books may lead to significant impairment charges.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may incur significant impairment charges if the fair value of the intangible assets would be less than their carrying value on our balance sheet at any point in time.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regularly review our long-lived intangible and tangible assets, including identifiable intangible assets, for impairment. Intangible assets with an indefinite useful life (such as the LENSAR brand name), acquired research projects not ready for use, and acquired development projects not yet ready for use are subject to impairment review. We review other long-lived assets for impairment when there is an indication that an impairment may have occurred.</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historical financial information may not be a reliable indicator of our future results.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historical financial information may not necessarily reflect what our financial position, results of operations or cash flows we will achieve in the future. Accordingly, the historical financial information presented in this Quarterly Report should not be assumed to be a reliable indicator of what our financial condition or results of operations actually could be in the future. In October 2020, we completed a spin-off of LENSAR, Inc. from PDL BioPharma, Inc., or PDL, and we became an independent public company on October 1, 2020 (the “Spin-Off”). As a result, historical financial information for periods prior to the Spin-Off may not necessarily reflect what our financial position, results of operations or cash flows would have been had we been an independent entity during such period or those that we will achieve in the future. The costs and expenses reflected in our historical financial data prior to the Spin-Off include an allocation for certain corporate functions historically provided by PDL, including shared services and infrastructure provided by PDL to us, such as costs of information technology, accounting, tax and legal services, and other corporate and infrastructure services that may be different from the comparable expenses that we would have incurred had we operated as a stand-alone company. Our historical financial information prior to the Spin-Off does not reflect changes that have occurred or may occur in the future in our cost structure and operations as a result of our transition to becoming a stand-alone public company, including changes in our employee base, potential increased costs associated with reduced economies of scale and increased costs associated with SEC reporting and other requirements. Accordingly, the historical financial information for periods that predate our spin-off from PDL should not be assumed to be indicative of what our financial condition or results of operations actually would have been as an independent, publicly traded company during such periods or to be a reliable indicator of what our financial condition or results of operations actually could be in the future.</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are subject to continuing contingent liabilities of PDL BioPharma, Inc. following the Spin-Off.</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There are several significant areas where the liabilities of PDL may become our obligations. For example, under the Internal Revenue Code of 1986, as amended, and the related rules and regulations, each corporation that was a member of the PDL consolidated U.S. federal income tax reporting group during any taxable period or portion of any taxable period ending on or before the effective time of the Spin-Off is jointly and severally liable for the U.S. federal income tax liability of the entire PDL consolidated tax reporting group for that taxable period. In addition, the Tax Matters Agreement with PDL allocates the responsibility for taxes between PDL and us. Pursuant to this allocation, we may be responsible for taxes that we would not have otherwise incurred, or that we would have incurred but in different amounts or at different times, on a standalone basis outside of the PDL consolidated group, and the amount of such taxes could be significant. However, if PDL is unable to pay any prior period taxes for which it is responsible, we could be required to pay the entire amount of such taxes.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Potential indemnification obligations to PDL pursuant to the Separation and Distribution Agreement could materially and adversely affect us.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connection with the Spin-Off, the Company and PDL entered into a Separation and Distribution Agreement, dated September 30, 2020 (the “Separation and Distribution Agreement”), which sets forth the agreements between PDL and the Company regarding the principal transactions necessary to separate the Company from PDL and other agreements that govern certain aspects of the relationship with PDL after the completion of the Spin-Off. Among other things, the Separation and Distribution Agreement provides for indemnification obligations designed to make us financially responsible for substantially all of the liabilities that may exist relating to our business activities, whether incurred prior to or after the spin-off. If we are required to indemnify PDL under the circumstances set forth in the Separation and Distribution Agreement, we may be subject to substantial liabilities.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sz w:val="20"/>
        </w:rPr>
        <w:t>Risks Related to Government Regulation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products and operations are subject to extensive government regulation and oversight both in the United States and abroad, and our failure to comply with applicable requirements could harm our business.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pStyle w:val="TextBody"/>
        <w:bidi w:val="0"/>
        <w:spacing w:before="240" w:after="0"/>
        <w:jc w:val="both"/>
        <w:rPr>
          <w:rFonts w:ascii="Times New Roman" w:hAnsi="Times New Roman"/>
          <w:sz w:val="20"/>
        </w:rPr>
      </w:pPr>
      <w:r>
        <w:rPr>
          <w:rFonts w:ascii="Times New Roman;serif" w:hAnsi="Times New Roman;serif"/>
          <w:b w:val="false"/>
          <w:sz w:val="20"/>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 For example, on February 23, 2022, the FDA issued a proposed rule to amend the Quality System Regulation, or QSR, which establishes current good manufacturing practice requirements for medical device manufacturers, to align more closely with the International Organization for Standardization, or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may not receive, or may be delayed in receiving, the necessary clearances, certifications or approvals for our future products, or modifications to our current products, and failure to timely obtain necessary additional clearances, certifications or approvals for our ALLY System and future products or modifications to our current products would adversely affect our ability to grow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to obtain necessary regulatory clearances or approvals could harm our business. Furthermore, even if we are granted regulatory clearances or approvals, they may include significant limitations on the indicated uses for the device, which may limit the market for the device.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the United States, we have obtained clearance of our LENSAR Laser System and ALLY System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to our products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ALLY System, which has received clearance from the FDA, enables cataract surgeons to complete the FLACS procedure seamlessly in a single, sterile environment. This clearance is the first stage of a planned, two step commercial release strategy. The ALLY System is now available to all U.S. cataract surgeons and has also received regulatory clearance in India. Our ability to place systems in 2022 was limited by supply chain constraints that delayed the delivery of certain ALLY System raw materials and the completion and testing of ALLY Systems for use as launch-stock inventory. As the second stage of the strategy, we plan to seek an additional 510(k) clearance for the phacoemulsification features of the ALLY System in a subsequent 510(k) submission subject to a third party’s phacoemulsification device receiving clearance and serving as a predicate device. As this device will be considered the predicate device for purposes of evaluating the ALLY System’s phacoemulsification functionality, we are unable to submit a 510(k) submission seeking clearance of the phacoemulsification features within the ALLY System until the predicate device receives FDA clearance. Accordingly, we are delivering the ALLY System to surgeons with the phacoemulsification features disabled and/or removed. If the third party is unsuccessful in obtaining clearance on its projected timelines, or at all, we could be delayed in our submission for 510(k) clearance for the phacoemulsification features of our ALLY System, and/or we may be required to find an alternative component from a different third party to replace the component the third party is developing. We may be unable to identify a replacement supplier, and even if we are, the use of a different third party component could require additional data or other activities that could increase our costs or delay our projected timing. If any of these events were to occur, we could be materially delayed in our efforts to seek 510(k) clearance of all features of our ALLY System. Even if the third party obtains clearance for the phacoemulsification device, the FDA has significant discretion in the 510(k) clearance process, and we cannot guarantee that we will obtain clearance of our ALLY System as proposed.</w:t>
      </w:r>
    </w:p>
    <w:p>
      <w:pPr>
        <w:pStyle w:val="TextBody"/>
        <w:bidi w:val="0"/>
        <w:spacing w:before="240" w:after="0"/>
        <w:jc w:val="both"/>
        <w:rPr>
          <w:rFonts w:ascii="Times New Roman" w:hAnsi="Times New Roman"/>
          <w:sz w:val="20"/>
        </w:rPr>
      </w:pPr>
      <w:r>
        <w:rPr>
          <w:rFonts w:ascii="Times New Roman;serif" w:hAnsi="Times New Roman;serif"/>
          <w:b w:val="false"/>
          <w:sz w:val="20"/>
        </w:rPr>
        <w:t>The FDA, foreign regulatory authorities or notified bodies can delay, limit or deny clearance, certification or approval of a device for many reasons, including: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our inability to demonstrate to the satisfaction of the FDA or the applicable foreign regulatory authority or notified body that our products are safe or effective for their intended uses;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disagreement of the FDA or the applicable foreign regulatory authority or notified body with the design or implementation of our clinical trials or the interpretation of data from pre-clinical studies or clinical trials;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serious and unexpected adverse device effects experienced by participants in our clinical trials;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data from our pre-clinical studies and clinical trials may be insufficient to support clearance, certification or approval, where required;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our inability to demonstrate that the clinical and other benefits of the device outweigh the risks;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manufacturing process or facilities we use may not meet applicable requirements;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the potential for approval or certification policies or regulations of the FDA or applicable foreign regulatory authority or notified body to change significantly in a manner rendering our clinical data or regulatory filings insufficient for clearance, certification or approval.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September 2022, we submitted an application for certification of the ALLY System in the EU and we intend to submit additional marketing or certification applications outside the United States in an effort to commercialize the ALLY System in additional countries and operating regions. Subject to the transitional provisions and in order to sell our products in EU member states, our products must comply with the general safety and performance requirements of the EU Medical Devices Regulation, which repeals and replaces the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 are generally applicable in the European Economic Area, or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the EU, devices lawfully placed on the market pursuant to the EU Medical Devices Directive prior to May 26, 2021 and devices placed on the market from May 26, 2021 in accordance with the requirements of the transitional provisions, may generally continue to be made available on the market or put into service until May 26, 2025.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On June 26, 2022, the MHRA published its response to a 10-week consultation on the future regulation of medical devices in the United Kingdom. Regulations implementing the new regime were originally scheduled to come into force in July 2023, but the MHRA has recently postponed the mandatory deadline until July 2024. Medical devices bearing CE marks issued by EU notified bodies under the EU Medical Devices Regulation or EU Medical Devices Directive are now subject to transitional arrangements. Devices certified under the EU Medical Devices Regulation may be placed on the market in Great Britain under the CE mark until either the certificate expires or for five years after the new regulations take effect, whichever is sooner. However, devices certified under the EU Medical Devices Directive may be placed on the market until either the certificate expires or for three years after the new regulations take effect, whichever is sooner. Following these transitional periods, all medical devices will require a UK Conformity Assessed, or UKCA, mark. Manufacturers may choose to use the UKCA mark on a voluntary basis until June 30, 2024. However, UKCA marking will not be recognized in the EU. Following the transitional period, compliance with the UK regulations will be a prerequisite to be able to affix the UKCA mark to medical devices, without which they cannot be sold or marketed in Great Britain. The rules for placing medical devices on the Northern Ireland market will differ from those in the Great Britain and will continue to be governed according to EU requirements. These modifications may have an effect on the way we intend to conduct our business in these countries.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i/>
          <w:sz w:val="20"/>
        </w:rPr>
        <w:t>Failure to comply with post-marketing regulatory requirements could subject us to enforcement actions, including substantial penalties, and might require us to recall or withdraw a product from the market.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are subject to ongoing and pervasive regulatory requirements governing, among other things, the manufacture, marketing, advertising, medical device reporting, sale, promotion, import, export, registration, and listing of devices. 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or notified bodies, which may include any of the following sanctions:</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untitled letters or warning letters;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fines, injunctions, consent decrees and civil penalties;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recalls, termination of distribution, administrative detention, or seizure of our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customer notifications or repair, replacement or refunds;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operating restrictions or partial suspension or total shutdown of production;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delays in or refusal to grant our requests for future clearances, certifications or approvals (including foreign regulatory approvals) of new products, new intended uses, or modifications to existing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withdrawals or suspensions of our current 510(k) clearances, resulting in prohibitions on sales of our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FDA refusal to issue certificates to foreign governments needed to export products for sale in other countries;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criminal prosecution. </w:t>
      </w:r>
    </w:p>
    <w:p>
      <w:pPr>
        <w:pStyle w:val="TextBody"/>
        <w:bidi w:val="0"/>
        <w:spacing w:before="240" w:after="0"/>
        <w:jc w:val="both"/>
        <w:rPr>
          <w:rFonts w:ascii="Times New Roman" w:hAnsi="Times New Roman"/>
          <w:sz w:val="20"/>
        </w:rPr>
      </w:pPr>
      <w:r>
        <w:rPr>
          <w:rFonts w:ascii="Times New Roman;serif" w:hAnsi="Times New Roman;serif"/>
          <w:b w:val="false"/>
          <w:sz w:val="20"/>
        </w:rPr>
        <w:t>Any of these sanctions could result in higher than anticipated costs or lower than anticipated sales and have a material adverse effect on our reputation,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serif" w:hAnsi="Times New Roman;serif"/>
          <w:b w:val="false"/>
          <w:i/>
          <w:sz w:val="20"/>
        </w:rPr>
        <w: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products must be manufactured in accordance with federal, state and foreign regulations, and we or any of our suppliers could be forced to recall products or terminate production if we fail to comply with these regulations.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 suspension or withdrawal of approvals or certifications; seizures or recalls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of our products; total or partial suspension of production or distribution; administrative or judicially imposed sanctions; the FDA’s (or foreign regulatory authorities’ or notified bodies’) refusal to grant pending or future clearances, certifications or approvals for our products; clinical holds; refusal to permit the import or export of our products; and criminal prosecution of us or our employees.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The misuse or off-label use of our LENSAR Laser System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LENSAR Laser System and ALLY System are ophthalmic surgical lasers indicated for the creation of anterior capsulotomies, use in patients undergoing surgery requiring laser-assisted fragmentation of the cataractous lens, and for creating cuts/incisions in the cornea.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 foreign regulatory authority or certified by a notified body may not effectively treat such conditions, which could harm our reputation in the marketplace among physicians and patients.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are subject to the FDA’s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 of our device clearance, certification or approval, seizure of our products or delay in clearance, certification or approval of future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FDA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warning letters from the FDA (or foreign regulatory authorities), product seizure, injunctions, administrative penalties or civil or criminal fines.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we do not obtain and maintain international regulatory registrations, clearances, certifications or approvals for our products, we will be unable to market and sell our products outside of the United States.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maintain our authorizations or certifications in a particular country, we will no longer be able to sell the applicable product in that country.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The clinical trial process is lengthy and expensive with uncertain outcomes. Results of earlier studies may not be predictive of future clinical trial results, or the safety or efficacy profile for such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may be required to submit an Investigational Device Exemption (“IDE”) application to FDA, which must become effective prior to commencing certain human clinical trials of medical devices, and FDA may reject our IDE application and notify us that we may not begin clinical trials, and similar risks may apply in foreign jurisdictions;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regulators and other comparable foreign regulatory authorities may disagree as to the design or implementation of our clinical trials;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regulators, Institutional Review Boards, or IRBs, or other reviewing bodies may not authorize us or our investigators to commence a clinical trial, or to conduct or continue a clinical trial at a prospective or specific trial site;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may not reach agreement on acceptable terms with prospective contract research organizations, or CROs, and clinical trial sites, the terms of which can be subject to extensive negotiation and may vary significantly among different CROs and trial sites;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clinical trials may produce negative or inconclusive results, and we may decide, or regulators or notified bodies may require us, to conduct additional clinical trials or abandon product development programs;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our third-party contractors, including those manufacturing products or conducting clinical trials on our behalf, may fail to comply with regulatory requirements or meet their contractual obligations to us in a timely manner, or at all;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might have to suspend or terminate clinical trials for various reasons, including a finding that the subjects are being exposed to unacceptable health risks;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may have to amend clinical trial protocols or conduct additional studies to reflect changes in regulatory requirements or guidance, which we may be required to submit to an IRB (or other reviewing bodies), regulatory authorities, or both, for re-examination;</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regulators, IRBs, other reviewing bodies, or other parties may require or recommend that we or our investigators suspend or terminate clinical research for various reasons, including safety signals or noncompliance with regulatory requirements;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 of clinical trials may be greater than we anticipate;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clinical sites may not adhere to the clinical protocol or may drop out of a clinical trial;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may be unable to recruit a sufficient number of clinical trial sites;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approval or certification policies or regulations of FDA or applicable foreign regulatory agencies may change in a manner rendering our clinical data insufficient for certification or approval;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our current or future products may have undesirable side effects or other unexpected characteristics. </w:t>
      </w:r>
    </w:p>
    <w:p>
      <w:pPr>
        <w:pStyle w:val="TextBody"/>
        <w:bidi w:val="0"/>
        <w:spacing w:before="240" w:after="0"/>
        <w:jc w:val="both"/>
        <w:rPr>
          <w:rFonts w:ascii="Times New Roman" w:hAnsi="Times New Roman"/>
          <w:sz w:val="20"/>
        </w:rPr>
      </w:pPr>
      <w:r>
        <w:rPr>
          <w:rFonts w:ascii="Times New Roman;serif" w:hAnsi="Times New Roman;serif"/>
          <w:b w:val="false"/>
          <w:sz w:val="20"/>
        </w:rPr>
        <w:t>Any of these occurrences may significantly harm our business, financial condition and prospects. In addition, any further disruptions related to the COVID-19 pandemic or similar health crises may increase the likelihood that we encounter such difficulties or delays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Clinical trials must be conducted in accordance with the laws and regulations of the FDA and other applicable regulatory authorities’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For example, in November 2018, FDA officials announced steps that the FDA intended to take to modernize the premarket notification pathway under Section 510(k) of the Federal Food, Drug, and Cosmetic Act.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More recently,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or our competitors seek or currently have received clearance, and it is unclear the extent to which such performance standards, if established, could impact our ability to obtain new 510(k) clearances or otherwise create competition that may negatively affect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FDA’s and other regulatory authorities’ policies may change and additional government regulations may be enacted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the regulatory landscape related to medical devices in the EU recently evolved.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modifications brought by this new Regulation may have an effect on the way we intend to develop our business in the EU and EEA. For example, as a result of the transition towards the new regime, notified body review times have lengthened, and product introductions could be delayed, which could adversely affect our ability to grow our business in a timely manner.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Disruptions at the FDA and other government agencies and notified bodies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ability of the FDA, foreign regulatory agencies and notified bodies to review and clear, certify or approve new products can be affected by a variety of factors, including government budget and funding levels, statutory, regulatory, and policy changes, the FDA’s, foreign regulatory agencies’ and notified bodies’ ability to hire and retain key personnel and accept the payment of user fees,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COVID-19 pandemic. Regulatory authorities outside the United States have adopted similar restrictions or other policy measures in response to the COVID-19 pandemic. If a prolonged government shutdown occurs, or if global health concerns continue to prevent the FDA or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pStyle w:val="TextBody"/>
        <w:bidi w:val="0"/>
        <w:spacing w:before="240" w:after="0"/>
        <w:jc w:val="both"/>
        <w:rPr>
          <w:rFonts w:ascii="Times New Roman" w:hAnsi="Times New Roman"/>
          <w:sz w:val="20"/>
        </w:rPr>
      </w:pPr>
      <w:r>
        <w:rPr>
          <w:rFonts w:ascii="Times New Roman;serif" w:hAnsi="Times New Roman;serif"/>
          <w:b w:val="false"/>
          <w:sz w:val="20"/>
        </w:rPr>
        <w:t>In the EU, notified bodies must be officially designated to certify products and services in accordance with the EU Medical Devices Regulation. Several notified bodies have been designated under the EU Medical Devices Regulation. However, the COVID-19 pandemic has significantly slowed down their designation process and the current designated notified bodies are facing a large amount of requests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with the new regulation as a consequence of which review times may have lengthened. This situation may impact the way we are conducting our business in the EU and the EEA and the ability of our notified body to timely review and process our regulatory submissions and perform its audits.</w:t>
      </w:r>
    </w:p>
    <w:p>
      <w:pPr>
        <w:pStyle w:val="TextBody"/>
        <w:bidi w:val="0"/>
        <w:spacing w:before="240" w:after="0"/>
        <w:jc w:val="both"/>
        <w:rPr>
          <w:rFonts w:ascii="Times New Roman" w:hAnsi="Times New Roman"/>
          <w:sz w:val="20"/>
        </w:rPr>
      </w:pPr>
      <w:r>
        <w:rPr>
          <w:rFonts w:ascii="Times New Roman;serif" w:hAnsi="Times New Roman;serif"/>
          <w:b/>
          <w:i/>
          <w:sz w:val="20"/>
        </w:rPr>
        <w:t>Enacted and future healthcare legislation may increase the difficulty and cost for us to commercialize our ALLY Adaptive Cataract Treatment System or other products we may develop in the future and may affect the prices we may set.</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Moreover, other legislative changes have been proposed and adopted since the ACA was enacted. For example, the Budget Control Act of 2011, among other things, included reductions to Medicare payments to providers Additionally, the American Taxpayer Relief Act of 2012, among other things, reduced Medicare payments to several providers, including hospitals, and increased the statute of limitations period for the government to recover overpayments to providers from three to five years. 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For EU states, in December 2021, the EU Regulation No 2021/2282 on Health Technology Assessment (“HTA”), amending Directive 2011/24/EU, was adopted. This regulation, which became effective in January 2022 and will become applicable from January 12, 2025 onwards, intends to boost cooperation among EU member states in assessing health technologies, including some medical devices, and providing the basis for cooperation at the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pStyle w:val="TextBody"/>
        <w:bidi w:val="0"/>
        <w:spacing w:before="240" w:after="0"/>
        <w:jc w:val="both"/>
        <w:rPr>
          <w:rFonts w:ascii="Times New Roman" w:hAnsi="Times New Roman"/>
          <w:sz w:val="20"/>
        </w:rPr>
      </w:pPr>
      <w:r>
        <w:rPr>
          <w:rFonts w:ascii="Times New Roman;serif" w:hAnsi="Times New Roman;serif"/>
          <w:b w:val="false"/>
          <w:sz w:val="20"/>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may be subject to certain federal, state and foreign laws pertaining to healthcare fraud and abuse, including anti-kickback, self-referral, false claims and fraud laws, and any violations by us of such laws could result in fines or other penalties.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Although none of the procedures using our products are currently covered by any state, federal or foreign government healthcare programs or other third-party payors, applicable agencies and regulators may interpret that our commercial, research and other financial relationships with healthcare providers and institutions are nonetheless subject to various federal, state and foreign laws intended to prevent healthcare fraud and abuse, including the following: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rFonts w:ascii="Times New Roman;serif" w:hAnsi="Times New Roman;serif"/>
          <w:b w:val="false"/>
          <w:sz w:val="20"/>
        </w:rPr>
        <w:t>cash, improper discounts and free or reduced price items and services. In addition, a person or entity does not need to have actual knowledge of the statute or specific intent to violate it in order to have committed a violation;</w:t>
      </w:r>
      <w:r>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 federal False Claims Act also includes a whistleblower provision that allows individuals to bring actions on behalf of the federal government and share a portion of the recovery of successful claims;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EU and other foreign law equivalents of each of the laws, including reporting requirements detailing interactions with and payments to healthcare providers. </w:t>
      </w:r>
    </w:p>
    <w:p>
      <w:pPr>
        <w:pStyle w:val="TextBody"/>
        <w:bidi w:val="0"/>
        <w:spacing w:before="240" w:after="0"/>
        <w:jc w:val="both"/>
        <w:rPr>
          <w:rFonts w:ascii="Times New Roman" w:hAnsi="Times New Roman"/>
          <w:sz w:val="20"/>
        </w:rPr>
      </w:pPr>
      <w:r>
        <w:rPr>
          <w:rFonts w:ascii="Times New Roman;serif" w:hAnsi="Times New Roman;serif"/>
          <w:b w:val="false"/>
          <w:sz w:val="20"/>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are subject to anti-corruption, anti-bribery and similar laws and any violations by us of such laws could result in fines or other penalties.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 majority of our revenue is derived from operations outside of the United States and is subject to requirements under the U.S. Treasury Department’s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i/>
          <w:sz w:val="20"/>
        </w:rPr>
        <w:t>Our employees, independent contractors, principal investigators, consultants, vendors, distributors and contract research organizations may engage in misconduct or other improper activities, including noncompliance with regulatory standards and requirements.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 or negligent conduct or unauthorized activity that violates: (i) FDA (and foreign regulatory authorities’) regulations, including those laws that require the reporting of true, complete and accurate information to the FDA (or foreign regulatory authorities); (ii) manufacturing standards; (iii) federal, state and foreign healthcare fraud and abuse laws and regulations; (iv) laws that require the true, complete and accurate reporting of financial information or data; or (v) other commercial or regulatory laws or requirements.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sz w:val="20"/>
        </w:rPr>
        <w:t>Risks Related to Intellectual Property Matters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success will depend on our ability to obtain, maintain and protect our intellectual property rights.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our efforts to enter into confidentiality agreements with our employees, consultants, clients and other vendors who have access to such information, our trade secrets, data and know-how may not prevent unauthorized use, misappropriation, or disclosure to unauthorized parties, and could otherwise become known or be independently discovered by third parties. Our intellectual property, including trademarks, could be challenged, invalidated, infringed, and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rely, in part, on our ability to obtain, maintain, expand, enforce, and defend the scope of our intellectual property portfolio or other proprietary rights, including the amount and timing of any payments we may be required to make in connection with the licensing, filing, defense and enforcement of any patents or other intellectual property rights. The process of applying for and obtaining a patent is expensive, time-consuming and complex, and we may not be able to file, prosecute, maintain, enforce or license all necessary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desirable patent applications at a reasonable cost, in a timely manner, or in all jurisdictions where protection may be commercially advantageous, or we may not be able to protect our proprietary rights at all. We may not be successful in protecting our proprietary rights, and unauthorized parties may be able to obtain and use information that we regard as proprietary.</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own numerous issued patents and pending patent applications. As of March 31, 2023, we owned approximately 53 U.S. patents, 34 pending U.S. patent applications, 124 issued foreign patents, and 83 pending foreign and Patent Cooperation Treaty applications. The patent positions of medical device companies, including our patent position, may involve complex legal and factual questions, and therefore, the scope, validity and enforceability of any patent claims that we may obtain cannot be predicted with certainty.</w:t>
      </w:r>
    </w:p>
    <w:p>
      <w:pPr>
        <w:pStyle w:val="TextBody"/>
        <w:bidi w:val="0"/>
        <w:spacing w:before="240" w:after="0"/>
        <w:jc w:val="both"/>
        <w:rPr>
          <w:rFonts w:ascii="Times New Roman" w:hAnsi="Times New Roman"/>
          <w:sz w:val="20"/>
        </w:rPr>
      </w:pPr>
      <w:r>
        <w:rPr>
          <w:rFonts w:ascii="Times New Roman;serif" w:hAnsi="Times New Roman;serif"/>
          <w:b w:val="false"/>
          <w:sz w:val="20"/>
        </w:rPr>
        <w:t>Though an issued patent is presumed valid and enforceable, its issuance is not conclusive as to its validity or its enforceability and it may not provide us with adequate proprietary protection or competitive advantages against competitors with similar products. Patents, if issued, may be challenged, deemed unenforceable, invalidated or circumvented. Proceedings challenging our patents could result in either loss of the patent, or denial or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may result in a third party receiving a patent right sought by us, which in turn could affect our ability to commercialize our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Competitors could purchase our products and attempt to replicate or reverse engineer some or all of the competitive advantages we derive from our development efforts, willfully infringe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including the protection of surgical and medical methods, and we may encounter significant problems in protecting our proprietary rights in these countries.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degree of future protection for our proprietary rights is uncertain, and we cannot ensure that:</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any of our patents, or any of our pending patent applications, if issued, will include claims having a scope sufficient to protect our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any of our pending patent applications will issue as patents;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will be able to successfully commercialize our products on a substantial scale, if approved, before our relevant patents we may have expire;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were the first to make the inventions covered by each of our patents and pending patent applications;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were the first to file patent applications for these inventions;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others will not develop similar or alternative technologies that do not infringe our patents;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any of our patents will be found to ultimately be valid and enforceable;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any patents issued to us will provide a basis for an exclusive market for our commercially viable products, will provide us with any competitive advantages or will not be challenged by third parties;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will develop additional proprietary technologies or products that are separately patentable; or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our commercial activities or products will not infringe upon the patents of others.</w:t>
      </w:r>
    </w:p>
    <w:p>
      <w:pPr>
        <w:pStyle w:val="TextBody"/>
        <w:bidi w:val="0"/>
        <w:spacing w:before="240" w:after="0"/>
        <w:jc w:val="both"/>
        <w:rPr>
          <w:rFonts w:ascii="Times New Roman" w:hAnsi="Times New Roman"/>
          <w:sz w:val="20"/>
        </w:rPr>
      </w:pPr>
      <w:r>
        <w:rPr>
          <w:rFonts w:ascii="Times New Roman;serif" w:hAnsi="Times New Roman;serif"/>
          <w:b w:val="false"/>
          <w:sz w:val="20"/>
        </w:rPr>
        <w:t>Even if we are able to obtain patent protection, such patent protection may be of insufficient scope to achieve our business objectives. Issued patents may be challenged, narrowed, invalidated or circumvented. Decisions by courts and governmental patent agencies may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U.S. Patent and Trademark Office, or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reviving the patent or application, there is a risk that the revival can be challenged by third parties in proceeding and litigation, and that the revival can be overruled.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Changes in patent law could diminish the value of patents in general, thereby impairing our ability to protect our existing and future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we cannot license and maintain rights to use third-party technology on reasonable terms, we may not be able to successfully commercialize our products. Our licensed or acquired technology may lose value or utility or over time.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the past, we have licensed technology from third parties and may choose or need to do so in the future, including to develop or commercialize new products or services. We may also need to negotiate licenses to patents or patent applications before or after introducing a commercial product, and we may not be able to obtain necessary licenses to such patents or patent applications.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 unenforceable, our business may suffer. In addition, any technology licensed or acquired by us may lose value or utility, including as a result of a change of in the industry, in our business objectives, others’ technology, our dispute with the licensor, and other circumstances outside our control. In return for the use of a third party’s technology,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may become a party to intellectual property litigation or administrative proceedings that could be costly and could interfere with our ability to sell and market our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third-party’s patent or trademark or of misappropriating a third-party’s trade secret.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 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a court agrees, we would lose our rights to those challenged patents or have the scope of those rights narrowed.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we may in the future be subject to claims by our former employees or consultants asserting an ownership right in our patents, patent applications or other intellectual property, as a result of the work they performed on our behalf. Our general requirement that our employees and consultants and any other partners or collaborators who have access to our proprietary know-how, information or technology assign or grant similar rights to their inventions to us may not fully protect us from intellectual property claims. Additionally, we cannot be certain that we have executed such agreements with all parties who may have contributed to our intellectual property, nor can we be certain that our agreements with such parties will be upheld in the face of a potential challenge, that such agreements will adequately protect us, or that they will not be breached, for which we may not have an adequate remedy.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Any lawsuits relating to intellectual property rights could subject us to significant liability for damages and invalidate our proprietary rights. Any potential intellectual property litigation also could force us to do one or more of the following: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stop making, selling or using products or technologies that allegedly infringe the asserted intellectual property;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lose the opportunity to license our intellectual property to others or to collect royalty payments based upon successful protection and assertion of our intellectual property rights against others; incur significant legal expenses;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pay substantial damages or royalties to the party whose intellectual property rights we may be found to be infringing;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pay the attorney’s fees and costs of litigation to the party whose intellectual property rights we may be found to be infringing;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redesign those products or technologies that contain the allegedly infringing intellectual property, which could be costly and disruptive, and may be infeasible;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attempt to obtain a license to the relevant intellectual property from third parties, which may not be available on reasonable terms or at all, or from third parties who may attempt to license rights that they do not have. </w:t>
      </w:r>
    </w:p>
    <w:p>
      <w:pPr>
        <w:pStyle w:val="TextBody"/>
        <w:bidi w:val="0"/>
        <w:spacing w:before="240" w:after="0"/>
        <w:jc w:val="both"/>
        <w:rPr>
          <w:rFonts w:ascii="Times New Roman" w:hAnsi="Times New Roman"/>
          <w:sz w:val="20"/>
        </w:rPr>
      </w:pPr>
      <w:r>
        <w:rPr>
          <w:rFonts w:ascii="Times New Roman;serif" w:hAnsi="Times New Roman;serif"/>
          <w:b w:val="false"/>
          <w:sz w:val="20"/>
        </w:rPr>
        <w:t>Any litigation or claim against us, even those without merit and even those where we prevail,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willfully infringe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make any necessary changes to our products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technologies, we may have to withdraw existing products from the market or may be unable to commercialize one or more of our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we generally indemnify our customers with respect to infringement by our products of the proprietary rights of third parties. However, third parties may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parties review, post grant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Additionally, we may file lawsuits or initiate other proceedings to protect or enforce our patents or other intellectual property rights, which could be expensive, time consuming and unsuccessful. 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we are unable to protect the confidentiality of our other proprietary information, our business and competitive position may be harmed.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to patent protection, we also rely on protection of trade secrets, know-how and other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The protections we place on our intellectual property or other proprietary rights may not be sufficient.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confidential or proprietary information. Any of the foregoing could materially and adversely affect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may not be able to protect our intellectual property rights throughout the world.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could result in substantial costs and divert our efforts and attention from other aspects of our business, could put our patents and trademarks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may be subject to claims that we or our employees have misappropriated the intellectual property of a third party, including trade secrets or know-how, or are in breach of non-competition or non-solicitation agreements with our competitors.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The failure of third parties to meet their contractual, regulatory, and other obligations could adversely affect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rely on suppliers, vendors, outsourcing partners, consultants, alliance partners and other third parties to research, develop, manufacture and commercialize our products and manage certain parts of our business. Using these third parties poses a number of risks, such as:</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they may not perform to our standards or legal requirements;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they may not produce reliable results;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they may not perform in a timely manner;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they may not maintain confidentiality of our proprietary information;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disputes may arise with respect to ownership of rights to technology developed with our partners, and those dispute may be resolved against us;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disagreements could cause delays in, or termination of, the research, development or commercialization of our products or result in litigation or arbitration. </w:t>
      </w:r>
    </w:p>
    <w:p>
      <w:pPr>
        <w:pStyle w:val="TextBody"/>
        <w:bidi w:val="0"/>
        <w:spacing w:before="240" w:after="0"/>
        <w:jc w:val="both"/>
        <w:rPr>
          <w:rFonts w:ascii="Times New Roman" w:hAnsi="Times New Roman"/>
          <w:sz w:val="20"/>
        </w:rPr>
      </w:pPr>
      <w:r>
        <w:rPr>
          <w:rFonts w:ascii="Times New Roman;serif" w:hAnsi="Times New Roman;serif"/>
          <w:b w:val="false"/>
          <w:sz w:val="20"/>
        </w:rPr>
        <w:t>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are jointly developing certain technologies with Oertli Instrumente AG, or Oertli, and our agreements with Oertli may restrict our freedom to practice and may not protect us against potential competition with respect to jointly-developed intellectual property.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have entered into development and supply agreements with Oertli pursuant to which we are collaborating on the development and supply of the phacoemulsification component in our ALLY System. Under these agreements, intellectual property invented individually by either party is owned exclusively by such party and intellectual property jointly developed by us and Oertli will be jointly and severally owned by us and Oertli, and by the terms of our agreements, we and Oertli are entitled to practice such jointly owned intellectual property in our respective sole discretion. Our agreements with Oertli do not restrict how individually or jointly developed intellectual property may be used, exploited, or enforced. With respect to jointly developed intellectual property, both parties will be subject to default rules under the laws of various countries pertaining to joint ownership. Some countries require the consent of all joint owners to exploit, license or assign jointly owned patents, and if either party is unable to obtain that consent from the other party, the party requesting consent may be unable to exploit the invention or to license or assign its rights under these patents and patent applications in those countries. Additionally, in the United States, the other party may be required to be joined as a party to any claim or action a party may wish to bring to enforce these patent rights, which may limit its ability to pursue third party infringement claims. In some countries, Oertli will have a right to develop and commercialize products and technology invented during the course of our agreements, and to license to third parties the right to do so. This may lead to the development and commercialization of products and technology by others that are based on technology similar to our ALLY System, which may impair our competitive position in the marketplace and have an adverse impact on our business. If we cannot obtain distribution rights for such jointly-owned intellectual property or Oertli-owned intellectual property, our future product development and commercialization plans and competitive position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in our industry may be adversely affected, which may have a material adverse impact on our business, financial condition and results of operation.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our trademarks and trade names are not adequately protected, then we may not be able to build name recognition in our markets and our business may be adversely affected.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rely on trademarks, service marks, trade names and brand names to distinguish our products from the products of our competitors, and have registered or applied to register many of these trademarks. It is possible that some of our trademark applications may not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sz w:val="20"/>
        </w:rPr>
        <w:t>Risks Related to Owning Our Common Stock</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The large number of shares eligible for public sale could depress the market price of our common stock.</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Members of our management and our board of directors hold a significant portion of our common stock and may sell their shares of our common stock to the extent not restricted by contract or under securities laws. We have filed a registration statement registering shares that we may issue under our equity compensation plan and employee stock purchase plan, and may file additional registration statements relating to shares or awards held by our management and board of directors in the future. The market price of our common stock could decline as a result of sales of a large number of shares of our common stock in the market, and the perception that these sales could occur may also depress the market price of our common stock. A decline in the price of shares of our common stock might impede our ability to raise capital through the issuance of additional shares of our common stock or other equity securities.</w:t>
      </w:r>
    </w:p>
    <w:p>
      <w:pPr>
        <w:pStyle w:val="TextBody"/>
        <w:bidi w:val="0"/>
        <w:spacing w:before="240" w:after="0"/>
        <w:jc w:val="both"/>
        <w:rPr>
          <w:rFonts w:ascii="Times New Roman" w:hAnsi="Times New Roman"/>
          <w:sz w:val="20"/>
        </w:rPr>
      </w:pPr>
      <w:r>
        <w:rPr>
          <w:rFonts w:ascii="Times New Roman;serif" w:hAnsi="Times New Roman;serif"/>
          <w:b w:val="false"/>
          <w:sz w:val="20"/>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r>
        <w:rPr>
          <w:rFonts w:ascii="Times New Roman;serif" w:hAnsi="Times New Roman;serif"/>
          <w:b/>
          <w:sz w:val="20"/>
        </w:rPr>
        <w:t>.</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are an “emerging growth company” and a “smaller reporting company” and we cannot be certain if the reduced disclosure requirements applicable to us will make our common stock less attractive to investors.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we are eligible to delay the adoption of new or revised accounting standards applicable to public companies until those standards apply to private companies, and as a result, we may not comply with new or revised accounting standards on the relevant dates on which adoption of such standards is required for non-emerging growth companies. As a result of this election, our financial statements may not be comparable to the financial statements of other public companies.</w:t>
      </w:r>
    </w:p>
    <w:p>
      <w:pPr>
        <w:pStyle w:val="TextBody"/>
        <w:bidi w:val="0"/>
        <w:spacing w:before="240" w:after="0"/>
        <w:jc w:val="both"/>
        <w:rPr>
          <w:rFonts w:ascii="Times New Roman" w:hAnsi="Times New Roman"/>
          <w:sz w:val="20"/>
        </w:rPr>
      </w:pPr>
      <w:r>
        <w:rPr>
          <w:rFonts w:ascii="Times New Roman;serif" w:hAnsi="Times New Roman;serif"/>
          <w:b w:val="false"/>
          <w:sz w:val="20"/>
        </w:rPr>
        <w:t>We also currently intend to take advantage of the reduced disclosure requirements regarding executive compensation. We are also entitled to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may remain an “emerging growth company” until as late as December 31, 2025 (the fiscal year-end following the fifth anniversary of the completion of the spin-off), though we may cease to be an “emerging growth company” earlier under certain circumstances, including (1) if the market value of our common stock that is held by non-affiliates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exceeds $700.0 million as of any June 30, in which case we would cease to be an “emerging growth company” as of December 31, (2) if our gross revenue exceeds $1.235 billion in any fiscal year or (3) if we issue more than $1.0 billion in nonconvertible notes in any three-year period.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some investors find our common stock less attractive as a result, there may be a less active trading market for our common stock and our stock price may decline or become more volatile.</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have entered into an agreement to issue shares of convertible preferred stock, and may in the future issue additional shares of preferred stock, with terms that could dilute the voting power or reduce the value of our common stock.</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Pursuant to the SPA dated as of May 12, 2023, by and between the Company and NR-GRI, we intend to issue an aggregate of 20,000 shares of a newly established series of preferred stock designated as “Series A Convertible Preferred Stock, par value $0.01 per share,” which have a stated value of $1,000 per share and are convertible into shares of common stock. Holders of shares of convertible preferred stock will be entitled to vote on an as-converted basis with holders of shares of common stock. The convertible preferred stock will rank senior to the common stock as to distributions and payments upon the liquidation, dissolution and winding up of the Company, and holders of convertible preferred stock will participate with the holders of the common stock on an as-converted basis to the extent any dividends are declared on common stock. Holders of convertible preferred stock will also be entitled to redemption rights under certain circumstances. The redemption rights and liquidation preferences we plan to assign to holders of the convertible preferred stock, and any other repurchase or redemption rights or liquidation preferences we may assign to holders of preferred stock in the future, could affect the residual value of the common stock.</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do not anticipate paying cash dividends, and accordingly, stockholders must rely on stock appreciation for any return on their investment.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pStyle w:val="TextBody"/>
        <w:bidi w:val="0"/>
        <w:spacing w:before="240" w:after="0"/>
        <w:jc w:val="both"/>
        <w:rPr>
          <w:rFonts w:ascii="Times New Roman" w:hAnsi="Times New Roman"/>
          <w:sz w:val="20"/>
        </w:rPr>
      </w:pPr>
      <w:r>
        <w:rPr>
          <w:rFonts w:ascii="Times New Roman;serif" w:hAnsi="Times New Roman;serif"/>
          <w:b/>
          <w:i/>
          <w:sz w:val="20"/>
        </w:rPr>
        <w:t>Certain provisions in our charter documents and Delaware law could discourage takeover attempts and lead to management entrenchment and, therefore, may depress the trading price of our common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 classified board of directors with three-year staggered terms, which may delay the ability of stockholders to change the membership of a majority of our board of directors;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no cumulative voting in the election of directors, which limits the ability of minority stockholders to elect director candidates;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exclusive right of our board of directors to elect a director to fill a vacancy created by the expansion of our board of directors or the resignation, death or removal of a director, which prevents stockholders from being able to fill vacancies on our board of directors;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limitations on the removal of directors;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 prohibition on stockholder action by written consent, which forces stockholder action to be taken at an annual or special meeting of our stockholders;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TextBody"/>
        <w:bidi w:val="0"/>
        <w:spacing w:before="240" w:after="0"/>
        <w:jc w:val="both"/>
        <w:rPr>
          <w:rFonts w:ascii="Times New Roman" w:hAnsi="Times New Roman"/>
          <w:sz w:val="20"/>
        </w:rPr>
      </w:pPr>
      <w:r>
        <w:rPr>
          <w:rFonts w:ascii="Times New Roman;serif" w:hAnsi="Times New Roman;serif"/>
          <w:b w:val="false"/>
          <w:sz w:val="20"/>
        </w:rPr>
        <w:t>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 delay or prevent a transaction involving a change in control that is in the best interest of our stockholders. Even in the absence of a takeover attempt, the existence of these provisions may adversely affect the prevailing market price of our common stock if they are viewed as discouraging future takeover attempts.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amended and restated certificate of incorporation designates certain courts as the sole and exclusive forums for certain litigation that may be initiated by our stockholders, which could limit our stockholders’ ability to obtain a favorable judicial forum for disputes with us.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 ability to obtain a favorable judicial forum for disputes with us. This exclusive forum provision will not apply to suits brought to enforce a duty or liability created by the Exchange Act or any other claim for which the federal courts have exclusive jurisdiction.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i/>
          <w:sz w:val="20"/>
        </w:rPr>
        <w:t>An active, liquid and orderly market for our common stock may not develop or be sustained, and the trading price of our common stock is likely to be volatile.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An active trading market for our common stock may not develop or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“Risk Factors” section of this Quarterly Report, these factors include:</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 shift in our investor base;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actual or anticipated fluctuations in our quarterly financial condition and operating performance;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operating and stock price performance of similar companies;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introduction of new products by us or our competitors;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success or failure of our business strategy;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our ability to obtain financing as needed;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changes in accounting standards, policies, guidance, interpretations or principles;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overall performance of the equity markets;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number of shares of our common stock publicly owned and available for trading;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threatened or actual litigation or governmental investigations;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changes in laws or regulations affecting our business, including tax legislation;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announcements by us or our competitors of significant acquisitions or dispositions;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any major change in our board of directors or management;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changes in earnings estimates by securities analysts or our ability to meet earnings guidance;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publication of research reports about us or our industry or changes in recommendations or withdrawal of research coverage by securities analysts;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large volumes of sales of our shares of common stock by existing stockholders;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short sales of our common stock;</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investor perception of us and our industry;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changes in financial markets or general economic conditions, including the effects of recession or slow economic growth in the U.S. and abroad, interest rates, fuel prices, international currency fluctuations, corruption, political instability, acts of war, including the ongoing war between Russia and Ukraine, acts of terrorism, and the ongoing COVID-19 pandemic or other public health crises.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market and in the market price of a company’s securities. This litigation, if instituted against us, could result in very substantial costs, divert our management’s attention and resources, and could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sz w:val="20"/>
        </w:rPr>
      </w:pPr>
      <w:r>
        <w:rPr>
          <w:rFonts w:ascii="Times New Roman;serif" w:hAnsi="Times New Roman;serif"/>
          <w:b/>
          <w:sz w:val="20"/>
        </w:rPr>
        <w:t>General Risk Factors</w:t>
      </w:r>
    </w:p>
    <w:p>
      <w:pPr>
        <w:pStyle w:val="TextBody"/>
        <w:bidi w:val="0"/>
        <w:spacing w:before="240" w:after="0"/>
        <w:jc w:val="both"/>
        <w:rPr>
          <w:rFonts w:ascii="Times New Roman" w:hAnsi="Times New Roman"/>
          <w:sz w:val="20"/>
        </w:rPr>
      </w:pPr>
      <w:r>
        <w:rPr>
          <w:rFonts w:ascii="Times New Roman;serif" w:hAnsi="Times New Roman;serif"/>
          <w:b/>
          <w:i/>
          <w:sz w:val="20"/>
        </w:rPr>
        <w:t>We are obligated to develop and maintain proper and effective internal control over financial reporting and will be subject to other requirements that will be burdensome and costly.</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w:t>
      </w:r>
    </w:p>
    <w:p>
      <w:pPr>
        <w:pStyle w:val="TextBody"/>
        <w:bidi w:val="0"/>
        <w:spacing w:before="240" w:after="0"/>
        <w:jc w:val="both"/>
        <w:rPr>
          <w:rFonts w:ascii="Times New Roman" w:hAnsi="Times New Roman"/>
          <w:sz w:val="20"/>
        </w:rPr>
      </w:pPr>
      <w:r>
        <w:rPr>
          <w:rFonts w:ascii="Times New Roman;serif" w:hAnsi="Times New Roman;serif"/>
          <w:b w:val="false"/>
          <w:sz w:val="20"/>
        </w:rPr>
        <w:t>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 data systems and controls across our 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For as long as we are an “emerging growth company” under the JOBS Act, we will not be required to comply with Section 404(b) of the Sarbanes-Oxley Act, which would require our independent auditors to issue an opinion on their audit of our internal control over financial reporting, until the later of the year following our first annual report required to be filed with the SEC and the date we are no longer an “emerging growth company.” If, once we are no longer an “emerging growth company,” our independent registered public accounting firm cannot provide an unqualified attestation report on the effectiveness of our internal control over financial reporting, investor confidence and, in turn, the market price of our common stock, could decline.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disclosure controls and procedures may not prevent or detect all errors or acts of fraud.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securities or industry analysts do not continue to publish research or publish inaccurate or unfavorable research about our business, our stock price and trading volume could decline.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 could decrease, which might cause our stock price and trading volume to decline and may also impair our ability to expand our business with existing customers and attract new customers.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Increasing scrutiny and stakeholder expectations regarding environmental, social, and governance matters may cause us to incur expenses and liabilities or otherwise adversely impact our business, financial condition, or operations.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Companies across industries are facing increasing scrutiny from a variety of stakeholders related to their environmental, social, and governance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Company’s management of ESG matters continues to evolve rapidly, in many instances due to factors that are out of our control. In addition, we may commit to certain initiatives or goals and we may not ultimately be able to achieve such commitments or goals due to factors that are within or outside of our 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pStyle w:val="TextBody"/>
        <w:bidi w:val="0"/>
        <w:spacing w:before="240" w:after="0"/>
        <w:jc w:val="both"/>
        <w:rPr>
          <w:rFonts w:ascii="Times New Roman;serif" w:hAnsi="Times New Roman;serif"/>
          <w:b/>
          <w:sz w:val="20"/>
        </w:rPr>
      </w:pPr>
      <w:bookmarkStart w:id="17" w:name="item_2_unregistered_sales_equity_securit"/>
      <w:bookmarkEnd w:id="17"/>
      <w:r>
        <w:rPr>
          <w:rFonts w:ascii="Times New Roman;serif" w:hAnsi="Times New Roman;serif"/>
          <w:b/>
          <w:sz w:val="20"/>
        </w:rPr>
        <w:t>Item 2. Unregistered Sales of Equity Securities and Use of Proceeds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both"/>
        <w:rPr/>
      </w:pPr>
      <w:r>
        <w:rPr/>
        <w:t> </w:t>
      </w:r>
    </w:p>
    <w:p>
      <w:pPr>
        <w:pStyle w:val="TextBody"/>
        <w:bidi w:val="0"/>
        <w:spacing w:before="0" w:after="0"/>
        <w:jc w:val="left"/>
        <w:rPr>
          <w:rFonts w:ascii="Times New Roman;serif" w:hAnsi="Times New Roman;serif"/>
          <w:b/>
          <w:sz w:val="20"/>
        </w:rPr>
      </w:pPr>
      <w:bookmarkStart w:id="18" w:name="item_3_defaults_upon_senior_securities"/>
      <w:bookmarkEnd w:id="18"/>
      <w:r>
        <w:rPr>
          <w:rFonts w:ascii="Times New Roman;serif" w:hAnsi="Times New Roman;serif"/>
          <w:b/>
          <w:sz w:val="20"/>
        </w:rPr>
        <w:t>Item 3. Defaults Upon Senior Securities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serif" w:hAnsi="Times New Roman;serif"/>
          <w:b/>
          <w:sz w:val="20"/>
        </w:rPr>
      </w:pPr>
      <w:bookmarkStart w:id="19" w:name="item_4_mine_safety_disclosures"/>
      <w:bookmarkEnd w:id="19"/>
      <w:r>
        <w:rPr>
          <w:rFonts w:ascii="Times New Roman;serif" w:hAnsi="Times New Roman;serif"/>
          <w:b/>
          <w:sz w:val="20"/>
        </w:rPr>
        <w:t>Item 4. Mine Safety Disclosures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jc w:val="left"/>
        <w:rPr>
          <w:rFonts w:ascii="Times New Roman" w:hAnsi="Times New Roman"/>
          <w:sz w:val="20"/>
        </w:rPr>
      </w:pPr>
      <w:bookmarkStart w:id="20" w:name="item_5_or_information"/>
      <w:bookmarkEnd w:id="20"/>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bookmarkStart w:id="21" w:name="item_6_exhibits"/>
      <w:bookmarkEnd w:id="21"/>
      <w:r>
        <w:rPr>
          <w:rFonts w:ascii="Times New Roman;serif" w:hAnsi="Times New Roman;serif"/>
          <w:b/>
          <w:sz w:val="20"/>
        </w:rPr>
        <w:t>Item 6. Exhibits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743"/>
        <w:gridCol w:w="5893"/>
        <w:gridCol w:w="681"/>
        <w:gridCol w:w="694"/>
        <w:gridCol w:w="631"/>
        <w:gridCol w:w="689"/>
        <w:gridCol w:w="874"/>
      </w:tblGrid>
      <w:tr>
        <w:trPr/>
        <w:tc>
          <w:tcPr>
            <w:tcW w:w="743" w:type="dxa"/>
            <w:tcBorders/>
            <w:shd w:fill="FFFFFF" w:val="clear"/>
            <w:vAlign w:val="center"/>
          </w:tcPr>
          <w:p>
            <w:pPr>
              <w:pStyle w:val="TableContents"/>
              <w:bidi w:val="0"/>
              <w:spacing w:before="0" w:after="283"/>
              <w:jc w:val="left"/>
              <w:rPr>
                <w:sz w:val="4"/>
                <w:szCs w:val="4"/>
              </w:rPr>
            </w:pPr>
            <w:r>
              <w:rPr>
                <w:sz w:val="4"/>
                <w:szCs w:val="4"/>
              </w:rPr>
            </w:r>
          </w:p>
        </w:tc>
        <w:tc>
          <w:tcPr>
            <w:tcW w:w="5893"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c>
          <w:tcPr>
            <w:tcW w:w="694"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689"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shd w:fill="FFFFFF" w:val="clear"/>
            <w:vAlign w:val="center"/>
          </w:tcPr>
          <w:p>
            <w:pPr>
              <w:pStyle w:val="TableContents"/>
              <w:bidi w:val="0"/>
              <w:spacing w:before="0" w:after="283"/>
              <w:jc w:val="left"/>
              <w:rPr>
                <w:sz w:val="4"/>
                <w:szCs w:val="4"/>
              </w:rPr>
            </w:pPr>
            <w:r>
              <w:rPr>
                <w:sz w:val="4"/>
                <w:szCs w:val="4"/>
              </w:rPr>
            </w:r>
          </w:p>
        </w:tc>
      </w:tr>
      <w:tr>
        <w:trPr/>
        <w:tc>
          <w:tcPr>
            <w:tcW w:w="74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Number</w:t>
            </w:r>
          </w:p>
        </w:tc>
        <w:tc>
          <w:tcPr>
            <w:tcW w:w="589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68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694"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 No.</w:t>
            </w:r>
          </w:p>
        </w:tc>
        <w:tc>
          <w:tcPr>
            <w:tcW w:w="63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689"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c>
          <w:tcPr>
            <w:tcW w:w="874"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Filed/</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Furnished</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Herewith</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2.1+</w:t>
            </w:r>
          </w:p>
        </w:tc>
        <w:tc>
          <w:tcPr>
            <w:tcW w:w="5893"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18"/>
                  <w:u w:val="single"/>
                </w:rPr>
                <w:t>Separation and Distribution Agreement between PDL BioPharma, Inc. and LENSAR, Inc.</w:t>
              </w:r>
            </w:hyperlink>
          </w:p>
        </w:tc>
        <w:tc>
          <w:tcPr>
            <w:tcW w:w="68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8-K</w:t>
            </w:r>
          </w:p>
        </w:tc>
        <w:tc>
          <w:tcPr>
            <w:tcW w:w="69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2.1</w:t>
            </w:r>
          </w:p>
        </w:tc>
        <w:tc>
          <w:tcPr>
            <w:tcW w:w="689"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10/2/2020</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3.1</w:t>
            </w:r>
          </w:p>
        </w:tc>
        <w:tc>
          <w:tcPr>
            <w:tcW w:w="5893"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18"/>
                  <w:u w:val="single"/>
                </w:rPr>
                <w:t>Amended and Restated Certificate of Incorporation of LENSAR, Inc.</w:t>
              </w:r>
            </w:hyperlink>
          </w:p>
        </w:tc>
        <w:tc>
          <w:tcPr>
            <w:tcW w:w="68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8-K</w:t>
            </w:r>
          </w:p>
        </w:tc>
        <w:tc>
          <w:tcPr>
            <w:tcW w:w="69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3.1</w:t>
            </w:r>
          </w:p>
        </w:tc>
        <w:tc>
          <w:tcPr>
            <w:tcW w:w="689"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10/2/2020</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3.2</w:t>
            </w:r>
          </w:p>
        </w:tc>
        <w:tc>
          <w:tcPr>
            <w:tcW w:w="5893" w:type="dxa"/>
            <w:tcBorders/>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18"/>
                  <w:u w:val="single"/>
                </w:rPr>
                <w:t>Second Amended and Restated Bylaws of LENSAR, Inc.</w:t>
              </w:r>
            </w:hyperlink>
          </w:p>
        </w:tc>
        <w:tc>
          <w:tcPr>
            <w:tcW w:w="68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10-K</w:t>
            </w:r>
          </w:p>
        </w:tc>
        <w:tc>
          <w:tcPr>
            <w:tcW w:w="69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3.2</w:t>
            </w:r>
          </w:p>
        </w:tc>
        <w:tc>
          <w:tcPr>
            <w:tcW w:w="689"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3/12/2021</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4.1</w:t>
            </w:r>
          </w:p>
        </w:tc>
        <w:tc>
          <w:tcPr>
            <w:tcW w:w="5893" w:type="dxa"/>
            <w:tcBorders/>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18"/>
                  <w:u w:val="single"/>
                </w:rPr>
                <w:t>Form of Certificate of Common Stock</w:t>
              </w:r>
            </w:hyperlink>
          </w:p>
        </w:tc>
        <w:tc>
          <w:tcPr>
            <w:tcW w:w="68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10/A</w:t>
            </w:r>
          </w:p>
        </w:tc>
        <w:tc>
          <w:tcPr>
            <w:tcW w:w="69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4.1</w:t>
            </w:r>
          </w:p>
        </w:tc>
        <w:tc>
          <w:tcPr>
            <w:tcW w:w="689"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9/14/2020</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4.2</w:t>
            </w:r>
          </w:p>
        </w:tc>
        <w:tc>
          <w:tcPr>
            <w:tcW w:w="5893" w:type="dxa"/>
            <w:tcBorders/>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18"/>
                  <w:u w:val="single"/>
                </w:rPr>
                <w:t>Registration Rights Agreement, dated May 12, 2023, between LENSAR, Inc, and NR-GRI Partners, LP</w:t>
              </w:r>
            </w:hyperlink>
          </w:p>
        </w:tc>
        <w:tc>
          <w:tcPr>
            <w:tcW w:w="68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8-K</w:t>
            </w:r>
          </w:p>
        </w:tc>
        <w:tc>
          <w:tcPr>
            <w:tcW w:w="69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10.2</w:t>
            </w:r>
          </w:p>
        </w:tc>
        <w:tc>
          <w:tcPr>
            <w:tcW w:w="689"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5/15/2023</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w:t>
            </w:r>
          </w:p>
        </w:tc>
        <w:tc>
          <w:tcPr>
            <w:tcW w:w="5893" w:type="dxa"/>
            <w:tcBorders/>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18"/>
                  <w:u w:val="single"/>
                </w:rPr>
                <w:t>Securities Purchase Agreement, dated May 12, 2023, between LENSAR, Inc. and NR-GRI Partners, LP</w:t>
              </w:r>
            </w:hyperlink>
          </w:p>
        </w:tc>
        <w:tc>
          <w:tcPr>
            <w:tcW w:w="68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8-K</w:t>
            </w:r>
          </w:p>
        </w:tc>
        <w:tc>
          <w:tcPr>
            <w:tcW w:w="69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10.1</w:t>
            </w:r>
          </w:p>
        </w:tc>
        <w:tc>
          <w:tcPr>
            <w:tcW w:w="689"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5/15/2023</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31.1</w:t>
            </w:r>
          </w:p>
        </w:tc>
        <w:tc>
          <w:tcPr>
            <w:tcW w:w="5893" w:type="dxa"/>
            <w:tcBorders/>
            <w:vAlign w:val="center"/>
          </w:tcPr>
          <w:p>
            <w:pPr>
              <w:pStyle w:val="TableContents"/>
              <w:bidi w:val="0"/>
              <w:spacing w:before="0" w:after="0"/>
              <w:ind w:left="0" w:right="0" w:hanging="0"/>
              <w:jc w:val="left"/>
              <w:rPr/>
            </w:pPr>
            <w:hyperlink w:anchor="lnsr-ex31_1.htm">
              <w:r>
                <w:rPr>
                  <w:rStyle w:val="InternetLink"/>
                  <w:rFonts w:ascii="Times New Roman;serif" w:hAnsi="Times New Roman;serif"/>
                  <w:b w:val="false"/>
                  <w:sz w:val="18"/>
                  <w:u w:val="single"/>
                </w:rPr>
                <w:t>Certification of Principal Executive Officer pursuant to Rule 13a-14(a) or Rule 15d-14(a) of the Securities Exchange Act of 1934, as amended</w:t>
              </w:r>
            </w:hyperlink>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31.2</w:t>
            </w:r>
          </w:p>
        </w:tc>
        <w:tc>
          <w:tcPr>
            <w:tcW w:w="5893" w:type="dxa"/>
            <w:tcBorders/>
            <w:vAlign w:val="center"/>
          </w:tcPr>
          <w:p>
            <w:pPr>
              <w:pStyle w:val="TableContents"/>
              <w:bidi w:val="0"/>
              <w:spacing w:before="0" w:after="0"/>
              <w:ind w:left="0" w:right="0" w:hanging="0"/>
              <w:jc w:val="left"/>
              <w:rPr/>
            </w:pPr>
            <w:hyperlink w:anchor="lnsr-ex31_2.htm">
              <w:r>
                <w:rPr>
                  <w:rStyle w:val="InternetLink"/>
                  <w:rFonts w:ascii="Times New Roman;serif" w:hAnsi="Times New Roman;serif"/>
                  <w:b w:val="false"/>
                  <w:sz w:val="18"/>
                  <w:u w:val="single"/>
                </w:rPr>
                <w:t>Certification of Principal Financial Officer pursuant to Rule 13a-14(a) or Rule 15d-14(a) of the Securities Exchange Act of 1934, as amended</w:t>
              </w:r>
            </w:hyperlink>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32.1</w:t>
            </w:r>
          </w:p>
        </w:tc>
        <w:tc>
          <w:tcPr>
            <w:tcW w:w="5893" w:type="dxa"/>
            <w:tcBorders/>
            <w:vAlign w:val="center"/>
          </w:tcPr>
          <w:p>
            <w:pPr>
              <w:pStyle w:val="TableContents"/>
              <w:bidi w:val="0"/>
              <w:spacing w:before="0" w:after="0"/>
              <w:ind w:left="0" w:right="0" w:hanging="0"/>
              <w:jc w:val="left"/>
              <w:rPr/>
            </w:pPr>
            <w:hyperlink w:anchor="lnsr-ex32_1.htm">
              <w:r>
                <w:rPr>
                  <w:rStyle w:val="InternetLink"/>
                  <w:rFonts w:ascii="Times New Roman;serif" w:hAnsi="Times New Roman;serif"/>
                  <w:b w:val="false"/>
                  <w:sz w:val="18"/>
                  <w:u w:val="single"/>
                </w:rPr>
                <w:t>Certification of Principal Executive Officer pursuant to 18 U.S.C. Section 1350, as adopted pursuant to Section 906 of the Sarbanes-Oxley Act of 2002</w:t>
              </w:r>
            </w:hyperlink>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32.2</w:t>
            </w:r>
          </w:p>
        </w:tc>
        <w:tc>
          <w:tcPr>
            <w:tcW w:w="5893" w:type="dxa"/>
            <w:tcBorders/>
            <w:vAlign w:val="center"/>
          </w:tcPr>
          <w:p>
            <w:pPr>
              <w:pStyle w:val="TableContents"/>
              <w:bidi w:val="0"/>
              <w:spacing w:before="0" w:after="0"/>
              <w:ind w:left="0" w:right="0" w:hanging="0"/>
              <w:jc w:val="left"/>
              <w:rPr/>
            </w:pPr>
            <w:hyperlink w:anchor="lnsr-ex32_2.htm">
              <w:r>
                <w:rPr>
                  <w:rStyle w:val="InternetLink"/>
                  <w:rFonts w:ascii="Times New Roman;serif" w:hAnsi="Times New Roman;serif"/>
                  <w:b w:val="false"/>
                  <w:sz w:val="18"/>
                  <w:u w:val="single"/>
                </w:rPr>
                <w:t>Certification of Principal Financial Officer pursuant to 18 U.S.C. Section 1350, as adopted pursuant to Section 906 of the Sarbanes-Oxley Act of 2002</w:t>
              </w:r>
            </w:hyperlink>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101.INS</w:t>
            </w:r>
          </w:p>
        </w:tc>
        <w:tc>
          <w:tcPr>
            <w:tcW w:w="589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Instance Document - the instance document does not appear in the Interactive Data file because its XBRL tags are embedded within the Inline XBRL document</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743" w:type="dxa"/>
            <w:tcBorders/>
            <w:vAlign w:val="center"/>
          </w:tcPr>
          <w:p>
            <w:pPr>
              <w:pStyle w:val="TableContents"/>
              <w:bidi w:val="0"/>
              <w:spacing w:before="0" w:after="0"/>
              <w:ind w:left="0" w:right="0" w:firstLine="29"/>
              <w:jc w:val="left"/>
              <w:rPr/>
            </w:pPr>
            <w:r>
              <w:rPr/>
              <w:t> </w:t>
            </w:r>
          </w:p>
        </w:tc>
        <w:tc>
          <w:tcPr>
            <w:tcW w:w="5893" w:type="dxa"/>
            <w:tcBorders/>
            <w:vAlign w:val="center"/>
          </w:tcPr>
          <w:p>
            <w:pPr>
              <w:pStyle w:val="TableContents"/>
              <w:bidi w:val="0"/>
              <w:spacing w:before="0" w:after="0"/>
              <w:ind w:left="29"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101.SCH</w:t>
            </w:r>
          </w:p>
        </w:tc>
        <w:tc>
          <w:tcPr>
            <w:tcW w:w="589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Schema Document</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101.CAL</w:t>
            </w:r>
          </w:p>
        </w:tc>
        <w:tc>
          <w:tcPr>
            <w:tcW w:w="589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Calculation Linkbase Document</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101.DEF</w:t>
            </w:r>
          </w:p>
        </w:tc>
        <w:tc>
          <w:tcPr>
            <w:tcW w:w="589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Definition Linkbase Document</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101.LAB</w:t>
            </w:r>
          </w:p>
        </w:tc>
        <w:tc>
          <w:tcPr>
            <w:tcW w:w="589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Label Linkbase Document</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101.PRE</w:t>
            </w:r>
          </w:p>
        </w:tc>
        <w:tc>
          <w:tcPr>
            <w:tcW w:w="589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Presentation Linkbase Document</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743" w:type="dxa"/>
            <w:tcBorders/>
            <w:vAlign w:val="center"/>
          </w:tcPr>
          <w:p>
            <w:pPr>
              <w:pStyle w:val="TableContents"/>
              <w:bidi w:val="0"/>
              <w:spacing w:before="0" w:after="0"/>
              <w:ind w:left="0" w:right="0" w:hanging="0"/>
              <w:jc w:val="left"/>
              <w:rPr/>
            </w:pPr>
            <w:r>
              <w:rPr/>
              <w:t> </w:t>
            </w:r>
          </w:p>
        </w:tc>
        <w:tc>
          <w:tcPr>
            <w:tcW w:w="5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7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104</w:t>
            </w:r>
          </w:p>
        </w:tc>
        <w:tc>
          <w:tcPr>
            <w:tcW w:w="589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Cover Page Interactive Data File (as formatted as Inline XBRL and contained in Exhibit 101)</w:t>
            </w:r>
          </w:p>
        </w:tc>
        <w:tc>
          <w:tcPr>
            <w:tcW w:w="681"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Certain schedules and attachments to certain of these exhibits have been omitted pursuant to Regulation S-K, Item 601(a)(5).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Furnished herewith.</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bidi w:val="0"/>
        <w:spacing w:before="200" w:after="0"/>
        <w:jc w:val="both"/>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200" w:after="0"/>
        <w:jc w:val="center"/>
        <w:rPr>
          <w:rFonts w:ascii="Times New Roman" w:hAnsi="Times New Roman"/>
          <w:sz w:val="20"/>
        </w:rPr>
      </w:pPr>
      <w:r>
        <w:rPr>
          <w:rFonts w:ascii="Times New Roman;serif" w:hAnsi="Times New Roman;serif"/>
          <w:b/>
          <w:sz w:val="20"/>
        </w:rPr>
        <w:t>LENSAR, Inc.</w:t>
      </w:r>
      <w:r>
        <w:rPr>
          <w:rFonts w:ascii="Times New Roman" w:hAnsi="Times New Roman"/>
          <w:sz w:val="20"/>
        </w:rPr>
        <w:t xml:space="preserve"> </w:t>
      </w:r>
    </w:p>
    <w:p>
      <w:pPr>
        <w:pStyle w:val="TextBody"/>
        <w:bidi w:val="0"/>
        <w:spacing w:before="0" w:after="0"/>
        <w:jc w:val="left"/>
        <w:rPr/>
      </w:pPr>
      <w:r>
        <w:rPr/>
        <w:t> </w:t>
      </w:r>
    </w:p>
    <w:tbl>
      <w:tblPr>
        <w:tblW w:w="4768" w:type="dxa"/>
        <w:jc w:val="left"/>
        <w:tblInd w:w="0" w:type="dxa"/>
        <w:tblLayout w:type="fixed"/>
        <w:tblCellMar>
          <w:top w:w="28" w:type="dxa"/>
          <w:left w:w="28" w:type="dxa"/>
          <w:bottom w:w="28" w:type="dxa"/>
          <w:right w:w="28" w:type="dxa"/>
        </w:tblCellMar>
      </w:tblPr>
      <w:tblGrid>
        <w:gridCol w:w="1741"/>
        <w:gridCol w:w="146"/>
        <w:gridCol w:w="406"/>
        <w:gridCol w:w="2282"/>
        <w:gridCol w:w="193"/>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15, 2023</w:t>
            </w:r>
          </w:p>
        </w:tc>
        <w:tc>
          <w:tcPr>
            <w:tcW w:w="146"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NICHOLAS T. CURTIS</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center"/>
              <w:rPr/>
            </w:pPr>
            <w:r>
              <w:rPr/>
              <w:t> </w:t>
            </w:r>
          </w:p>
        </w:tc>
        <w:tc>
          <w:tcPr>
            <w:tcW w:w="552" w:type="dxa"/>
            <w:gridSpan w:val="2"/>
            <w:tcBorders/>
            <w:vAlign w:val="center"/>
          </w:tcPr>
          <w:p>
            <w:pPr>
              <w:pStyle w:val="TableContents"/>
              <w:bidi w:val="0"/>
              <w:spacing w:before="0" w:after="0"/>
              <w:ind w:left="0" w:right="0" w:hanging="0"/>
              <w:jc w:val="left"/>
              <w:rPr/>
            </w:pPr>
            <w:r>
              <w:rPr/>
              <w:t> </w:t>
            </w:r>
          </w:p>
        </w:tc>
        <w:tc>
          <w:tcPr>
            <w:tcW w:w="2475"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Nicholas T. Curtis</w:t>
            </w:r>
          </w:p>
        </w:tc>
      </w:tr>
      <w:tr>
        <w:trPr/>
        <w:tc>
          <w:tcPr>
            <w:tcW w:w="1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pPr>
            <w:r>
              <w:rPr/>
              <w:t> </w:t>
            </w:r>
          </w:p>
        </w:tc>
        <w:tc>
          <w:tcPr>
            <w:tcW w:w="2475"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pPr>
            <w:r>
              <w:rPr/>
              <w:t> </w:t>
            </w:r>
          </w:p>
        </w:tc>
        <w:tc>
          <w:tcPr>
            <w:tcW w:w="2475"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tbl>
      <w:tblPr>
        <w:tblW w:w="4642" w:type="dxa"/>
        <w:jc w:val="left"/>
        <w:tblInd w:w="0" w:type="dxa"/>
        <w:tblLayout w:type="fixed"/>
        <w:tblCellMar>
          <w:top w:w="28" w:type="dxa"/>
          <w:left w:w="28" w:type="dxa"/>
          <w:bottom w:w="28" w:type="dxa"/>
          <w:right w:w="28" w:type="dxa"/>
        </w:tblCellMar>
      </w:tblPr>
      <w:tblGrid>
        <w:gridCol w:w="1741"/>
        <w:gridCol w:w="146"/>
        <w:gridCol w:w="146"/>
        <w:gridCol w:w="2305"/>
        <w:gridCol w:w="110"/>
        <w:gridCol w:w="194"/>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05" w:type="dxa"/>
            <w:tcBorders/>
            <w:vAlign w:val="center"/>
          </w:tcPr>
          <w:p>
            <w:pPr>
              <w:pStyle w:val="TableContents"/>
              <w:bidi w:val="0"/>
              <w:spacing w:before="0" w:after="0"/>
              <w:ind w:left="0" w:right="0" w:hanging="0"/>
              <w:jc w:val="left"/>
              <w:rPr/>
            </w:pPr>
            <w:r>
              <w:rPr/>
              <w:t> </w:t>
            </w:r>
          </w:p>
        </w:tc>
        <w:tc>
          <w:tcPr>
            <w:tcW w:w="304" w:type="dxa"/>
            <w:gridSpan w:val="2"/>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15,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THOMAS R. STAAB, II</w:t>
            </w:r>
          </w:p>
        </w:tc>
        <w:tc>
          <w:tcPr>
            <w:tcW w:w="30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Thomas R. Staab, II</w:t>
            </w:r>
          </w:p>
        </w:tc>
      </w:tr>
      <w:tr>
        <w:trPr/>
        <w:tc>
          <w:tcPr>
            <w:tcW w:w="1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r>
        <w:trPr/>
        <w:tc>
          <w:tcPr>
            <w:tcW w:w="1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9" w:type="dxa"/>
            <w:gridSpan w:val="3"/>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15,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KENDRA W. WONG</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Kendra W. Wong</w:t>
            </w:r>
          </w:p>
        </w:tc>
      </w:tr>
      <w:tr>
        <w:trPr/>
        <w:tc>
          <w:tcPr>
            <w:tcW w:w="1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Accounting Officer</w:t>
            </w:r>
          </w:p>
        </w:tc>
      </w:tr>
      <w:tr>
        <w:trPr/>
        <w:tc>
          <w:tcPr>
            <w:tcW w:w="1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3" w:name="lnsr-ex31_1.htm"/>
      <w:bookmarkStart w:id="24" w:name="kslnsrex31_1"/>
      <w:bookmarkEnd w:id="23"/>
      <w:bookmarkEnd w:id="24"/>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Nicholas T. Curtis,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LENSAR,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852" w:type="dxa"/>
        <w:jc w:val="left"/>
        <w:tblInd w:w="0" w:type="dxa"/>
        <w:tblLayout w:type="fixed"/>
        <w:tblCellMar>
          <w:top w:w="28" w:type="dxa"/>
          <w:left w:w="28" w:type="dxa"/>
          <w:bottom w:w="28" w:type="dxa"/>
          <w:right w:w="28" w:type="dxa"/>
        </w:tblCellMar>
      </w:tblPr>
      <w:tblGrid>
        <w:gridCol w:w="1741"/>
        <w:gridCol w:w="109"/>
        <w:gridCol w:w="406"/>
        <w:gridCol w:w="25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15,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9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Nicholas T. Curtis</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9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Nicholas T. Curtis</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9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Chief Executive Officer</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righ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lnsr-ex31_2.htm"/>
      <w:bookmarkStart w:id="26" w:name="kslnsrex31_2"/>
      <w:bookmarkEnd w:id="25"/>
      <w:bookmarkEnd w:id="2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Thomas R. Staab, II,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LENSAR,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822" w:type="dxa"/>
        <w:jc w:val="left"/>
        <w:tblInd w:w="0" w:type="dxa"/>
        <w:tblLayout w:type="fixed"/>
        <w:tblCellMar>
          <w:top w:w="28" w:type="dxa"/>
          <w:left w:w="28" w:type="dxa"/>
          <w:bottom w:w="28" w:type="dxa"/>
          <w:right w:w="28" w:type="dxa"/>
        </w:tblCellMar>
      </w:tblPr>
      <w:tblGrid>
        <w:gridCol w:w="1741"/>
        <w:gridCol w:w="109"/>
        <w:gridCol w:w="406"/>
        <w:gridCol w:w="256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15,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Thomas R. Staab, II</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Thomas R. Staab, II</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6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Chief Financial Officer</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lnsr-ex32_1.htm"/>
      <w:bookmarkStart w:id="28" w:name="kslnsrex32_1"/>
      <w:bookmarkEnd w:id="27"/>
      <w:bookmarkEnd w:id="28"/>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LENSAR, Inc. (the “Company”) for the quarterly period ended March 31,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4852" w:type="dxa"/>
        <w:jc w:val="left"/>
        <w:tblInd w:w="0" w:type="dxa"/>
        <w:tblLayout w:type="fixed"/>
        <w:tblCellMar>
          <w:top w:w="28" w:type="dxa"/>
          <w:left w:w="28" w:type="dxa"/>
          <w:bottom w:w="28" w:type="dxa"/>
          <w:right w:w="28" w:type="dxa"/>
        </w:tblCellMar>
      </w:tblPr>
      <w:tblGrid>
        <w:gridCol w:w="1741"/>
        <w:gridCol w:w="109"/>
        <w:gridCol w:w="406"/>
        <w:gridCol w:w="25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15,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9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Nicholas T. Curtis</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Nicholas T. Curtis</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Chief Executive Officer</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9" w:name="lnsr-ex32_2.htm"/>
      <w:bookmarkStart w:id="30" w:name="kslnsrex32_2"/>
      <w:bookmarkEnd w:id="29"/>
      <w:bookmarkEnd w:id="30"/>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LENSAR, Inc. (the “Company”) for the quarterly period ended March 31,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4822" w:type="dxa"/>
        <w:jc w:val="left"/>
        <w:tblInd w:w="0" w:type="dxa"/>
        <w:tblLayout w:type="fixed"/>
        <w:tblCellMar>
          <w:top w:w="28" w:type="dxa"/>
          <w:left w:w="28" w:type="dxa"/>
          <w:bottom w:w="28" w:type="dxa"/>
          <w:right w:w="28" w:type="dxa"/>
        </w:tblCellMar>
      </w:tblPr>
      <w:tblGrid>
        <w:gridCol w:w="1741"/>
        <w:gridCol w:w="109"/>
        <w:gridCol w:w="406"/>
        <w:gridCol w:w="256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15,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Thomas R. Staab, II</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Thomas R. Staab, II</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Chief Financial Officer</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20350/000119312520262511/d98252dex21.htm" TargetMode="External"/><Relationship Id="rId3" Type="http://schemas.openxmlformats.org/officeDocument/2006/relationships/hyperlink" Target="https://www.sec.gov/Archives/edgar/data/1320350/000119312520262511/d98252dex31.htm" TargetMode="External"/><Relationship Id="rId4" Type="http://schemas.openxmlformats.org/officeDocument/2006/relationships/hyperlink" Target="https://www.sec.gov/Archives/edgar/data/0001320350/000156459021012594/lnsr-ex32_419.htm" TargetMode="External"/><Relationship Id="rId5" Type="http://schemas.openxmlformats.org/officeDocument/2006/relationships/hyperlink" Target="https://www.sec.gov/Archives/edgar/data/1320350/000119312520245277/d945311dex41.htm" TargetMode="External"/><Relationship Id="rId6" Type="http://schemas.openxmlformats.org/officeDocument/2006/relationships/hyperlink" Target="https://www.sec.gov/Archives/edgar/data/1320350/000119312523144213/d510326dex102.htm" TargetMode="External"/><Relationship Id="rId7" Type="http://schemas.openxmlformats.org/officeDocument/2006/relationships/hyperlink" Target="https://www.sec.gov/Archives/edgar/data/1320350/000119312523144213/d510326d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50073</Words>
  <Characters>276717</Characters>
  <CharactersWithSpaces>327003</CharactersWithSpaces>
  <Paragraphs>4335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